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Document Investigation Agent</w:t>
      </w:r>
    </w:p>
    <w:p>
      <w:r>
        <w:t>Technical Design and Requirement Validation Summary</w:t>
      </w:r>
    </w:p>
    <w:p>
      <w:pPr>
        <w:pStyle w:val="Heading1"/>
      </w:pPr>
      <w:r>
        <w:t>1. Assessment objective</w:t>
      </w:r>
    </w:p>
    <w:p>
      <w:r>
        <w:t>Build a Java-based agent that investigates a user question across multiple documents and provides an evidence-based conclusion. The result is expected to include a clear answer, supporting document references, conflicts or missing information, and a recommended next action where applicable.</w:t>
      </w:r>
    </w:p>
    <w:p>
      <w:pPr>
        <w:pStyle w:val="Heading1"/>
      </w:pPr>
      <w:r>
        <w:t>2. High-level architecture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Thymeleaf UI</w:t>
            </w:r>
          </w:p>
        </w:tc>
        <w:tc>
          <w:tcPr>
            <w:tcW w:type="dxa" w:w="5040"/>
            <w:vAlign w:val="center"/>
          </w:tcPr>
          <w:p>
            <w:r>
              <w:t>Upload documents, submit a question, and review the conclusion and evidence.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REST controllers</w:t>
            </w:r>
          </w:p>
        </w:tc>
        <w:tc>
          <w:tcPr>
            <w:tcW w:type="dxa" w:w="5040"/>
            <w:vAlign w:val="center"/>
          </w:tcPr>
          <w:p>
            <w:r>
              <w:t>Expose document, evidence-search, and investigation endpoints.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 ingestion</w:t>
            </w:r>
          </w:p>
        </w:tc>
        <w:tc>
          <w:tcPr>
            <w:tcW w:type="dxa" w:w="5040"/>
            <w:vAlign w:val="center"/>
          </w:tcPr>
          <w:p>
            <w:r>
              <w:t>Validate files, extract text, compute checksum, and store document metadata/content.</w:t>
            </w:r>
          </w:p>
        </w:tc>
      </w:tr>
      <w:tr>
        <w:tc>
          <w:tcPr>
            <w:tcW w:type="dxa" w:w="5040"/>
            <w:vAlign w:val="center"/>
          </w:tcPr>
          <w:p>
            <w:r>
              <w:t>Chunking and retrieval</w:t>
            </w:r>
          </w:p>
        </w:tc>
        <w:tc>
          <w:tcPr>
            <w:tcW w:type="dxa" w:w="5040"/>
            <w:vAlign w:val="center"/>
          </w:tcPr>
          <w:p>
            <w:r>
              <w:t>Split text into overlapping chunks and rank relevant chunks using keyword matching.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Investigation service</w:t>
            </w:r>
          </w:p>
        </w:tc>
        <w:tc>
          <w:tcPr>
            <w:tcW w:type="dxa" w:w="5040"/>
            <w:vAlign w:val="center"/>
          </w:tcPr>
          <w:p>
            <w:r>
              <w:t>Coordinate retrieval, provider execution, status selection, evidence validation, persistence, and audit.</w:t>
            </w:r>
          </w:p>
        </w:tc>
      </w:tr>
      <w:tr>
        <w:tc>
          <w:tcPr>
            <w:tcW w:type="dxa" w:w="5040"/>
            <w:vAlign w:val="center"/>
          </w:tcPr>
          <w:p>
            <w:r>
              <w:t>AI provider interface</w:t>
            </w:r>
          </w:p>
        </w:tc>
        <w:tc>
          <w:tcPr>
            <w:tcW w:type="dxa" w:w="5040"/>
            <w:vAlign w:val="center"/>
          </w:tcPr>
          <w:p>
            <w:r>
              <w:t>Select deterministic Mock AI or optional local Ollama-based LLM.</w:t>
            </w:r>
          </w:p>
        </w:tc>
      </w:tr>
      <w:tr>
        <w:tc>
          <w:tcPr>
            <w:tcW w:type="dxa" w:w="5040"/>
            <w:vAlign w:val="center"/>
          </w:tcPr>
          <w:p>
            <w:r>
              <w:t>Persistence</w:t>
            </w:r>
          </w:p>
        </w:tc>
        <w:tc>
          <w:tcPr>
            <w:tcW w:type="dxa" w:w="5040"/>
            <w:vAlign w:val="center"/>
          </w:tcPr>
          <w:p>
            <w:r>
              <w:t>Store documents, chunks, investigations, evidence references, and audit events in H2.</w:t>
            </w:r>
          </w:p>
        </w:tc>
      </w:tr>
      <w:tr>
        <w:tc>
          <w:tcPr>
            <w:tcW w:type="dxa" w:w="5040"/>
            <w:vAlign w:val="center"/>
          </w:tcPr>
          <w:p>
            <w:r>
              <w:t>Exception handling</w:t>
            </w:r>
          </w:p>
        </w:tc>
        <w:tc>
          <w:tcPr>
            <w:tcW w:type="dxa" w:w="5040"/>
            <w:vAlign w:val="center"/>
          </w:tcPr>
          <w:p>
            <w:r>
              <w:t>Return controlled, structured errors for expected invalid requests and failures.</w:t>
            </w:r>
          </w:p>
        </w:tc>
      </w:tr>
    </w:tbl>
    <w:p>
      <w:pPr>
        <w:pStyle w:val="Heading1"/>
      </w:pPr>
      <w:r>
        <w:t>3. Investigation workflow</w:t>
      </w:r>
    </w:p>
    <w:p>
      <w:pPr>
        <w:pStyle w:val="ListNumber"/>
      </w:pPr>
      <w:r>
        <w:t>Validate the upload and extract text from supported PDF/TXT inputs.</w:t>
      </w:r>
    </w:p>
    <w:p>
      <w:pPr>
        <w:pStyle w:val="ListNumber"/>
      </w:pPr>
      <w:r>
        <w:t>Create a checksum and split extracted text into overlapping chunks with source offsets.</w:t>
      </w:r>
    </w:p>
    <w:p>
      <w:pPr>
        <w:pStyle w:val="ListNumber"/>
      </w:pPr>
      <w:r>
        <w:t>Search chunks associated with the requesting demo identity and rank matches for the question.</w:t>
      </w:r>
    </w:p>
    <w:p>
      <w:pPr>
        <w:pStyle w:val="ListNumber"/>
      </w:pPr>
      <w:r>
        <w:t>Pass the question and retrieved evidence to the configured provider.</w:t>
      </w:r>
    </w:p>
    <w:p>
      <w:pPr>
        <w:pStyle w:val="ListNumber"/>
      </w:pPr>
      <w:r>
        <w:t>Validate cited chunk IDs against the retrieved evidence and construct a structured response.</w:t>
      </w:r>
    </w:p>
    <w:p>
      <w:pPr>
        <w:pStyle w:val="ListNumber"/>
      </w:pPr>
      <w:r>
        <w:t>Persist the investigation, evidence references, status, and audit event.</w:t>
      </w:r>
    </w:p>
    <w:p>
      <w:pPr>
        <w:pStyle w:val="ListNumber"/>
      </w:pPr>
      <w:r>
        <w:t>Return the conclusion, status, citations, uncertainty/conflict information where available, and a recommended next action.</w:t>
      </w:r>
    </w:p>
    <w:p>
      <w:pPr>
        <w:pStyle w:val="Heading1"/>
      </w:pPr>
      <w:r>
        <w:t>4. Requirement traceability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Assessment requirement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Implementation / validation evidence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Question investigation across documents</w:t>
            </w:r>
          </w:p>
        </w:tc>
        <w:tc>
          <w:tcPr>
            <w:tcW w:type="dxa" w:w="5040"/>
            <w:vAlign w:val="center"/>
          </w:tcPr>
          <w:p>
            <w:r>
              <w:t>Document ingestion, keyword retrieval, and investigation workflow; test with complementary facts in multiple documents.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Conclusion and supporting evidence</w:t>
            </w:r>
          </w:p>
        </w:tc>
        <w:tc>
          <w:tcPr>
            <w:tcW w:type="dxa" w:w="5040"/>
            <w:vAlign w:val="center"/>
          </w:tcPr>
          <w:p>
            <w:r>
              <w:t>Structured investigation response with source document/chunk references and excerpts.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Conflict, missing evidence, clarification</w:t>
            </w:r>
          </w:p>
        </w:tc>
        <w:tc>
          <w:tcPr>
            <w:tcW w:type="dxa" w:w="5040"/>
            <w:vAlign w:val="center"/>
          </w:tcPr>
          <w:p>
            <w:r>
              <w:t>Investigation statuses and provider rules; validate conflict, absent-answer, and ambiguous-question scenarios.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Recommended next action</w:t>
            </w:r>
          </w:p>
        </w:tc>
        <w:tc>
          <w:tcPr>
            <w:tcW w:type="dxa" w:w="5040"/>
            <w:vAlign w:val="center"/>
          </w:tcPr>
          <w:p>
            <w:r>
              <w:t>Status-based next-action field; review for relevant statuses.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Invalid inputs and failures</w:t>
            </w:r>
          </w:p>
        </w:tc>
        <w:tc>
          <w:tcPr>
            <w:tcW w:type="dxa" w:w="5040"/>
            <w:vAlign w:val="center"/>
          </w:tcPr>
          <w:p>
            <w:r>
              <w:t>Request validation and structured exception handling; execute negative API/UI cases.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Unauthorized document access</w:t>
            </w:r>
          </w:p>
        </w:tc>
        <w:tc>
          <w:tcPr>
            <w:tcW w:type="dxa" w:w="5040"/>
            <w:vAlign w:val="center"/>
          </w:tcPr>
          <w:p>
            <w:r>
              <w:t>Owner-scoped data access using demo identity; verify cross-identity reads do not reveal records.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Traceability and review</w:t>
            </w:r>
          </w:p>
        </w:tc>
        <w:tc>
          <w:tcPr>
            <w:tcW w:type="dxa" w:w="5040"/>
            <w:vAlign w:val="center"/>
          </w:tcPr>
          <w:p>
            <w:r>
              <w:t>Persisted investigation/evidence references and audit events.</w:t>
            </w:r>
          </w:p>
        </w:tc>
      </w:tr>
      <w:tr>
        <w:tc>
          <w:tcPr>
            <w:tcW w:type="dxa" w:w="5040"/>
            <w:vAlign w:val="center"/>
          </w:tcPr>
          <w:p>
            <w:r>
              <w:t>Java, Spring Boot, REST, persistence, AI/mock AI</w:t>
            </w:r>
          </w:p>
        </w:tc>
        <w:tc>
          <w:tcPr>
            <w:tcW w:type="dxa" w:w="5040"/>
            <w:vAlign w:val="center"/>
          </w:tcPr>
          <w:p>
            <w:r>
              <w:t>Java 21, Spring Boot, REST controllers, Spring Data JPA/H2, Mock AI and optional Ollama.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README and documentation</w:t>
            </w:r>
          </w:p>
        </w:tc>
        <w:tc>
          <w:tcPr>
            <w:tcW w:type="dxa" w:w="5040"/>
            <w:vAlign w:val="center"/>
          </w:tcPr>
          <w:p>
            <w:r>
              <w:t>README includes setup, assumptions, design decisions, limitations, and AI tools disclosure.</w:t>
            </w:r>
          </w:p>
        </w:tc>
      </w:tr>
    </w:tbl>
    <w:p>
      <w:pPr>
        <w:pStyle w:val="Heading1"/>
      </w:pPr>
      <w:r>
        <w:t>5. Validation strategy</w:t>
      </w:r>
    </w:p>
    <w:p>
      <w:pPr>
        <w:pStyle w:val="ListBullet"/>
      </w:pPr>
      <w:r>
        <w:t>Automated regression: run `mvn clean test` and inspect Surefire reports.</w:t>
      </w:r>
    </w:p>
    <w:p>
      <w:pPr>
        <w:pStyle w:val="ListBullet"/>
      </w:pPr>
      <w:r>
        <w:t>Positive workflow: upload a document, search evidence, create an investigation, retrieve the saved result.</w:t>
      </w:r>
    </w:p>
    <w:p>
      <w:pPr>
        <w:pStyle w:val="ListBullet"/>
      </w:pPr>
      <w:r>
        <w:t>Evidence quality: verify every displayed citation maps to a retrieved source excerpt and compare it to the original document.</w:t>
      </w:r>
    </w:p>
    <w:p>
      <w:pPr>
        <w:pStyle w:val="ListBullet"/>
      </w:pPr>
      <w:r>
        <w:t>Negative scenarios: blank/ambiguous question, unsupported or oversized file, malformed request, missing identity header, and provider failure.</w:t>
      </w:r>
    </w:p>
    <w:p>
      <w:pPr>
        <w:pStyle w:val="ListBullet"/>
      </w:pPr>
      <w:r>
        <w:t>Access isolation: create data under one demo identity and attempt to retrieve it using another.</w:t>
      </w:r>
    </w:p>
    <w:p>
      <w:pPr>
        <w:pStyle w:val="ListBullet"/>
      </w:pPr>
      <w:r>
        <w:t>Persistence and audit: restart the app and confirm records remain; inspect audit metadata.</w:t>
      </w:r>
    </w:p>
    <w:p>
      <w:pPr>
        <w:pStyle w:val="ListBullet"/>
      </w:pPr>
      <w:r>
        <w:t>Provider-specific validation: run Mock AI first, then test Ollama separately if using real local LLM mode.</w:t>
      </w:r>
    </w:p>
    <w:p>
      <w:r>
        <w:t>The tracker is a test execution aid. Cases must remain Not Run until executed; this document does not claim that tests have passed.</w:t>
      </w:r>
    </w:p>
    <w:p>
      <w:pPr>
        <w:pStyle w:val="Heading1"/>
      </w:pPr>
      <w:r>
        <w:t>6. Known limitations and safeguards</w:t>
      </w:r>
    </w:p>
    <w:p>
      <w:pPr>
        <w:pStyle w:val="ListBullet"/>
      </w:pPr>
      <w:r>
        <w:t>Keyword retrieval is not semantic/vector search and can miss paraphrased or conceptually related passages.</w:t>
      </w:r>
    </w:p>
    <w:p>
      <w:pPr>
        <w:pStyle w:val="ListBullet"/>
      </w:pPr>
      <w:r>
        <w:t>Ranking scores are not calibrated confidence values.</w:t>
      </w:r>
    </w:p>
    <w:p>
      <w:pPr>
        <w:pStyle w:val="ListBullet"/>
      </w:pPr>
      <w:r>
        <w:t>Conflict and sufficiency decisions are heuristic and require manual review.</w:t>
      </w:r>
    </w:p>
    <w:p>
      <w:pPr>
        <w:pStyle w:val="ListBullet"/>
      </w:pPr>
      <w:r>
        <w:t>Citation-ID validation confirms IDs belong to retrieved evidence but does not prove semantic entailment.</w:t>
      </w:r>
    </w:p>
    <w:p>
      <w:pPr>
        <w:pStyle w:val="ListBullet"/>
      </w:pPr>
      <w:r>
        <w:t>Prompt-injection defenses reduce risk but do not eliminate it.</w:t>
      </w:r>
    </w:p>
    <w:p>
      <w:pPr>
        <w:pStyle w:val="ListBullet"/>
      </w:pPr>
      <w:r>
        <w:t>The demo identity header is not production authentication.</w:t>
      </w:r>
    </w:p>
    <w:p>
      <w:pPr>
        <w:pStyle w:val="ListBullet"/>
      </w:pPr>
      <w:r>
        <w:t>Scanned/image-only PDF OCR is not included.</w:t>
      </w:r>
    </w:p>
    <w:p>
      <w:pPr>
        <w:pStyle w:val="ListBullet"/>
      </w:pPr>
      <w:r>
        <w:t>The H2 console is intended only for local development.</w:t>
      </w:r>
    </w:p>
    <w:p>
      <w:pPr>
        <w:pStyle w:val="Heading1"/>
      </w:pPr>
      <w:r>
        <w:t>7. Reviewer run commands</w:t>
      </w:r>
    </w:p>
    <w:p>
      <w:r>
        <w:t>From the directory containing pom.xml:</w:t>
      </w:r>
    </w:p>
    <w:p>
      <w:r>
        <w:rPr>
          <w:rFonts w:ascii="Consolas" w:hAnsi="Consolas"/>
          <w:sz w:val="20"/>
        </w:rPr>
        <w:t>mvn clean test</w:t>
      </w:r>
    </w:p>
    <w:p>
      <w:r>
        <w:rPr>
          <w:rFonts w:ascii="Consolas" w:hAnsi="Consolas"/>
          <w:sz w:val="20"/>
        </w:rPr>
        <w:t>mvn spring-boot:run</w:t>
      </w:r>
    </w:p>
    <w:p>
      <w:r>
        <w:t>The default Mock AI mode avoids a separate LLM setup. See the README and Run and Setup Guide for details.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