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i w:val="0"/>
          <w:iCs w:val="0"/>
          <w:caps w:val="0"/>
          <w:color w:val="313131"/>
          <w:spacing w:val="0"/>
          <w:sz w:val="24"/>
          <w:szCs w:val="24"/>
          <w:shd w:val="clear" w:fill="FFFFFF"/>
        </w:rPr>
      </w:pPr>
      <w:r>
        <w:rPr>
          <w:rFonts w:hint="default" w:ascii="Times New Roman" w:hAnsi="Times New Roman" w:eastAsia="Times New Roman" w:cs="Times New Roman"/>
          <w:b/>
          <w:bCs/>
          <w:color w:val="313131"/>
          <w:sz w:val="24"/>
          <w:szCs w:val="24"/>
        </w:rPr>
        <w:t>Project Title</w:t>
      </w:r>
      <w:r>
        <w:rPr>
          <w:rFonts w:hint="default" w:ascii="Times New Roman" w:hAnsi="Times New Roman" w:eastAsia="Times New Roman" w:cs="Times New Roman"/>
          <w:b/>
          <w:bCs/>
          <w:color w:val="313131"/>
          <w:sz w:val="24"/>
          <w:szCs w:val="24"/>
          <w:lang w:val="en-US"/>
        </w:rPr>
        <w:t>:</w:t>
      </w:r>
      <w:r>
        <w:rPr>
          <w:rFonts w:hint="default" w:ascii="Times New Roman" w:hAnsi="Times New Roman" w:eastAsia="Helvetica" w:cs="Times New Roman"/>
          <w:i w:val="0"/>
          <w:iCs w:val="0"/>
          <w:caps w:val="0"/>
          <w:color w:val="313131"/>
          <w:spacing w:val="0"/>
          <w:sz w:val="24"/>
          <w:szCs w:val="24"/>
          <w:shd w:val="clear" w:fill="FFFFFF"/>
        </w:rPr>
        <w:t>Customer Churn Prediction</w:t>
      </w:r>
    </w:p>
    <w:p>
      <w:pPr>
        <w:rPr>
          <w:rFonts w:hint="default" w:ascii="Times New Roman" w:hAnsi="Times New Roman" w:eastAsia="Helvetica" w:cs="Times New Roman"/>
          <w:i w:val="0"/>
          <w:iCs w:val="0"/>
          <w:caps w:val="0"/>
          <w:color w:val="313131"/>
          <w:spacing w:val="0"/>
          <w:sz w:val="24"/>
          <w:szCs w:val="24"/>
          <w:shd w:val="clear" w:fill="FFFFFF"/>
          <w:lang w:val="en-US"/>
        </w:rPr>
      </w:pPr>
    </w:p>
    <w:p>
      <w:pPr>
        <w:rPr>
          <w:rFonts w:hint="default" w:ascii="Times New Roman" w:hAnsi="Times New Roman" w:eastAsia="Helvetica" w:cs="Times New Roman"/>
          <w:b/>
          <w:bCs/>
          <w:i w:val="0"/>
          <w:iCs w:val="0"/>
          <w:caps w:val="0"/>
          <w:color w:val="313131"/>
          <w:spacing w:val="0"/>
          <w:sz w:val="24"/>
          <w:szCs w:val="24"/>
          <w:shd w:val="clear" w:fill="FFFFFF"/>
        </w:rPr>
      </w:pPr>
      <w:r>
        <w:rPr>
          <w:rFonts w:hint="default" w:ascii="Times New Roman" w:hAnsi="Times New Roman" w:eastAsia="Times New Roman" w:cs="Times New Roman"/>
          <w:b/>
          <w:bCs/>
          <w:color w:val="313131"/>
          <w:sz w:val="24"/>
          <w:szCs w:val="24"/>
        </w:rPr>
        <w:t>Phase 1:</w:t>
      </w:r>
      <w:r>
        <w:rPr>
          <w:rFonts w:hint="default" w:ascii="Times New Roman" w:hAnsi="Times New Roman" w:eastAsia="Helvetica" w:cs="Times New Roman"/>
          <w:b/>
          <w:bCs/>
          <w:i w:val="0"/>
          <w:iCs w:val="0"/>
          <w:caps w:val="0"/>
          <w:color w:val="313131"/>
          <w:spacing w:val="0"/>
          <w:sz w:val="24"/>
          <w:szCs w:val="24"/>
          <w:shd w:val="clear" w:fill="FFFFFF"/>
        </w:rPr>
        <w:t> </w:t>
      </w:r>
      <w:r>
        <w:rPr>
          <w:rFonts w:hint="default" w:ascii="Times New Roman" w:hAnsi="Times New Roman" w:eastAsia="Helvetica" w:cs="Times New Roman"/>
          <w:b/>
          <w:bCs/>
          <w:i w:val="0"/>
          <w:iCs w:val="0"/>
          <w:caps w:val="0"/>
          <w:color w:val="313131"/>
          <w:spacing w:val="0"/>
          <w:sz w:val="24"/>
          <w:szCs w:val="24"/>
          <w:shd w:val="clear" w:fill="FFFFFF"/>
        </w:rPr>
        <w:t>Project Definition and Design Thinking</w:t>
      </w:r>
    </w:p>
    <w:p>
      <w:pPr>
        <w:rPr>
          <w:rFonts w:hint="default" w:ascii="Times New Roman" w:hAnsi="Times New Roman" w:eastAsia="Helvetica" w:cs="Times New Roman"/>
          <w:b/>
          <w:bCs/>
          <w:i w:val="0"/>
          <w:iCs w:val="0"/>
          <w:caps w:val="0"/>
          <w:color w:val="313131"/>
          <w:spacing w:val="0"/>
          <w:sz w:val="24"/>
          <w:szCs w:val="24"/>
          <w:shd w:val="clear" w:fill="FFFFFF"/>
        </w:rPr>
      </w:pPr>
    </w:p>
    <w:p>
      <w:pPr>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Project Definition:</w:t>
      </w:r>
      <w:r>
        <w:rPr>
          <w:rFonts w:hint="default" w:ascii="Times New Roman" w:hAnsi="Times New Roman" w:eastAsia="Helvetica" w:cs="Times New Roman"/>
          <w:i w:val="0"/>
          <w:iCs w:val="0"/>
          <w:caps w:val="0"/>
          <w:color w:val="313131"/>
          <w:spacing w:val="0"/>
          <w:sz w:val="24"/>
          <w:szCs w:val="24"/>
          <w:shd w:val="clear"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pPr>
        <w:shd w:val="clear" w:color="auto" w:fill="FFFFFF"/>
        <w:spacing w:before="300" w:after="340" w:line="240" w:lineRule="auto"/>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Design Thinking:</w:t>
      </w:r>
    </w:p>
    <w:p>
      <w:pPr>
        <w:keepNext w:val="0"/>
        <w:keepLines w:val="0"/>
        <w:widowControl/>
        <w:numPr>
          <w:ilvl w:val="0"/>
          <w:numId w:val="1"/>
        </w:numPr>
        <w:suppressLineNumbers w:val="0"/>
        <w:spacing w:before="0" w:beforeAutospacing="1" w:after="149" w:afterAutospacing="0" w:line="294" w:lineRule="atLeast"/>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Analysis Objectives: Define the specific objectives of predicting customer churn, such as identifying potential churners and understanding the key factors contributing to churn.</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Data Collection: Determine the sources and methods for collecting customer data, including customer demographics, usage behavior, and historical interactions.</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Visualization Strategy: Plan how to visualize the insights using IBM Cognos, showcasing factors affecting churn and retention rates.</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Predictive Modeling: Decide on the machine learning algorithms and features to use for predicting customer churn.</w:t>
      </w:r>
    </w:p>
    <w:p>
      <w:pPr>
        <w:rPr>
          <w:rFonts w:hint="default" w:ascii="Times New Roman" w:hAnsi="Times New Roman" w:eastAsia="Times New Roman" w:cs="Times New Roman"/>
          <w:b/>
          <w:bCs/>
          <w:color w:val="313131"/>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DA3B8"/>
    <w:multiLevelType w:val="singleLevel"/>
    <w:tmpl w:val="0A7DA3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96F92"/>
    <w:rsid w:val="4A59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2023-09-28T10:28:00Z</dcterms:created>
  <dc:creator>BALADHINESH</dc:creator>
  <cp:lastModifiedBy>BALADHINESH</cp:lastModifiedBy>
  <dcterms:modified xsi:type="dcterms:W3CDTF">2023-09-28T10:33:43Z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A1339A9639C44D04AD7EBEABF5F9F5D9</vt:lpwstr>
  </property>
</Properties>
</file>