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494" w:rsidRDefault="0037702A" w:rsidP="0037702A">
      <w:pPr>
        <w:pStyle w:val="Title"/>
      </w:pPr>
      <w:r>
        <w:t>OWASP Security Report</w:t>
      </w:r>
    </w:p>
    <w:p w:rsidR="0037702A" w:rsidRDefault="0037702A" w:rsidP="0037702A">
      <w:pPr>
        <w:pStyle w:val="Subtitle"/>
      </w:pPr>
      <w:proofErr w:type="spellStart"/>
      <w:r>
        <w:t>Balan</w:t>
      </w:r>
      <w:proofErr w:type="spellEnd"/>
      <w:r>
        <w:t xml:space="preserve"> </w:t>
      </w:r>
      <w:proofErr w:type="spellStart"/>
      <w:r>
        <w:t>Mihai</w:t>
      </w:r>
      <w:proofErr w:type="spellEnd"/>
      <w:r>
        <w:t>-Stefan</w:t>
      </w:r>
    </w:p>
    <w:p w:rsidR="0037702A" w:rsidRDefault="0037702A" w:rsidP="0037702A">
      <w:pPr>
        <w:pStyle w:val="Subtitle"/>
      </w:pPr>
      <w:r>
        <w:t xml:space="preserve">Application: </w:t>
      </w:r>
      <w:proofErr w:type="spellStart"/>
      <w:r>
        <w:t>ChessNow</w:t>
      </w:r>
      <w:proofErr w:type="spellEnd"/>
    </w:p>
    <w:tbl>
      <w:tblPr>
        <w:tblStyle w:val="MediumShading1-Accent1"/>
        <w:tblW w:w="0" w:type="auto"/>
        <w:tblLook w:val="04A0"/>
      </w:tblPr>
      <w:tblGrid>
        <w:gridCol w:w="1778"/>
        <w:gridCol w:w="1562"/>
        <w:gridCol w:w="1540"/>
        <w:gridCol w:w="1559"/>
        <w:gridCol w:w="2048"/>
        <w:gridCol w:w="1089"/>
      </w:tblGrid>
      <w:tr w:rsidR="0037702A" w:rsidTr="00042CC0">
        <w:trPr>
          <w:cnfStyle w:val="100000000000"/>
          <w:trHeight w:val="439"/>
        </w:trPr>
        <w:tc>
          <w:tcPr>
            <w:cnfStyle w:val="001000000000"/>
            <w:tcW w:w="1619" w:type="dxa"/>
          </w:tcPr>
          <w:p w:rsidR="0037702A" w:rsidRDefault="0037702A" w:rsidP="0037702A"/>
        </w:tc>
        <w:tc>
          <w:tcPr>
            <w:tcW w:w="1591" w:type="dxa"/>
          </w:tcPr>
          <w:p w:rsidR="0037702A" w:rsidRDefault="0037702A" w:rsidP="0037702A">
            <w:pPr>
              <w:cnfStyle w:val="100000000000"/>
            </w:pPr>
            <w:r>
              <w:t>Likelihood</w:t>
            </w:r>
          </w:p>
        </w:tc>
        <w:tc>
          <w:tcPr>
            <w:tcW w:w="1590" w:type="dxa"/>
          </w:tcPr>
          <w:p w:rsidR="0037702A" w:rsidRDefault="0037702A" w:rsidP="0037702A">
            <w:pPr>
              <w:cnfStyle w:val="100000000000"/>
            </w:pPr>
            <w:r>
              <w:t>Impact</w:t>
            </w:r>
          </w:p>
        </w:tc>
        <w:tc>
          <w:tcPr>
            <w:tcW w:w="1592" w:type="dxa"/>
          </w:tcPr>
          <w:p w:rsidR="0037702A" w:rsidRDefault="0037702A" w:rsidP="0037702A">
            <w:pPr>
              <w:cnfStyle w:val="100000000000"/>
            </w:pPr>
            <w:r>
              <w:t>Risk</w:t>
            </w:r>
          </w:p>
        </w:tc>
        <w:tc>
          <w:tcPr>
            <w:tcW w:w="2086" w:type="dxa"/>
          </w:tcPr>
          <w:p w:rsidR="0037702A" w:rsidRDefault="0037702A" w:rsidP="0037702A">
            <w:pPr>
              <w:cnfStyle w:val="100000000000"/>
            </w:pPr>
            <w:r>
              <w:t>Actions possible</w:t>
            </w:r>
          </w:p>
        </w:tc>
        <w:tc>
          <w:tcPr>
            <w:tcW w:w="1098" w:type="dxa"/>
          </w:tcPr>
          <w:p w:rsidR="0037702A" w:rsidRDefault="0037702A" w:rsidP="0037702A">
            <w:pPr>
              <w:cnfStyle w:val="100000000000"/>
            </w:pPr>
            <w:r>
              <w:t>Planned</w:t>
            </w:r>
          </w:p>
        </w:tc>
      </w:tr>
      <w:tr w:rsidR="0037702A" w:rsidTr="00042CC0">
        <w:trPr>
          <w:cnfStyle w:val="000000100000"/>
        </w:trPr>
        <w:tc>
          <w:tcPr>
            <w:cnfStyle w:val="001000000000"/>
            <w:tcW w:w="1619" w:type="dxa"/>
          </w:tcPr>
          <w:p w:rsidR="0037702A" w:rsidRDefault="0037702A" w:rsidP="0037702A">
            <w:r>
              <w:t>A1: Broker access control</w:t>
            </w:r>
          </w:p>
        </w:tc>
        <w:tc>
          <w:tcPr>
            <w:tcW w:w="1591" w:type="dxa"/>
          </w:tcPr>
          <w:p w:rsidR="0037702A" w:rsidRDefault="0037702A" w:rsidP="0037702A">
            <w:pPr>
              <w:cnfStyle w:val="000000100000"/>
            </w:pPr>
            <w:r>
              <w:t>High</w:t>
            </w:r>
          </w:p>
        </w:tc>
        <w:tc>
          <w:tcPr>
            <w:tcW w:w="1590" w:type="dxa"/>
          </w:tcPr>
          <w:p w:rsidR="0037702A" w:rsidRDefault="0037702A" w:rsidP="0037702A">
            <w:pPr>
              <w:cnfStyle w:val="000000100000"/>
            </w:pPr>
            <w:r>
              <w:t>Severe</w:t>
            </w:r>
          </w:p>
        </w:tc>
        <w:tc>
          <w:tcPr>
            <w:tcW w:w="1592" w:type="dxa"/>
          </w:tcPr>
          <w:p w:rsidR="0037702A" w:rsidRDefault="0037702A" w:rsidP="0037702A">
            <w:pPr>
              <w:cnfStyle w:val="000000100000"/>
            </w:pPr>
            <w:r>
              <w:t>High</w:t>
            </w:r>
          </w:p>
        </w:tc>
        <w:tc>
          <w:tcPr>
            <w:tcW w:w="2086" w:type="dxa"/>
          </w:tcPr>
          <w:p w:rsidR="0037702A" w:rsidRDefault="0037702A" w:rsidP="0037702A">
            <w:pPr>
              <w:cnfStyle w:val="000000100000"/>
            </w:pPr>
            <w:r>
              <w:t>N/A</w:t>
            </w:r>
          </w:p>
        </w:tc>
        <w:tc>
          <w:tcPr>
            <w:tcW w:w="1098" w:type="dxa"/>
          </w:tcPr>
          <w:p w:rsidR="0037702A" w:rsidRDefault="0037702A" w:rsidP="0037702A">
            <w:pPr>
              <w:cnfStyle w:val="000000100000"/>
            </w:pPr>
            <w:r>
              <w:t>Yes</w:t>
            </w:r>
          </w:p>
        </w:tc>
      </w:tr>
      <w:tr w:rsidR="0037702A" w:rsidTr="00042CC0">
        <w:trPr>
          <w:cnfStyle w:val="000000010000"/>
        </w:trPr>
        <w:tc>
          <w:tcPr>
            <w:cnfStyle w:val="001000000000"/>
            <w:tcW w:w="1619" w:type="dxa"/>
          </w:tcPr>
          <w:p w:rsidR="0037702A" w:rsidRDefault="0037702A" w:rsidP="0037702A">
            <w:r>
              <w:t xml:space="preserve">A2: </w:t>
            </w:r>
            <w:proofErr w:type="spellStart"/>
            <w:r>
              <w:t>Cryptoghraphic</w:t>
            </w:r>
            <w:proofErr w:type="spellEnd"/>
            <w:r>
              <w:t xml:space="preserve"> failure</w:t>
            </w:r>
          </w:p>
        </w:tc>
        <w:tc>
          <w:tcPr>
            <w:tcW w:w="1591" w:type="dxa"/>
          </w:tcPr>
          <w:p w:rsidR="0037702A" w:rsidRDefault="0037702A" w:rsidP="0037702A">
            <w:pPr>
              <w:cnfStyle w:val="000000010000"/>
            </w:pPr>
            <w:r>
              <w:t>Unlikely</w:t>
            </w:r>
          </w:p>
        </w:tc>
        <w:tc>
          <w:tcPr>
            <w:tcW w:w="1590" w:type="dxa"/>
          </w:tcPr>
          <w:p w:rsidR="0037702A" w:rsidRDefault="0037702A" w:rsidP="0037702A">
            <w:pPr>
              <w:cnfStyle w:val="000000010000"/>
            </w:pPr>
            <w:r>
              <w:t>Severe</w:t>
            </w:r>
          </w:p>
        </w:tc>
        <w:tc>
          <w:tcPr>
            <w:tcW w:w="1592" w:type="dxa"/>
          </w:tcPr>
          <w:p w:rsidR="0037702A" w:rsidRDefault="0037702A" w:rsidP="0037702A">
            <w:pPr>
              <w:cnfStyle w:val="000000010000"/>
            </w:pPr>
            <w:r>
              <w:t>Low</w:t>
            </w:r>
          </w:p>
        </w:tc>
        <w:tc>
          <w:tcPr>
            <w:tcW w:w="2086" w:type="dxa"/>
          </w:tcPr>
          <w:p w:rsidR="0037702A" w:rsidRDefault="00042CC0" w:rsidP="0037702A">
            <w:pPr>
              <w:cnfStyle w:val="000000010000"/>
            </w:pPr>
            <w:r>
              <w:t>Data Encryption</w:t>
            </w:r>
          </w:p>
        </w:tc>
        <w:tc>
          <w:tcPr>
            <w:tcW w:w="1098" w:type="dxa"/>
          </w:tcPr>
          <w:p w:rsidR="0037702A" w:rsidRDefault="00FE0E1D" w:rsidP="0037702A">
            <w:pPr>
              <w:cnfStyle w:val="000000010000"/>
            </w:pPr>
            <w:r>
              <w:t>Yes</w:t>
            </w:r>
          </w:p>
        </w:tc>
      </w:tr>
      <w:tr w:rsidR="0037702A" w:rsidTr="00042CC0">
        <w:trPr>
          <w:cnfStyle w:val="000000100000"/>
        </w:trPr>
        <w:tc>
          <w:tcPr>
            <w:cnfStyle w:val="001000000000"/>
            <w:tcW w:w="1619" w:type="dxa"/>
          </w:tcPr>
          <w:p w:rsidR="0037702A" w:rsidRDefault="00042CC0" w:rsidP="0037702A">
            <w:r>
              <w:t>A3: Injection</w:t>
            </w:r>
          </w:p>
        </w:tc>
        <w:tc>
          <w:tcPr>
            <w:tcW w:w="1591" w:type="dxa"/>
          </w:tcPr>
          <w:p w:rsidR="0037702A" w:rsidRDefault="00042CC0" w:rsidP="0037702A">
            <w:pPr>
              <w:cnfStyle w:val="000000100000"/>
            </w:pPr>
            <w:r>
              <w:t>Very Unlikely</w:t>
            </w:r>
          </w:p>
        </w:tc>
        <w:tc>
          <w:tcPr>
            <w:tcW w:w="1590" w:type="dxa"/>
          </w:tcPr>
          <w:p w:rsidR="0037702A" w:rsidRDefault="00042CC0" w:rsidP="0037702A">
            <w:pPr>
              <w:cnfStyle w:val="000000100000"/>
            </w:pPr>
            <w:r>
              <w:t>High</w:t>
            </w:r>
          </w:p>
        </w:tc>
        <w:tc>
          <w:tcPr>
            <w:tcW w:w="1592" w:type="dxa"/>
          </w:tcPr>
          <w:p w:rsidR="0037702A" w:rsidRDefault="00042CC0" w:rsidP="0037702A">
            <w:pPr>
              <w:cnfStyle w:val="000000100000"/>
            </w:pPr>
            <w:r>
              <w:t>Low</w:t>
            </w:r>
          </w:p>
        </w:tc>
        <w:tc>
          <w:tcPr>
            <w:tcW w:w="2086" w:type="dxa"/>
          </w:tcPr>
          <w:p w:rsidR="0037702A" w:rsidRDefault="00FE0E1D" w:rsidP="0037702A">
            <w:pPr>
              <w:cnfStyle w:val="000000100000"/>
            </w:pPr>
            <w:r>
              <w:t>Implementing JPA Repository, parameterized custom queries</w:t>
            </w:r>
          </w:p>
        </w:tc>
        <w:tc>
          <w:tcPr>
            <w:tcW w:w="1098" w:type="dxa"/>
          </w:tcPr>
          <w:p w:rsidR="0037702A" w:rsidRDefault="00FE0E1D" w:rsidP="0037702A">
            <w:pPr>
              <w:cnfStyle w:val="000000100000"/>
            </w:pPr>
            <w:r>
              <w:t>Yes</w:t>
            </w:r>
          </w:p>
        </w:tc>
      </w:tr>
      <w:tr w:rsidR="00042CC0" w:rsidTr="00042CC0">
        <w:trPr>
          <w:cnfStyle w:val="000000010000"/>
        </w:trPr>
        <w:tc>
          <w:tcPr>
            <w:cnfStyle w:val="001000000000"/>
            <w:tcW w:w="1619" w:type="dxa"/>
          </w:tcPr>
          <w:p w:rsidR="00042CC0" w:rsidRDefault="00042CC0" w:rsidP="0037702A">
            <w:r>
              <w:t>A4: Insecure Design</w:t>
            </w:r>
          </w:p>
        </w:tc>
        <w:tc>
          <w:tcPr>
            <w:tcW w:w="1591" w:type="dxa"/>
          </w:tcPr>
          <w:p w:rsidR="00042CC0" w:rsidRDefault="00042CC0" w:rsidP="0037702A">
            <w:pPr>
              <w:cnfStyle w:val="000000010000"/>
            </w:pPr>
            <w:r>
              <w:t>Moderate</w:t>
            </w:r>
          </w:p>
        </w:tc>
        <w:tc>
          <w:tcPr>
            <w:tcW w:w="1590" w:type="dxa"/>
          </w:tcPr>
          <w:p w:rsidR="00042CC0" w:rsidRDefault="00042CC0" w:rsidP="0037702A">
            <w:pPr>
              <w:cnfStyle w:val="000000010000"/>
            </w:pPr>
            <w:r>
              <w:t>Severe</w:t>
            </w:r>
          </w:p>
        </w:tc>
        <w:tc>
          <w:tcPr>
            <w:tcW w:w="1592" w:type="dxa"/>
          </w:tcPr>
          <w:p w:rsidR="00042CC0" w:rsidRDefault="00042CC0" w:rsidP="0037702A">
            <w:pPr>
              <w:cnfStyle w:val="000000010000"/>
            </w:pPr>
            <w:r>
              <w:t>Moderate</w:t>
            </w:r>
          </w:p>
        </w:tc>
        <w:tc>
          <w:tcPr>
            <w:tcW w:w="2086" w:type="dxa"/>
          </w:tcPr>
          <w:p w:rsidR="00042CC0" w:rsidRDefault="00042CC0" w:rsidP="0037702A">
            <w:pPr>
              <w:cnfStyle w:val="000000010000"/>
            </w:pPr>
            <w:r>
              <w:t>More integration testing, frequent code reviews</w:t>
            </w:r>
          </w:p>
        </w:tc>
        <w:tc>
          <w:tcPr>
            <w:tcW w:w="1098" w:type="dxa"/>
          </w:tcPr>
          <w:p w:rsidR="00042CC0" w:rsidRDefault="00BA45E4" w:rsidP="0037702A">
            <w:pPr>
              <w:cnfStyle w:val="000000010000"/>
            </w:pPr>
            <w:r>
              <w:t>Yes</w:t>
            </w:r>
          </w:p>
        </w:tc>
      </w:tr>
      <w:tr w:rsidR="00042CC0" w:rsidTr="00042CC0">
        <w:trPr>
          <w:cnfStyle w:val="000000100000"/>
        </w:trPr>
        <w:tc>
          <w:tcPr>
            <w:cnfStyle w:val="001000000000"/>
            <w:tcW w:w="1619" w:type="dxa"/>
          </w:tcPr>
          <w:p w:rsidR="00042CC0" w:rsidRDefault="00BE21AB" w:rsidP="0037702A">
            <w:r>
              <w:t xml:space="preserve">A5: Security </w:t>
            </w:r>
            <w:proofErr w:type="spellStart"/>
            <w:r>
              <w:t>Misconfiguration</w:t>
            </w:r>
            <w:proofErr w:type="spellEnd"/>
          </w:p>
        </w:tc>
        <w:tc>
          <w:tcPr>
            <w:tcW w:w="1591" w:type="dxa"/>
          </w:tcPr>
          <w:p w:rsidR="00042CC0" w:rsidRDefault="00BE21AB" w:rsidP="0037702A">
            <w:pPr>
              <w:cnfStyle w:val="000000100000"/>
            </w:pPr>
            <w:r>
              <w:t>Moderate</w:t>
            </w:r>
          </w:p>
        </w:tc>
        <w:tc>
          <w:tcPr>
            <w:tcW w:w="1590" w:type="dxa"/>
          </w:tcPr>
          <w:p w:rsidR="00042CC0" w:rsidRDefault="00BE21AB" w:rsidP="0037702A">
            <w:pPr>
              <w:cnfStyle w:val="000000100000"/>
            </w:pPr>
            <w:r>
              <w:t>High</w:t>
            </w:r>
          </w:p>
        </w:tc>
        <w:tc>
          <w:tcPr>
            <w:tcW w:w="1592" w:type="dxa"/>
          </w:tcPr>
          <w:p w:rsidR="00042CC0" w:rsidRDefault="00BE21AB" w:rsidP="0037702A">
            <w:pPr>
              <w:cnfStyle w:val="000000100000"/>
            </w:pPr>
            <w:r>
              <w:t>High</w:t>
            </w:r>
          </w:p>
        </w:tc>
        <w:tc>
          <w:tcPr>
            <w:tcW w:w="2086" w:type="dxa"/>
          </w:tcPr>
          <w:p w:rsidR="00042CC0" w:rsidRDefault="00BE21AB" w:rsidP="0037702A">
            <w:pPr>
              <w:cnfStyle w:val="000000100000"/>
            </w:pPr>
            <w:r>
              <w:t>Proper CORS filtering</w:t>
            </w:r>
          </w:p>
        </w:tc>
        <w:tc>
          <w:tcPr>
            <w:tcW w:w="1098" w:type="dxa"/>
          </w:tcPr>
          <w:p w:rsidR="00042CC0" w:rsidRDefault="00BE21AB" w:rsidP="0037702A">
            <w:pPr>
              <w:cnfStyle w:val="000000100000"/>
            </w:pPr>
            <w:r>
              <w:t>No</w:t>
            </w:r>
          </w:p>
        </w:tc>
      </w:tr>
      <w:tr w:rsidR="00D25329" w:rsidTr="00042CC0">
        <w:trPr>
          <w:cnfStyle w:val="000000010000"/>
        </w:trPr>
        <w:tc>
          <w:tcPr>
            <w:cnfStyle w:val="001000000000"/>
            <w:tcW w:w="1619" w:type="dxa"/>
          </w:tcPr>
          <w:p w:rsidR="00D25329" w:rsidRDefault="00D25329" w:rsidP="0037702A">
            <w:r>
              <w:t>A6: Vulnerable and Outdated Components</w:t>
            </w:r>
          </w:p>
        </w:tc>
        <w:tc>
          <w:tcPr>
            <w:tcW w:w="1591" w:type="dxa"/>
          </w:tcPr>
          <w:p w:rsidR="00D25329" w:rsidRDefault="00D25329" w:rsidP="0037702A">
            <w:pPr>
              <w:cnfStyle w:val="000000010000"/>
            </w:pPr>
            <w:r>
              <w:t>Unlikely</w:t>
            </w:r>
          </w:p>
        </w:tc>
        <w:tc>
          <w:tcPr>
            <w:tcW w:w="1590" w:type="dxa"/>
          </w:tcPr>
          <w:p w:rsidR="00D25329" w:rsidRDefault="00D25329" w:rsidP="0037702A">
            <w:pPr>
              <w:cnfStyle w:val="000000010000"/>
            </w:pPr>
            <w:r>
              <w:t>Low</w:t>
            </w:r>
          </w:p>
        </w:tc>
        <w:tc>
          <w:tcPr>
            <w:tcW w:w="1592" w:type="dxa"/>
          </w:tcPr>
          <w:p w:rsidR="00D25329" w:rsidRDefault="00D25329" w:rsidP="0037702A">
            <w:pPr>
              <w:cnfStyle w:val="000000010000"/>
            </w:pPr>
            <w:r>
              <w:t>High</w:t>
            </w:r>
          </w:p>
        </w:tc>
        <w:tc>
          <w:tcPr>
            <w:tcW w:w="2086" w:type="dxa"/>
          </w:tcPr>
          <w:p w:rsidR="00D25329" w:rsidRDefault="00D25329" w:rsidP="0037702A">
            <w:pPr>
              <w:cnfStyle w:val="000000010000"/>
            </w:pPr>
            <w:r>
              <w:t>Updating installed modules</w:t>
            </w:r>
          </w:p>
        </w:tc>
        <w:tc>
          <w:tcPr>
            <w:tcW w:w="1098" w:type="dxa"/>
          </w:tcPr>
          <w:p w:rsidR="00D25329" w:rsidRDefault="00D25329" w:rsidP="0037702A">
            <w:pPr>
              <w:cnfStyle w:val="000000010000"/>
            </w:pPr>
            <w:r>
              <w:t>No</w:t>
            </w:r>
          </w:p>
        </w:tc>
      </w:tr>
      <w:tr w:rsidR="007842F6" w:rsidTr="00042CC0">
        <w:trPr>
          <w:cnfStyle w:val="000000100000"/>
        </w:trPr>
        <w:tc>
          <w:tcPr>
            <w:cnfStyle w:val="001000000000"/>
            <w:tcW w:w="1619" w:type="dxa"/>
          </w:tcPr>
          <w:p w:rsidR="007842F6" w:rsidRDefault="007842F6" w:rsidP="0037702A">
            <w:r>
              <w:t xml:space="preserve">A7: </w:t>
            </w:r>
            <w:r w:rsidR="00F14121">
              <w:t>Identification and Authentication Failures</w:t>
            </w:r>
          </w:p>
        </w:tc>
        <w:tc>
          <w:tcPr>
            <w:tcW w:w="1591" w:type="dxa"/>
          </w:tcPr>
          <w:p w:rsidR="007842F6" w:rsidRDefault="00F14121" w:rsidP="0037702A">
            <w:pPr>
              <w:cnfStyle w:val="000000100000"/>
            </w:pPr>
            <w:r>
              <w:t>Likely</w:t>
            </w:r>
          </w:p>
        </w:tc>
        <w:tc>
          <w:tcPr>
            <w:tcW w:w="1590" w:type="dxa"/>
          </w:tcPr>
          <w:p w:rsidR="007842F6" w:rsidRDefault="00F14121" w:rsidP="0037702A">
            <w:pPr>
              <w:cnfStyle w:val="000000100000"/>
            </w:pPr>
            <w:r>
              <w:t>Severe</w:t>
            </w:r>
          </w:p>
        </w:tc>
        <w:tc>
          <w:tcPr>
            <w:tcW w:w="1592" w:type="dxa"/>
          </w:tcPr>
          <w:p w:rsidR="007842F6" w:rsidRDefault="00F14121" w:rsidP="0037702A">
            <w:pPr>
              <w:cnfStyle w:val="000000100000"/>
            </w:pPr>
            <w:r>
              <w:t>High</w:t>
            </w:r>
          </w:p>
        </w:tc>
        <w:tc>
          <w:tcPr>
            <w:tcW w:w="2086" w:type="dxa"/>
          </w:tcPr>
          <w:p w:rsidR="007842F6" w:rsidRDefault="00F14121" w:rsidP="00F14121">
            <w:pPr>
              <w:cnfStyle w:val="000000100000"/>
            </w:pPr>
            <w:r>
              <w:t>Adding prevention for Brute-force attacks</w:t>
            </w:r>
          </w:p>
        </w:tc>
        <w:tc>
          <w:tcPr>
            <w:tcW w:w="1098" w:type="dxa"/>
          </w:tcPr>
          <w:p w:rsidR="007842F6" w:rsidRDefault="00F50DFE" w:rsidP="0037702A">
            <w:pPr>
              <w:cnfStyle w:val="000000100000"/>
            </w:pPr>
            <w:r>
              <w:t>No</w:t>
            </w:r>
          </w:p>
        </w:tc>
      </w:tr>
      <w:tr w:rsidR="00F14121" w:rsidTr="00042CC0">
        <w:trPr>
          <w:cnfStyle w:val="000000010000"/>
        </w:trPr>
        <w:tc>
          <w:tcPr>
            <w:cnfStyle w:val="001000000000"/>
            <w:tcW w:w="1619" w:type="dxa"/>
          </w:tcPr>
          <w:p w:rsidR="00F14121" w:rsidRDefault="00F50DFE" w:rsidP="0037702A">
            <w:r>
              <w:t>A8: Software and Data Integrity Failure</w:t>
            </w:r>
          </w:p>
        </w:tc>
        <w:tc>
          <w:tcPr>
            <w:tcW w:w="1591" w:type="dxa"/>
          </w:tcPr>
          <w:p w:rsidR="00F14121" w:rsidRDefault="00F50DFE" w:rsidP="0037702A">
            <w:pPr>
              <w:cnfStyle w:val="000000010000"/>
            </w:pPr>
            <w:r>
              <w:t>Moderate</w:t>
            </w:r>
          </w:p>
        </w:tc>
        <w:tc>
          <w:tcPr>
            <w:tcW w:w="1590" w:type="dxa"/>
          </w:tcPr>
          <w:p w:rsidR="00F14121" w:rsidRDefault="00F50DFE" w:rsidP="0037702A">
            <w:pPr>
              <w:cnfStyle w:val="000000010000"/>
            </w:pPr>
            <w:r>
              <w:t>High</w:t>
            </w:r>
          </w:p>
        </w:tc>
        <w:tc>
          <w:tcPr>
            <w:tcW w:w="1592" w:type="dxa"/>
          </w:tcPr>
          <w:p w:rsidR="00F14121" w:rsidRDefault="00F50DFE" w:rsidP="0037702A">
            <w:pPr>
              <w:cnfStyle w:val="000000010000"/>
            </w:pPr>
            <w:r>
              <w:t>Moderate</w:t>
            </w:r>
          </w:p>
        </w:tc>
        <w:tc>
          <w:tcPr>
            <w:tcW w:w="2086" w:type="dxa"/>
          </w:tcPr>
          <w:p w:rsidR="00F14121" w:rsidRDefault="007F47F9" w:rsidP="007F47F9">
            <w:pPr>
              <w:cnfStyle w:val="000000010000"/>
            </w:pPr>
            <w:r>
              <w:t xml:space="preserve">Practicing caution when importing and using libraries. Using </w:t>
            </w:r>
            <w:proofErr w:type="spellStart"/>
            <w:r>
              <w:t>SonarQube</w:t>
            </w:r>
            <w:proofErr w:type="spellEnd"/>
            <w:r>
              <w:t xml:space="preserve"> vulnerability report</w:t>
            </w:r>
          </w:p>
        </w:tc>
        <w:tc>
          <w:tcPr>
            <w:tcW w:w="1098" w:type="dxa"/>
          </w:tcPr>
          <w:p w:rsidR="00F14121" w:rsidRDefault="00F50DFE" w:rsidP="0037702A">
            <w:pPr>
              <w:cnfStyle w:val="000000010000"/>
            </w:pPr>
            <w:r>
              <w:t>Yes</w:t>
            </w:r>
          </w:p>
        </w:tc>
      </w:tr>
      <w:tr w:rsidR="00F50DFE" w:rsidTr="00042CC0">
        <w:trPr>
          <w:cnfStyle w:val="000000100000"/>
        </w:trPr>
        <w:tc>
          <w:tcPr>
            <w:cnfStyle w:val="001000000000"/>
            <w:tcW w:w="1619" w:type="dxa"/>
          </w:tcPr>
          <w:p w:rsidR="00F50DFE" w:rsidRDefault="00F50DFE" w:rsidP="0037702A">
            <w:r>
              <w:t xml:space="preserve">A9: </w:t>
            </w:r>
            <w:r w:rsidR="001424E8">
              <w:t>Security Logging and Monitoring</w:t>
            </w:r>
          </w:p>
        </w:tc>
        <w:tc>
          <w:tcPr>
            <w:tcW w:w="1591" w:type="dxa"/>
          </w:tcPr>
          <w:p w:rsidR="00F50DFE" w:rsidRDefault="001424E8" w:rsidP="0037702A">
            <w:pPr>
              <w:cnfStyle w:val="000000100000"/>
            </w:pPr>
            <w:r>
              <w:t>High</w:t>
            </w:r>
          </w:p>
        </w:tc>
        <w:tc>
          <w:tcPr>
            <w:tcW w:w="1590" w:type="dxa"/>
          </w:tcPr>
          <w:p w:rsidR="00F50DFE" w:rsidRDefault="001424E8" w:rsidP="0037702A">
            <w:pPr>
              <w:cnfStyle w:val="000000100000"/>
            </w:pPr>
            <w:r>
              <w:t>Low</w:t>
            </w:r>
          </w:p>
        </w:tc>
        <w:tc>
          <w:tcPr>
            <w:tcW w:w="1592" w:type="dxa"/>
          </w:tcPr>
          <w:p w:rsidR="00F50DFE" w:rsidRDefault="001424E8" w:rsidP="0037702A">
            <w:pPr>
              <w:cnfStyle w:val="000000100000"/>
            </w:pPr>
            <w:r>
              <w:t>High</w:t>
            </w:r>
          </w:p>
        </w:tc>
        <w:tc>
          <w:tcPr>
            <w:tcW w:w="2086" w:type="dxa"/>
          </w:tcPr>
          <w:p w:rsidR="00F50DFE" w:rsidRDefault="001424E8" w:rsidP="00F14121">
            <w:pPr>
              <w:cnfStyle w:val="000000100000"/>
            </w:pPr>
            <w:r>
              <w:t>Adding loggers to every operation</w:t>
            </w:r>
          </w:p>
        </w:tc>
        <w:tc>
          <w:tcPr>
            <w:tcW w:w="1098" w:type="dxa"/>
          </w:tcPr>
          <w:p w:rsidR="00F50DFE" w:rsidRDefault="001424E8" w:rsidP="0037702A">
            <w:pPr>
              <w:cnfStyle w:val="000000100000"/>
            </w:pPr>
            <w:r>
              <w:t>No</w:t>
            </w:r>
          </w:p>
        </w:tc>
      </w:tr>
      <w:tr w:rsidR="001424E8" w:rsidTr="00042CC0">
        <w:trPr>
          <w:cnfStyle w:val="000000010000"/>
        </w:trPr>
        <w:tc>
          <w:tcPr>
            <w:cnfStyle w:val="001000000000"/>
            <w:tcW w:w="1619" w:type="dxa"/>
          </w:tcPr>
          <w:p w:rsidR="001424E8" w:rsidRDefault="001424E8" w:rsidP="0037702A">
            <w:r>
              <w:t>A10: SSRF</w:t>
            </w:r>
          </w:p>
        </w:tc>
        <w:tc>
          <w:tcPr>
            <w:tcW w:w="1591" w:type="dxa"/>
          </w:tcPr>
          <w:p w:rsidR="001424E8" w:rsidRDefault="001424E8" w:rsidP="0037702A">
            <w:pPr>
              <w:cnfStyle w:val="000000010000"/>
            </w:pPr>
            <w:r>
              <w:t>Moderate</w:t>
            </w:r>
          </w:p>
        </w:tc>
        <w:tc>
          <w:tcPr>
            <w:tcW w:w="1590" w:type="dxa"/>
          </w:tcPr>
          <w:p w:rsidR="001424E8" w:rsidRDefault="001424E8" w:rsidP="0037702A">
            <w:pPr>
              <w:cnfStyle w:val="000000010000"/>
            </w:pPr>
            <w:r>
              <w:t>Severe</w:t>
            </w:r>
          </w:p>
        </w:tc>
        <w:tc>
          <w:tcPr>
            <w:tcW w:w="1592" w:type="dxa"/>
          </w:tcPr>
          <w:p w:rsidR="001424E8" w:rsidRDefault="001424E8" w:rsidP="0037702A">
            <w:pPr>
              <w:cnfStyle w:val="000000010000"/>
            </w:pPr>
            <w:r>
              <w:t>High</w:t>
            </w:r>
          </w:p>
        </w:tc>
        <w:tc>
          <w:tcPr>
            <w:tcW w:w="2086" w:type="dxa"/>
          </w:tcPr>
          <w:p w:rsidR="001424E8" w:rsidRDefault="001424E8" w:rsidP="00F14121">
            <w:pPr>
              <w:cnfStyle w:val="000000010000"/>
            </w:pPr>
            <w:r>
              <w:t>Validating all URL’s of requests</w:t>
            </w:r>
          </w:p>
        </w:tc>
        <w:tc>
          <w:tcPr>
            <w:tcW w:w="1098" w:type="dxa"/>
          </w:tcPr>
          <w:p w:rsidR="001424E8" w:rsidRDefault="001424E8" w:rsidP="0037702A">
            <w:pPr>
              <w:cnfStyle w:val="000000010000"/>
            </w:pPr>
            <w:r>
              <w:t>Yes</w:t>
            </w:r>
          </w:p>
        </w:tc>
      </w:tr>
    </w:tbl>
    <w:p w:rsidR="0037702A" w:rsidRDefault="0037702A" w:rsidP="0037702A"/>
    <w:p w:rsidR="0037702A" w:rsidRPr="00F50DFE" w:rsidRDefault="0037702A" w:rsidP="0037702A">
      <w:pPr>
        <w:rPr>
          <w:u w:val="single"/>
        </w:rPr>
      </w:pPr>
      <w:r w:rsidRPr="00F50DFE">
        <w:rPr>
          <w:u w:val="single"/>
        </w:rPr>
        <w:t>Context explanations</w:t>
      </w:r>
    </w:p>
    <w:p w:rsidR="0037702A" w:rsidRDefault="0037702A" w:rsidP="0037702A">
      <w:pPr>
        <w:pStyle w:val="ListParagraph"/>
        <w:numPr>
          <w:ilvl w:val="0"/>
          <w:numId w:val="1"/>
        </w:numPr>
      </w:pPr>
      <w:r>
        <w:t xml:space="preserve">A1: Actions are authorized based on roles. The roles are received based on the user’s </w:t>
      </w:r>
      <w:r w:rsidR="00FE0E1D">
        <w:t xml:space="preserve">JWT </w:t>
      </w:r>
      <w:r>
        <w:t>authentication token, which is sent in request headers.</w:t>
      </w:r>
    </w:p>
    <w:p w:rsidR="00F50DFE" w:rsidRDefault="00F50DFE" w:rsidP="00F50DFE">
      <w:pPr>
        <w:pStyle w:val="ListParagraph"/>
      </w:pPr>
    </w:p>
    <w:p w:rsidR="00F50DFE" w:rsidRDefault="0037702A" w:rsidP="00F50DFE">
      <w:pPr>
        <w:pStyle w:val="ListParagraph"/>
        <w:numPr>
          <w:ilvl w:val="0"/>
          <w:numId w:val="1"/>
        </w:numPr>
      </w:pPr>
      <w:r>
        <w:t>A2: Passwords are encrypted using SHA512</w:t>
      </w:r>
      <w:r w:rsidR="00042CC0">
        <w:t xml:space="preserve"> hashing, salting and peppering. In addition, no user sensitive information is sent from the server after being added, unless the user wishes to change it. The changing operation cannot be accessed by an unauthorized party.</w:t>
      </w:r>
    </w:p>
    <w:p w:rsidR="00F50DFE" w:rsidRDefault="00F50DFE" w:rsidP="00F50DFE">
      <w:pPr>
        <w:pStyle w:val="ListParagraph"/>
      </w:pPr>
    </w:p>
    <w:p w:rsidR="00F50DFE" w:rsidRDefault="00F50DFE" w:rsidP="00F50DFE">
      <w:pPr>
        <w:pStyle w:val="ListParagraph"/>
      </w:pPr>
    </w:p>
    <w:p w:rsidR="00042CC0" w:rsidRDefault="00042CC0" w:rsidP="0037702A">
      <w:pPr>
        <w:pStyle w:val="ListParagraph"/>
        <w:numPr>
          <w:ilvl w:val="0"/>
          <w:numId w:val="1"/>
        </w:numPr>
      </w:pPr>
      <w:r>
        <w:t xml:space="preserve">A3: For storing data the application uses an ORM which makes it impossible to inject malicious SQL, due to the way of storing </w:t>
      </w:r>
    </w:p>
    <w:p w:rsidR="00F50DFE" w:rsidRDefault="00F50DFE" w:rsidP="00F50DFE">
      <w:pPr>
        <w:pStyle w:val="ListParagraph"/>
      </w:pPr>
    </w:p>
    <w:p w:rsidR="00042CC0" w:rsidRDefault="00042CC0" w:rsidP="0037702A">
      <w:pPr>
        <w:pStyle w:val="ListParagraph"/>
        <w:numPr>
          <w:ilvl w:val="0"/>
          <w:numId w:val="1"/>
        </w:numPr>
      </w:pPr>
      <w:r>
        <w:t xml:space="preserve">A4: Unsecured endpoints </w:t>
      </w:r>
      <w:r w:rsidR="00BE21AB">
        <w:t xml:space="preserve">or open ports may be left behind and go unnoticed, until proper integration and penetration testing. Also </w:t>
      </w:r>
      <w:r w:rsidR="00F14121">
        <w:t>since cross server communication is done via HTTP instead of HTTPS, this leaves the app vulnerable to Man-In-The-Middle attacks</w:t>
      </w:r>
      <w:r w:rsidR="00F50DFE">
        <w:t>.</w:t>
      </w:r>
    </w:p>
    <w:p w:rsidR="00F50DFE" w:rsidRDefault="00F50DFE" w:rsidP="00F50DFE">
      <w:pPr>
        <w:pStyle w:val="ListParagraph"/>
      </w:pPr>
    </w:p>
    <w:p w:rsidR="00F50DFE" w:rsidRDefault="00F50DFE" w:rsidP="00F50DFE">
      <w:pPr>
        <w:pStyle w:val="ListParagraph"/>
      </w:pPr>
    </w:p>
    <w:p w:rsidR="00BE21AB" w:rsidRDefault="00BE21AB" w:rsidP="0037702A">
      <w:pPr>
        <w:pStyle w:val="ListParagraph"/>
        <w:numPr>
          <w:ilvl w:val="0"/>
          <w:numId w:val="1"/>
        </w:numPr>
      </w:pPr>
      <w:r>
        <w:t>A5: CORS configurations check for specific allowed origins and not allow any requests made from any server other than the designated frontend server</w:t>
      </w:r>
      <w:r w:rsidR="007F47F9">
        <w:t>.</w:t>
      </w:r>
      <w:r w:rsidR="007F47F9" w:rsidRPr="007F47F9">
        <w:t xml:space="preserve"> </w:t>
      </w:r>
      <w:r w:rsidR="007F47F9">
        <w:t>The user should not be able to trigger error messages that would reveal any relevant information on how the application works. Also, there will not be any debugging outputs and that could be used in harmful ways. Since the application is not ready for production, this does not take priority.</w:t>
      </w:r>
    </w:p>
    <w:p w:rsidR="00F50DFE" w:rsidRDefault="00F50DFE" w:rsidP="00F50DFE">
      <w:pPr>
        <w:pStyle w:val="ListParagraph"/>
      </w:pPr>
    </w:p>
    <w:p w:rsidR="00D25329" w:rsidRDefault="00D25329" w:rsidP="0037702A">
      <w:pPr>
        <w:pStyle w:val="ListParagraph"/>
        <w:numPr>
          <w:ilvl w:val="0"/>
          <w:numId w:val="1"/>
        </w:numPr>
      </w:pPr>
      <w:r>
        <w:t xml:space="preserve">A6: </w:t>
      </w:r>
      <w:r w:rsidR="007842F6">
        <w:t>Components are mainly updated with security updates, if they function properly and have been designed future-proof (as is the case most of the time). A vulnerability could arise if a component update is no longer compatible with the deployed version of the app. Updating the entire application (for example changing the JDK version) is a very tricky situation, which would result in using the outdated and vulnerable module for a certain period of time.</w:t>
      </w:r>
    </w:p>
    <w:p w:rsidR="00F50DFE" w:rsidRDefault="00F50DFE" w:rsidP="00F50DFE">
      <w:pPr>
        <w:pStyle w:val="ListParagraph"/>
      </w:pPr>
    </w:p>
    <w:p w:rsidR="00F50DFE" w:rsidRDefault="00F50DFE" w:rsidP="00F50DFE">
      <w:pPr>
        <w:pStyle w:val="ListParagraph"/>
      </w:pPr>
    </w:p>
    <w:p w:rsidR="007842F6" w:rsidRDefault="00F14121" w:rsidP="0037702A">
      <w:pPr>
        <w:pStyle w:val="ListParagraph"/>
        <w:numPr>
          <w:ilvl w:val="0"/>
          <w:numId w:val="1"/>
        </w:numPr>
      </w:pPr>
      <w:r>
        <w:t>A7: As the system may allow weak passwords right now, the responsibility is placed on the user to choose a strong password and secure his account. Communication between unauthorized parties and the serv</w:t>
      </w:r>
      <w:r w:rsidR="007F47F9">
        <w:t>er should be limited, to prevent</w:t>
      </w:r>
      <w:r>
        <w:t xml:space="preserve"> password cracking via the use of Rainbow Tables or any type of brute-force attack.</w:t>
      </w:r>
    </w:p>
    <w:p w:rsidR="00F50DFE" w:rsidRDefault="00F50DFE" w:rsidP="00F50DFE">
      <w:pPr>
        <w:pStyle w:val="ListParagraph"/>
      </w:pPr>
    </w:p>
    <w:p w:rsidR="00F50DFE" w:rsidRDefault="00F50DFE" w:rsidP="0037702A">
      <w:pPr>
        <w:pStyle w:val="ListParagraph"/>
        <w:numPr>
          <w:ilvl w:val="0"/>
          <w:numId w:val="1"/>
        </w:numPr>
      </w:pPr>
      <w:r>
        <w:t xml:space="preserve">A8: </w:t>
      </w:r>
      <w:r w:rsidR="007F47F9">
        <w:t xml:space="preserve">The project is not using </w:t>
      </w:r>
      <w:proofErr w:type="spellStart"/>
      <w:r w:rsidR="007F47F9">
        <w:t>untrusted</w:t>
      </w:r>
      <w:proofErr w:type="spellEnd"/>
      <w:r w:rsidR="007F47F9">
        <w:t xml:space="preserve"> libraries, the only external libraries are open-source on </w:t>
      </w:r>
      <w:proofErr w:type="spellStart"/>
      <w:r w:rsidR="007F47F9">
        <w:t>github</w:t>
      </w:r>
      <w:proofErr w:type="spellEnd"/>
      <w:r w:rsidR="007F47F9">
        <w:t xml:space="preserve"> and maintained. If the project were to ever use an </w:t>
      </w:r>
      <w:proofErr w:type="spellStart"/>
      <w:r w:rsidR="007F47F9">
        <w:t>untrusted</w:t>
      </w:r>
      <w:proofErr w:type="spellEnd"/>
      <w:r w:rsidR="007F47F9">
        <w:t xml:space="preserve"> library, it would be picked up by the </w:t>
      </w:r>
      <w:proofErr w:type="spellStart"/>
      <w:r w:rsidR="007F47F9">
        <w:t>SonarQube</w:t>
      </w:r>
      <w:proofErr w:type="spellEnd"/>
      <w:r w:rsidR="007F47F9">
        <w:t xml:space="preserve"> vulnerability report (this is a premium feature, discussion is hypothetical). </w:t>
      </w:r>
      <w:proofErr w:type="spellStart"/>
      <w:r w:rsidR="007F47F9">
        <w:t>Npm</w:t>
      </w:r>
      <w:proofErr w:type="spellEnd"/>
      <w:r w:rsidR="007F47F9">
        <w:t xml:space="preserve"> also reports vulnerabilities when installing packages. If a vulnerable library is the only way to implement a feature, the feature will take priority, because of the nature of the project.</w:t>
      </w:r>
    </w:p>
    <w:p w:rsidR="001424E8" w:rsidRDefault="001424E8" w:rsidP="001424E8">
      <w:pPr>
        <w:pStyle w:val="ListParagraph"/>
      </w:pPr>
    </w:p>
    <w:p w:rsidR="001424E8" w:rsidRDefault="001424E8" w:rsidP="0037702A">
      <w:pPr>
        <w:pStyle w:val="ListParagraph"/>
        <w:numPr>
          <w:ilvl w:val="0"/>
          <w:numId w:val="1"/>
        </w:numPr>
      </w:pPr>
      <w:r>
        <w:t>A9: An error log should be present on the user side, keeping records of operations and their outputs. At this point in development this is not a priority.</w:t>
      </w:r>
    </w:p>
    <w:p w:rsidR="001424E8" w:rsidRDefault="001424E8" w:rsidP="001424E8">
      <w:pPr>
        <w:pStyle w:val="ListParagraph"/>
      </w:pPr>
    </w:p>
    <w:p w:rsidR="001424E8" w:rsidRPr="0037702A" w:rsidRDefault="001424E8" w:rsidP="0037702A">
      <w:pPr>
        <w:pStyle w:val="ListParagraph"/>
        <w:numPr>
          <w:ilvl w:val="0"/>
          <w:numId w:val="1"/>
        </w:numPr>
      </w:pPr>
      <w:r>
        <w:lastRenderedPageBreak/>
        <w:t xml:space="preserve">A10: Every URL is validated by the cross origin </w:t>
      </w:r>
      <w:proofErr w:type="gramStart"/>
      <w:r>
        <w:t>configuration, that</w:t>
      </w:r>
      <w:proofErr w:type="gramEnd"/>
      <w:r>
        <w:t xml:space="preserve"> only allows specified sources and ports for requests (example: </w:t>
      </w:r>
      <w:hyperlink r:id="rId5" w:history="1">
        <w:r w:rsidRPr="00D43D1E">
          <w:rPr>
            <w:rStyle w:val="Hyperlink"/>
          </w:rPr>
          <w:t>http://localhost:5173</w:t>
        </w:r>
      </w:hyperlink>
      <w:r>
        <w:t>).</w:t>
      </w:r>
    </w:p>
    <w:sectPr w:rsidR="001424E8" w:rsidRPr="0037702A" w:rsidSect="009C5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52577"/>
    <w:multiLevelType w:val="hybridMultilevel"/>
    <w:tmpl w:val="E594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7702A"/>
    <w:rsid w:val="00042CC0"/>
    <w:rsid w:val="000D459B"/>
    <w:rsid w:val="001424E8"/>
    <w:rsid w:val="0037702A"/>
    <w:rsid w:val="00623AC5"/>
    <w:rsid w:val="006E128A"/>
    <w:rsid w:val="007842F6"/>
    <w:rsid w:val="007F47F9"/>
    <w:rsid w:val="009C5494"/>
    <w:rsid w:val="00BA45E4"/>
    <w:rsid w:val="00BE21AB"/>
    <w:rsid w:val="00D25329"/>
    <w:rsid w:val="00EE1281"/>
    <w:rsid w:val="00F14121"/>
    <w:rsid w:val="00F50DFE"/>
    <w:rsid w:val="00FE0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0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70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702A"/>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770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3770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7702A"/>
    <w:pPr>
      <w:ind w:left="720"/>
      <w:contextualSpacing/>
    </w:pPr>
  </w:style>
  <w:style w:type="character" w:styleId="Hyperlink">
    <w:name w:val="Hyperlink"/>
    <w:basedOn w:val="DefaultParagraphFont"/>
    <w:uiPriority w:val="99"/>
    <w:unhideWhenUsed/>
    <w:rsid w:val="001424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1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if</cp:lastModifiedBy>
  <cp:revision>7</cp:revision>
  <dcterms:created xsi:type="dcterms:W3CDTF">2023-12-13T10:02:00Z</dcterms:created>
  <dcterms:modified xsi:type="dcterms:W3CDTF">2024-01-17T12:49:00Z</dcterms:modified>
</cp:coreProperties>
</file>