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63.png" ContentType="image/png"/>
  <Override PartName="/word/media/rId66.png" ContentType="image/png"/>
  <Override PartName="/word/media/rId69.png" ContentType="image/png"/>
  <Override PartName="/word/media/rId77.png" ContentType="image/png"/>
  <Override PartName="/word/media/rId80.png" ContentType="image/png"/>
  <Override PartName="/word/media/rId83.png" ContentType="image/png"/>
  <Override PartName="/word/media/rId86.png" ContentType="image/png"/>
  <Override PartName="/word/media/rId25.png" ContentType="image/png"/>
  <Override PartName="/word/media/rId35.png" ContentType="image/png"/>
  <Override PartName="/word/media/rId4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Interpretation Tool</w:t>
      </w:r>
    </w:p>
    <w:p>
      <w:pPr>
        <w:pStyle w:val="FirstParagraph"/>
      </w:pPr>
      <w:r>
        <w:t xml:space="preserve">This document is to go over the details of the interpretation tool part of the update framework, which is based on the work by Langan et. al.</w:t>
      </w:r>
    </w:p>
    <w:bookmarkStart w:id="90" w:name="derivation-of-contours"/>
    <w:p>
      <w:pPr>
        <w:pStyle w:val="Heading1"/>
      </w:pPr>
      <w:r>
        <w:t xml:space="preserve">Derivation of contours</w:t>
      </w:r>
    </w:p>
    <w:p>
      <w:pPr>
        <w:pStyle w:val="FirstParagraph"/>
      </w:pPr>
      <w:r>
        <w:t xml:space="preserve">This section will go over the derivation of forming the contours of the plot for different situations.</w:t>
      </w:r>
    </w:p>
    <w:bookmarkStart w:id="48" w:name="fixed-effects"/>
    <w:p>
      <w:pPr>
        <w:pStyle w:val="Heading2"/>
      </w:pPr>
      <w:r>
        <w:t xml:space="preserve">Fixed-effects</w:t>
      </w:r>
    </w:p>
    <w:p>
      <w:pPr>
        <w:pStyle w:val="FirstParagraph"/>
      </w:pPr>
      <w:r>
        <w:t xml:space="preserve">We are working within the fixed-effects framework initially, where the between-study heterogeneity, denoted by</w:t>
      </w:r>
      <w:r>
        <w:t xml:space="preserve"> </w:t>
      </w:r>
      <m:oMath>
        <m:sSup>
          <m:e>
            <m:r>
              <m:t>τ</m:t>
            </m:r>
          </m:e>
          <m:sup>
            <m:r>
              <m:t>2</m:t>
            </m:r>
          </m:sup>
        </m:sSup>
      </m:oMath>
      <w:r>
        <w:t xml:space="preserve">, is equal to zero.</w:t>
      </w:r>
    </w:p>
    <w:bookmarkStart w:id="40" w:name="statistical-significance"/>
    <w:p>
      <w:pPr>
        <w:pStyle w:val="Heading3"/>
      </w:pPr>
      <w:r>
        <w:t xml:space="preserve">Statistical significance</w:t>
      </w:r>
    </w:p>
    <w:p>
      <w:pPr>
        <w:pStyle w:val="FirstParagraph"/>
      </w:pPr>
      <w:r>
        <w:t xml:space="preserve">Lets assume we are interested in changing the statistical significance (i.e., the p-value).</w:t>
      </w:r>
    </w:p>
    <w:bookmarkStart w:id="29" w:name="one-new-study"/>
    <w:p>
      <w:pPr>
        <w:pStyle w:val="Heading4"/>
      </w:pPr>
      <w:r>
        <w:t xml:space="preserve">One new study</w:t>
      </w:r>
    </w:p>
    <w:p>
      <w:pPr>
        <w:pStyle w:val="FirstParagraph"/>
      </w:pPr>
      <w:r>
        <w:t xml:space="preserve">Let’s start with assuming that there is only one new study that will be added to the meta-analysis.</w:t>
      </w:r>
    </w:p>
    <w:p>
      <w:pPr>
        <w:pStyle w:val="BodyText"/>
      </w:pPr>
      <w:r>
        <w:t xml:space="preserve">The 95% confidence interval (CI) is denoted by</w:t>
      </w:r>
    </w:p>
    <w:p>
      <w:pPr>
        <w:pStyle w:val="BodyText"/>
      </w:pPr>
      <w:bookmarkStart w:id="20" w:name="eq-ci"/>
      <m:oMathPara>
        <m:oMathParaPr>
          <m:jc m:val="center"/>
        </m:oMathParaPr>
        <m:oMath>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1</m:t>
              </m:r>
            </m:e>
          </m:d>
        </m:oMath>
      </m:oMathPara>
      <w:bookmarkEnd w:id="20"/>
    </w:p>
    <w:p>
      <w:pPr>
        <w:pStyle w:val="FirstParagraph"/>
      </w:pPr>
      <w:r>
        <w:t xml:space="preserve">where</w:t>
      </w:r>
      <w:r>
        <w:t xml:space="preserve"> </w:t>
      </w:r>
      <m:oMath>
        <m:acc>
          <m:accPr>
            <m:chr m:val="̂"/>
          </m:accPr>
          <m:e>
            <m:r>
              <m:t>θ</m:t>
            </m:r>
          </m:e>
        </m:acc>
      </m:oMath>
      <w:r>
        <w:t xml:space="preserve"> </w:t>
      </w:r>
      <w:r>
        <w:t xml:space="preserve">is the pooled effect estimate,</w:t>
      </w:r>
      <w:r>
        <w:t xml:space="preserve"> </w:t>
      </w:r>
      <m:oMath>
        <m:r>
          <m:t>α</m:t>
        </m:r>
      </m:oMath>
      <w:r>
        <w:t xml:space="preserve"> </w:t>
      </w:r>
      <w:r>
        <w:t xml:space="preserve">is the type I error rate (normally set at 0.05),</w:t>
      </w:r>
      <w:r>
        <w:t xml:space="preserve"> </w:t>
      </w:r>
      <m:oMath>
        <m:sSup>
          <m:e>
            <m:r>
              <m:t>Φ</m:t>
            </m:r>
          </m:e>
          <m:sup>
            <m:r>
              <m:rPr>
                <m:sty m:val="p"/>
              </m:rPr>
              <m:t>−</m:t>
            </m:r>
            <m:r>
              <m:t>1</m:t>
            </m:r>
          </m:sup>
        </m:sSup>
      </m:oMath>
      <w:r>
        <w:t xml:space="preserve"> </w:t>
      </w:r>
      <w:r>
        <w:t xml:space="preserve">is the inverse cumulative normal distribution with mean 0 and variance 1 (which ensures that</w:t>
      </w:r>
      <w:r>
        <w:t xml:space="preserve"> </w:t>
      </w:r>
      <m:oMath>
        <m:sSup>
          <m:e>
            <m:r>
              <m:t>Φ</m:t>
            </m:r>
          </m:e>
          <m:sup>
            <m:r>
              <m:rPr>
                <m:sty m:val="p"/>
              </m:rPr>
              <m:t>−</m:t>
            </m:r>
            <m:r>
              <m:t>1</m:t>
            </m:r>
          </m:sup>
        </m:sSup>
        <m:d>
          <m:dPr>
            <m:begChr m:val="("/>
            <m:endChr m:val=")"/>
            <m:sepChr m:val=""/>
            <m:grow/>
          </m:dPr>
          <m:e>
            <m:r>
              <m:t>α</m:t>
            </m:r>
            <m:r>
              <m:rPr>
                <m:sty m:val="p"/>
              </m:rPr>
              <m:t>/</m:t>
            </m:r>
            <m:r>
              <m:t>2</m:t>
            </m:r>
          </m:e>
        </m:d>
      </m:oMath>
      <w:r>
        <w:t xml:space="preserve"> </w:t>
      </w:r>
      <w:r>
        <w:t xml:space="preserve">maps an</w:t>
      </w:r>
      <w:r>
        <w:t xml:space="preserve"> </w:t>
      </w:r>
      <m:oMath>
        <m:r>
          <m:t>α</m:t>
        </m:r>
      </m:oMath>
      <w:r>
        <w:t xml:space="preserve"> </w:t>
      </w:r>
      <w:r>
        <w:t xml:space="preserve">value of 0.05 to the value of 1.96).</w:t>
      </w:r>
      <w:r>
        <w:t xml:space="preserve"> </w:t>
      </w:r>
      <m:oMath>
        <m:r>
          <m:t>v</m:t>
        </m:r>
        <m:r>
          <m:t>a</m:t>
        </m:r>
        <m:r>
          <m:t>r</m:t>
        </m:r>
        <m:d>
          <m:dPr>
            <m:begChr m:val="("/>
            <m:endChr m:val=")"/>
            <m:sepChr m:val=""/>
            <m:grow/>
          </m:dPr>
          <m:e>
            <m:acc>
              <m:accPr>
                <m:chr m:val="̂"/>
              </m:accPr>
              <m:e>
                <m:r>
                  <m:t>θ</m:t>
                </m:r>
              </m:e>
            </m:acc>
          </m:e>
        </m:d>
      </m:oMath>
      <w:r>
        <w:t xml:space="preserve"> </w:t>
      </w:r>
      <w:r>
        <w:t xml:space="preserve">is the variance of the pooled effect estimate.</w:t>
      </w:r>
    </w:p>
    <w:p>
      <w:pPr>
        <w:pStyle w:val="BodyText"/>
      </w:pPr>
      <w:r>
        <w:t xml:space="preserve">To create a threshold for statistical significance (specified by</w:t>
      </w:r>
      <w:r>
        <w:t xml:space="preserve"> </w:t>
      </w:r>
      <m:oMath>
        <m:r>
          <m:t>α</m:t>
        </m:r>
      </m:oMath>
      <w:r>
        <w:t xml:space="preserve">), we can specify that the lower or upper bound of the 95% CI needs to touch the null value, denoted by</w:t>
      </w:r>
      <w:r>
        <w:t xml:space="preserve"> </w:t>
      </w:r>
      <m:oMath>
        <m:sSub>
          <m:e>
            <m:r>
              <m:t>θ</m:t>
            </m:r>
          </m:e>
          <m:sub>
            <m:r>
              <m:t>0</m:t>
            </m:r>
          </m:sub>
        </m:sSub>
      </m:oMath>
      <w:r>
        <w:t xml:space="preserve">.</w:t>
      </w:r>
    </w:p>
    <w:p>
      <w:pPr>
        <w:pStyle w:val="BodyText"/>
      </w:pPr>
      <w:r>
        <w:t xml:space="preserve">Let’s assume that there is a new study with (unknown) effect estimate</w:t>
      </w:r>
      <w:r>
        <w:t xml:space="preserve"> </w:t>
      </w:r>
      <m:oMath>
        <m:sSub>
          <m:e>
            <m:acc>
              <m:accPr>
                <m:chr m:val="̂"/>
              </m:accPr>
              <m:e>
                <m:r>
                  <m:t>θ</m:t>
                </m:r>
              </m:e>
            </m:acc>
          </m:e>
          <m:sub>
            <m:r>
              <m:t>n</m:t>
            </m:r>
            <m:r>
              <m:t>e</m:t>
            </m:r>
            <m:r>
              <m:t>w</m:t>
            </m:r>
          </m:sub>
        </m:sSub>
      </m:oMath>
      <w:r>
        <w:t xml:space="preserve"> </w:t>
      </w:r>
      <w:r>
        <w:t xml:space="preserve">, variance</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and weight</w:t>
      </w:r>
      <w:r>
        <w:t xml:space="preserve"> </w:t>
      </w:r>
      <m:oMath>
        <m:sSub>
          <m:e>
            <m:r>
              <m:t>w</m:t>
            </m:r>
          </m:e>
          <m:sub>
            <m:r>
              <m:t>n</m:t>
            </m:r>
            <m:r>
              <m:t>e</m:t>
            </m:r>
            <m:r>
              <m:t>w</m:t>
            </m:r>
          </m:sub>
        </m:sSub>
      </m:oMath>
      <w:r>
        <w:t xml:space="preserve">. Then once this new study is added to the meta-analysis, the updated results will be as follows:</w:t>
      </w:r>
    </w:p>
    <w:p>
      <w:pPr>
        <w:pStyle w:val="BodyText"/>
      </w:pPr>
      <w:bookmarkStart w:id="21" w:name="eq-updated-estimate"/>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r>
                    <m:t>n</m:t>
                  </m:r>
                  <m:r>
                    <m:t>e</m:t>
                  </m:r>
                  <m:r>
                    <m:t>w</m:t>
                  </m:r>
                </m:sub>
              </m:sSub>
              <m:sSub>
                <m:e>
                  <m:acc>
                    <m:accPr>
                      <m:chr m:val="̂"/>
                    </m:accPr>
                    <m:e>
                      <m:r>
                        <m:t>θ</m:t>
                      </m:r>
                    </m:e>
                  </m:acc>
                </m:e>
                <m:sub>
                  <m:r>
                    <m:t>n</m:t>
                  </m:r>
                  <m:r>
                    <m:t>e</m:t>
                  </m:r>
                  <m:r>
                    <m:t>w</m:t>
                  </m:r>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r>
            <m:t>  </m:t>
          </m:r>
          <m:d>
            <m:dPr>
              <m:begChr m:val="("/>
              <m:endChr m:val=")"/>
              <m:sepChr m:val=""/>
              <m:grow/>
            </m:dPr>
            <m:e>
              <m:r>
                <m:t>2</m:t>
              </m:r>
            </m:e>
          </m:d>
        </m:oMath>
      </m:oMathPara>
      <w:bookmarkEnd w:id="21"/>
    </w:p>
    <w:p>
      <w:pPr>
        <w:pStyle w:val="FirstParagraph"/>
      </w:pPr>
      <w:bookmarkStart w:id="22" w:name="eq-updated-variance"/>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r>
            <m:t>  </m:t>
          </m:r>
          <m:d>
            <m:dPr>
              <m:begChr m:val="("/>
              <m:endChr m:val=")"/>
              <m:sepChr m:val=""/>
              <m:grow/>
            </m:dPr>
            <m:e>
              <m:r>
                <m:t>3</m:t>
              </m:r>
            </m:e>
          </m:d>
        </m:oMath>
      </m:oMathPara>
      <w:bookmarkEnd w:id="22"/>
    </w:p>
    <w:p>
      <w:pPr>
        <w:pStyle w:val="FirstParagraph"/>
      </w:pPr>
      <w:r>
        <w:t xml:space="preserve">where</w:t>
      </w:r>
      <w:r>
        <w:t xml:space="preserve"> </w:t>
      </w:r>
      <m:oMath>
        <m:r>
          <m:t>n</m:t>
        </m:r>
      </m:oMath>
      <w:r>
        <w:t xml:space="preserve"> </w:t>
      </w:r>
      <w:r>
        <w:t xml:space="preserve">is the number of studies in the original meta-analysis.</w:t>
      </w:r>
    </w:p>
    <w:p>
      <w:pPr>
        <w:pStyle w:val="BodyText"/>
      </w:pPr>
      <w:r>
        <w:t xml:space="preserve">By substituting</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w:t>
      </w:r>
      <w:r>
        <w:t xml:space="preserve">into</w:t>
      </w:r>
      <w:r>
        <w:t xml:space="preserve"> </w:t>
      </w:r>
      <w:hyperlink w:anchor="eq-ci">
        <w:r>
          <w:rPr>
            <w:rStyle w:val="Hyperlink"/>
          </w:rPr>
          <w:t xml:space="preserve">Equation 1</w:t>
        </w:r>
      </w:hyperlink>
      <w:r>
        <w:t xml:space="preserve">, and specifying that the upper or lower bound equals</w:t>
      </w:r>
      <w:r>
        <w:t xml:space="preserve"> </w:t>
      </w:r>
      <m:oMath>
        <m:sSub>
          <m:e>
            <m:r>
              <m:t>θ</m:t>
            </m:r>
          </m:e>
          <m:sub>
            <m:r>
              <m:t>0</m:t>
            </m:r>
          </m:sub>
        </m:sSub>
      </m:oMath>
      <w:r>
        <w:t xml:space="preserve">, we can get an expression for</w:t>
      </w:r>
      <w:r>
        <w:t xml:space="preserve"> </w:t>
      </w:r>
      <m:oMath>
        <m:sSub>
          <m:e>
            <m:r>
              <m:t>θ</m:t>
            </m:r>
          </m:e>
          <m:sub>
            <m:r>
              <m:t>n</m:t>
            </m:r>
            <m:r>
              <m:t>e</m:t>
            </m:r>
            <m:r>
              <m:t>w</m:t>
            </m:r>
          </m:sub>
        </m:sSub>
      </m:oMath>
      <w:r>
        <w:t xml:space="preserve"> </w:t>
      </w:r>
      <w:r>
        <w:t xml:space="preserve">in terms of other quantities:</w:t>
      </w:r>
    </w:p>
    <w:p>
      <w:pPr>
        <w:pStyle w:val="BodyText"/>
      </w:pPr>
      <w:bookmarkStart w:id="23" w:name="eq-rearranged-theta-new"/>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0</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r>
            <m:t>  </m:t>
          </m:r>
          <m:d>
            <m:dPr>
              <m:begChr m:val="("/>
              <m:endChr m:val=")"/>
              <m:sepChr m:val=""/>
              <m:grow/>
            </m:dPr>
            <m:e>
              <m:r>
                <m:t>4</m:t>
              </m:r>
            </m:e>
          </m:d>
        </m:oMath>
      </m:oMathPara>
      <w:bookmarkEnd w:id="23"/>
    </w:p>
    <w:p>
      <w:pPr>
        <w:pStyle w:val="FirstParagraph"/>
      </w:pPr>
      <w:r>
        <w:t xml:space="preserve">In a fixed-effects meta-analysis, each weight is simply calculated as</w:t>
      </w:r>
    </w:p>
    <w:p>
      <w:pPr>
        <w:pStyle w:val="BodyText"/>
      </w:pPr>
      <w:bookmarkStart w:id="24" w:name="eq-fixed-weight"/>
      <m:oMathPara>
        <m:oMathParaPr>
          <m:jc m:val="center"/>
        </m:oMathParaPr>
        <m:oMath>
          <m:sSub>
            <m:e>
              <m:r>
                <m:t>w</m:t>
              </m:r>
            </m:e>
            <m:sub>
              <m:r>
                <m:t>i</m:t>
              </m:r>
            </m:sub>
          </m:sSub>
          <m:r>
            <m:rPr>
              <m:sty m:val="p"/>
            </m:rPr>
            <m:t>=</m:t>
          </m:r>
          <m:f>
            <m:fPr>
              <m:type m:val="bar"/>
            </m:fPr>
            <m:num>
              <m:r>
                <m:t>1</m:t>
              </m:r>
            </m:num>
            <m:den>
              <m:r>
                <m:t>v</m:t>
              </m:r>
              <m:r>
                <m:t>a</m:t>
              </m:r>
              <m:r>
                <m:t>r</m:t>
              </m:r>
              <m:d>
                <m:dPr>
                  <m:begChr m:val="("/>
                  <m:endChr m:val=")"/>
                  <m:sepChr m:val=""/>
                  <m:grow/>
                </m:dPr>
                <m:e>
                  <m:sSub>
                    <m:e>
                      <m:acc>
                        <m:accPr>
                          <m:chr m:val="̂"/>
                        </m:accPr>
                        <m:e>
                          <m:r>
                            <m:t>θ</m:t>
                          </m:r>
                        </m:e>
                      </m:acc>
                    </m:e>
                    <m:sub>
                      <m:r>
                        <m:t>i</m:t>
                      </m:r>
                    </m:sub>
                  </m:sSub>
                </m:e>
              </m:d>
            </m:den>
          </m:f>
          <m:r>
            <m:t>  </m:t>
          </m:r>
          <m:d>
            <m:dPr>
              <m:begChr m:val="("/>
              <m:endChr m:val=")"/>
              <m:sepChr m:val=""/>
              <m:grow/>
            </m:dPr>
            <m:e>
              <m:r>
                <m:t>5</m:t>
              </m:r>
            </m:e>
          </m:d>
        </m:oMath>
      </m:oMathPara>
      <w:bookmarkEnd w:id="24"/>
    </w:p>
    <w:p>
      <w:pPr>
        <w:pStyle w:val="FirstParagraph"/>
      </w:pPr>
      <w:r>
        <w:t xml:space="preserve">Therefore, by substituting</w:t>
      </w:r>
      <w:r>
        <w:t xml:space="preserve"> </w:t>
      </w:r>
      <w:hyperlink w:anchor="eq-fixed-weight">
        <w:r>
          <w:rPr>
            <w:rStyle w:val="Hyperlink"/>
          </w:rPr>
          <w:t xml:space="preserve">Equation 5</w:t>
        </w:r>
      </w:hyperlink>
      <w:r>
        <w:t xml:space="preserve"> </w:t>
      </w:r>
      <w:r>
        <w:t xml:space="preserve">into</w:t>
      </w:r>
      <w:r>
        <w:t xml:space="preserve"> </w:t>
      </w:r>
      <w:hyperlink w:anchor="eq-rearranged-theta-new">
        <w:r>
          <w:rPr>
            <w:rStyle w:val="Hyperlink"/>
          </w:rPr>
          <w:t xml:space="preserve">Equation 4</w:t>
        </w:r>
      </w:hyperlink>
      <w:r>
        <w:t xml:space="preserve">, we then get an equation for the contour threshold on the estimate-variance plane.</w:t>
      </w:r>
    </w:p>
    <w:bookmarkStart w:id="28" w:name="example-plot"/>
    <w:p>
      <w:pPr>
        <w:pStyle w:val="Heading5"/>
      </w:pPr>
      <w:r>
        <w:t xml:space="preserve">Example plot</w:t>
      </w:r>
    </w:p>
    <w:p>
      <w:pPr>
        <w:pStyle w:val="SourceCode"/>
      </w:pPr>
      <w:r>
        <w:rPr>
          <w:rStyle w:val="VerbatimChar"/>
        </w:rPr>
        <w:t xml:space="preserve">[1] "Addition of new study will give a statistically significant (alpha = 0.05) pooled estimate"</w:t>
      </w:r>
    </w:p>
    <w:p>
      <w:pPr>
        <w:pStyle w:val="FirstParagraph"/>
      </w:pPr>
      <w:r>
        <w:drawing>
          <wp:inline>
            <wp:extent cx="5334000" cy="2133600"/>
            <wp:effectExtent b="0" l="0" r="0" t="0"/>
            <wp:docPr descr="" title="" id="26" name="Picture"/>
            <a:graphic>
              <a:graphicData uri="http://schemas.openxmlformats.org/drawingml/2006/picture">
                <pic:pic>
                  <pic:nvPicPr>
                    <pic:cNvPr descr="Interpretation-tool_files/figure-docx/unnamed-chunk-2-1.png" id="27" name="Picture"/>
                    <pic:cNvPicPr>
                      <a:picLocks noChangeArrowheads="1" noChangeAspect="1"/>
                    </pic:cNvPicPr>
                  </pic:nvPicPr>
                  <pic:blipFill>
                    <a:blip r:embed="rId25"/>
                    <a:stretch>
                      <a:fillRect/>
                    </a:stretch>
                  </pic:blipFill>
                  <pic:spPr bwMode="auto">
                    <a:xfrm>
                      <a:off x="0" y="0"/>
                      <a:ext cx="5334000" cy="2133600"/>
                    </a:xfrm>
                    <a:prstGeom prst="rect">
                      <a:avLst/>
                    </a:prstGeom>
                    <a:noFill/>
                    <a:ln w="9525">
                      <a:noFill/>
                      <a:headEnd/>
                      <a:tailEnd/>
                    </a:ln>
                  </pic:spPr>
                </pic:pic>
              </a:graphicData>
            </a:graphic>
          </wp:inline>
        </w:drawing>
      </w:r>
    </w:p>
    <w:bookmarkEnd w:id="28"/>
    <w:bookmarkEnd w:id="29"/>
    <w:bookmarkStart w:id="34" w:name="two-new-studies"/>
    <w:p>
      <w:pPr>
        <w:pStyle w:val="Heading4"/>
      </w:pPr>
      <w:r>
        <w:t xml:space="preserve">Two new studies</w:t>
      </w:r>
    </w:p>
    <w:p>
      <w:pPr>
        <w:pStyle w:val="FirstParagraph"/>
      </w:pPr>
      <w:r>
        <w:t xml:space="preserve">When expanding from one new study to two new studies,</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w:t>
      </w:r>
      <w:r>
        <w:t xml:space="preserve">become</w:t>
      </w:r>
    </w:p>
    <w:p>
      <w:pPr>
        <w:pStyle w:val="BodyText"/>
      </w:pPr>
      <w:bookmarkStart w:id="30" w:name="eq-meta-theta-2studies"/>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r>
                    <m:t>n</m:t>
                  </m:r>
                  <m:r>
                    <m:t>1</m:t>
                  </m:r>
                </m:sub>
              </m:sSub>
              <m:sSub>
                <m:e>
                  <m:acc>
                    <m:accPr>
                      <m:chr m:val="̂"/>
                    </m:accPr>
                    <m:e>
                      <m:r>
                        <m:t>θ</m:t>
                      </m:r>
                    </m:e>
                  </m:acc>
                </m:e>
                <m:sub>
                  <m:r>
                    <m:t>n</m:t>
                  </m:r>
                  <m:r>
                    <m:t>1</m:t>
                  </m:r>
                </m:sub>
              </m:sSub>
              <m:r>
                <m:rPr>
                  <m:sty m:val="p"/>
                </m:rPr>
                <m:t>+</m:t>
              </m:r>
              <m:sSub>
                <m:e>
                  <m:r>
                    <m:t>w</m:t>
                  </m:r>
                </m:e>
                <m:sub>
                  <m:r>
                    <m:t>n</m:t>
                  </m:r>
                  <m:r>
                    <m:t>2</m:t>
                  </m:r>
                </m:sub>
              </m:sSub>
              <m:sSub>
                <m:e>
                  <m:acc>
                    <m:accPr>
                      <m:chr m:val="̂"/>
                    </m:accPr>
                    <m:e>
                      <m:r>
                        <m:t>θ</m:t>
                      </m:r>
                    </m:e>
                  </m:acc>
                </m:e>
                <m:sub>
                  <m:r>
                    <m:t>n</m:t>
                  </m:r>
                  <m:r>
                    <m:t>2</m:t>
                  </m:r>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1</m:t>
                  </m:r>
                </m:sub>
              </m:sSub>
              <m:r>
                <m:rPr>
                  <m:sty m:val="p"/>
                </m:rPr>
                <m:t>+</m:t>
              </m:r>
              <m:sSub>
                <m:e>
                  <m:r>
                    <m:t>w</m:t>
                  </m:r>
                </m:e>
                <m:sub>
                  <m:r>
                    <m:t>n</m:t>
                  </m:r>
                  <m:r>
                    <m:t>2</m:t>
                  </m:r>
                </m:sub>
              </m:sSub>
            </m:den>
          </m:f>
          <m:r>
            <m:t>  </m:t>
          </m:r>
          <m:d>
            <m:dPr>
              <m:begChr m:val="("/>
              <m:endChr m:val=")"/>
              <m:sepChr m:val=""/>
              <m:grow/>
            </m:dPr>
            <m:e>
              <m:r>
                <m:t>6</m:t>
              </m:r>
            </m:e>
          </m:d>
        </m:oMath>
      </m:oMathPara>
      <w:bookmarkEnd w:id="30"/>
    </w:p>
    <w:p>
      <w:pPr>
        <w:pStyle w:val="FirstParagraph"/>
      </w:pPr>
      <w:bookmarkStart w:id="31" w:name="eq-meta-variance-2studies"/>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1</m:t>
                  </m:r>
                </m:sub>
              </m:sSub>
              <m:r>
                <m:rPr>
                  <m:sty m:val="p"/>
                </m:rPr>
                <m:t>+</m:t>
              </m:r>
              <m:sSub>
                <m:e>
                  <m:r>
                    <m:t>w</m:t>
                  </m:r>
                </m:e>
                <m:sub>
                  <m:r>
                    <m:t>n</m:t>
                  </m:r>
                  <m:r>
                    <m:t>2</m:t>
                  </m:r>
                </m:sub>
              </m:sSub>
            </m:den>
          </m:f>
          <m:r>
            <m:t>  </m:t>
          </m:r>
          <m:d>
            <m:dPr>
              <m:begChr m:val="("/>
              <m:endChr m:val=")"/>
              <m:sepChr m:val=""/>
              <m:grow/>
            </m:dPr>
            <m:e>
              <m:r>
                <m:t>7</m:t>
              </m:r>
            </m:e>
          </m:d>
        </m:oMath>
      </m:oMathPara>
      <w:bookmarkEnd w:id="31"/>
    </w:p>
    <w:p>
      <w:pPr>
        <w:pStyle w:val="FirstParagraph"/>
      </w:pPr>
      <w:r>
        <w:t xml:space="preserve">where</w:t>
      </w:r>
      <w:r>
        <w:t xml:space="preserve"> </w:t>
      </w:r>
      <m:oMath>
        <m:sSub>
          <m:e>
            <m:acc>
              <m:accPr>
                <m:chr m:val="̂"/>
              </m:accPr>
              <m:e>
                <m:r>
                  <m:t>θ</m:t>
                </m:r>
              </m:e>
            </m:acc>
          </m:e>
          <m:sub>
            <m:r>
              <m:t>n</m:t>
            </m:r>
            <m:r>
              <m:t>j</m:t>
            </m:r>
          </m:sub>
        </m:sSub>
      </m:oMath>
      <w:r>
        <w:t xml:space="preserve"> </w:t>
      </w:r>
      <w:r>
        <w:t xml:space="preserve">and</w:t>
      </w:r>
      <w:r>
        <w:t xml:space="preserve"> </w:t>
      </w:r>
      <m:oMath>
        <m:sSub>
          <m:e>
            <m:r>
              <m:t>w</m:t>
            </m:r>
          </m:e>
          <m:sub>
            <m:r>
              <m:t>n</m:t>
            </m:r>
            <m:r>
              <m:t>j</m:t>
            </m:r>
          </m:sub>
        </m:sSub>
      </m:oMath>
      <w:r>
        <w:t xml:space="preserve"> </w:t>
      </w:r>
      <w:r>
        <w:t xml:space="preserve">are the estimates and weights of new studies respectively, where</w:t>
      </w:r>
      <w:r>
        <w:t xml:space="preserve"> </w:t>
      </w:r>
      <m:oMath>
        <m:r>
          <m:t>j</m:t>
        </m:r>
        <m:r>
          <m:rPr>
            <m:sty m:val="p"/>
          </m:rPr>
          <m:t>=</m:t>
        </m:r>
        <m:r>
          <m:t>1</m:t>
        </m:r>
        <m:r>
          <m:rPr>
            <m:sty m:val="p"/>
          </m:rPr>
          <m:t>,</m:t>
        </m:r>
        <m:r>
          <m:t>2</m:t>
        </m:r>
      </m:oMath>
      <w:r>
        <w:t xml:space="preserve">.</w:t>
      </w:r>
    </w:p>
    <w:p>
      <w:pPr>
        <w:pStyle w:val="BodyText"/>
      </w:pPr>
      <w:r>
        <w:t xml:space="preserve">Let</w:t>
      </w:r>
    </w:p>
    <w:p>
      <w:pPr>
        <w:pStyle w:val="BodyText"/>
      </w:pPr>
      <w:bookmarkStart w:id="32" w:name="eq-weight-2studies"/>
      <m:oMathPara>
        <m:oMathParaPr>
          <m:jc m:val="center"/>
        </m:oMathParaPr>
        <m:oMath>
          <m:sSub>
            <m:e>
              <m:r>
                <m:t>w</m:t>
              </m:r>
            </m:e>
            <m:sub>
              <m:acc>
                <m:accPr>
                  <m:chr m:val="‾"/>
                </m:accPr>
                <m:e>
                  <m:r>
                    <m:t>n</m:t>
                  </m:r>
                  <m:r>
                    <m:t>e</m:t>
                  </m:r>
                  <m:r>
                    <m:t>w</m:t>
                  </m:r>
                </m:e>
              </m:acc>
            </m:sub>
          </m:sSub>
          <m:r>
            <m:rPr>
              <m:sty m:val="p"/>
            </m:rPr>
            <m:t>=</m:t>
          </m:r>
          <m:sSub>
            <m:e>
              <m:r>
                <m:t>w</m:t>
              </m:r>
            </m:e>
            <m:sub>
              <m:r>
                <m:t>n</m:t>
              </m:r>
              <m:r>
                <m:t>1</m:t>
              </m:r>
            </m:sub>
          </m:sSub>
          <m:r>
            <m:rPr>
              <m:sty m:val="p"/>
            </m:rPr>
            <m:t>+</m:t>
          </m:r>
          <m:sSub>
            <m:e>
              <m:r>
                <m:t>w</m:t>
              </m:r>
            </m:e>
            <m:sub>
              <m:r>
                <m:t>n</m:t>
              </m:r>
              <m:r>
                <m:t>2</m:t>
              </m:r>
            </m:sub>
          </m:sSub>
          <m:r>
            <m:t>  </m:t>
          </m:r>
          <m:d>
            <m:dPr>
              <m:begChr m:val="("/>
              <m:endChr m:val=")"/>
              <m:sepChr m:val=""/>
              <m:grow/>
            </m:dPr>
            <m:e>
              <m:r>
                <m:t>8</m:t>
              </m:r>
            </m:e>
          </m:d>
        </m:oMath>
      </m:oMathPara>
      <w:bookmarkEnd w:id="32"/>
    </w:p>
    <w:p>
      <w:pPr>
        <w:pStyle w:val="FirstParagraph"/>
      </w:pPr>
      <w:bookmarkStart w:id="33" w:name="eq-theta-2studies"/>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sSub>
                <m:e>
                  <m:r>
                    <m:t>w</m:t>
                  </m:r>
                </m:e>
                <m:sub>
                  <m:r>
                    <m:t>n</m:t>
                  </m:r>
                  <m:r>
                    <m:t>1</m:t>
                  </m:r>
                </m:sub>
              </m:sSub>
              <m:sSub>
                <m:e>
                  <m:acc>
                    <m:accPr>
                      <m:chr m:val="̂"/>
                    </m:accPr>
                    <m:e>
                      <m:r>
                        <m:t>θ</m:t>
                      </m:r>
                    </m:e>
                  </m:acc>
                </m:e>
                <m:sub>
                  <m:r>
                    <m:t>n</m:t>
                  </m:r>
                  <m:r>
                    <m:t>1</m:t>
                  </m:r>
                </m:sub>
              </m:sSub>
              <m:r>
                <m:rPr>
                  <m:sty m:val="p"/>
                </m:rPr>
                <m:t>+</m:t>
              </m:r>
              <m:sSub>
                <m:e>
                  <m:r>
                    <m:t>w</m:t>
                  </m:r>
                </m:e>
                <m:sub>
                  <m:r>
                    <m:t>n</m:t>
                  </m:r>
                  <m:r>
                    <m:t>2</m:t>
                  </m:r>
                </m:sub>
              </m:sSub>
              <m:sSub>
                <m:e>
                  <m:acc>
                    <m:accPr>
                      <m:chr m:val="̂"/>
                    </m:accPr>
                    <m:e>
                      <m:r>
                        <m:t>θ</m:t>
                      </m:r>
                    </m:e>
                  </m:acc>
                </m:e>
                <m:sub>
                  <m:r>
                    <m:t>n</m:t>
                  </m:r>
                  <m:r>
                    <m:t>2</m:t>
                  </m:r>
                </m:sub>
              </m:sSub>
            </m:num>
            <m:den>
              <m:sSub>
                <m:e>
                  <m:r>
                    <m:t>w</m:t>
                  </m:r>
                </m:e>
                <m:sub>
                  <m:r>
                    <m:t>n</m:t>
                  </m:r>
                  <m:r>
                    <m:t>1</m:t>
                  </m:r>
                </m:sub>
              </m:sSub>
              <m:r>
                <m:rPr>
                  <m:sty m:val="p"/>
                </m:rPr>
                <m:t>+</m:t>
              </m:r>
              <m:sSub>
                <m:e>
                  <m:r>
                    <m:t>w</m:t>
                  </m:r>
                </m:e>
                <m:sub>
                  <m:r>
                    <m:t>n</m:t>
                  </m:r>
                  <m:r>
                    <m:t>2</m:t>
                  </m:r>
                </m:sub>
              </m:sSub>
            </m:den>
          </m:f>
          <m:r>
            <m:t>  </m:t>
          </m:r>
          <m:d>
            <m:dPr>
              <m:begChr m:val="("/>
              <m:endChr m:val=")"/>
              <m:sepChr m:val=""/>
              <m:grow/>
            </m:dPr>
            <m:e>
              <m:r>
                <m:t>9</m:t>
              </m:r>
            </m:e>
          </m:d>
        </m:oMath>
      </m:oMathPara>
      <w:bookmarkEnd w:id="33"/>
    </w:p>
    <w:p>
      <w:pPr>
        <w:pStyle w:val="FirstParagraph"/>
      </w:pPr>
      <w:r>
        <w:t xml:space="preserve">Substituting</w:t>
      </w:r>
      <w:r>
        <w:t xml:space="preserve"> </w:t>
      </w:r>
      <w:hyperlink w:anchor="eq-weight-2studies">
        <w:r>
          <w:rPr>
            <w:rStyle w:val="Hyperlink"/>
          </w:rPr>
          <w:t xml:space="preserve">Equation 8</w:t>
        </w:r>
      </w:hyperlink>
      <w:r>
        <w:t xml:space="preserve"> </w:t>
      </w:r>
      <w:r>
        <w:t xml:space="preserve">and</w:t>
      </w:r>
      <w:r>
        <w:t xml:space="preserve"> </w:t>
      </w:r>
      <w:hyperlink w:anchor="eq-theta-2studies">
        <w:r>
          <w:rPr>
            <w:rStyle w:val="Hyperlink"/>
          </w:rPr>
          <w:t xml:space="preserve">Equation 9</w:t>
        </w:r>
      </w:hyperlink>
      <w:r>
        <w:t xml:space="preserve"> </w:t>
      </w:r>
      <w:r>
        <w:t xml:space="preserve">into</w:t>
      </w:r>
      <w:r>
        <w:t xml:space="preserve"> </w:t>
      </w:r>
      <w:hyperlink w:anchor="eq-meta-theta-2studies">
        <w:r>
          <w:rPr>
            <w:rStyle w:val="Hyperlink"/>
          </w:rPr>
          <w:t xml:space="preserve">Equation 6</w:t>
        </w:r>
      </w:hyperlink>
      <w:r>
        <w:t xml:space="preserve"> </w:t>
      </w:r>
      <w:r>
        <w:t xml:space="preserve">and</w:t>
      </w:r>
      <w:r>
        <w:t xml:space="preserve"> </w:t>
      </w:r>
      <w:hyperlink w:anchor="eq-meta-variance-2studies">
        <w:r>
          <w:rPr>
            <w:rStyle w:val="Hyperlink"/>
          </w:rPr>
          <w:t xml:space="preserve">Equation 7</w:t>
        </w:r>
      </w:hyperlink>
      <w:r>
        <w:t xml:space="preserve"> </w:t>
      </w:r>
      <w:r>
        <w:t xml:space="preserve">gives us the following:</w:t>
      </w:r>
    </w:p>
    <w:p>
      <w:pPr>
        <w:pStyle w:val="BodyText"/>
      </w:pPr>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b>
                <m:e>
                  <m:r>
                    <m:t>w</m:t>
                  </m:r>
                </m:e>
                <m:sub>
                  <m:acc>
                    <m:accPr>
                      <m:chr m:val="‾"/>
                    </m:accPr>
                    <m:e>
                      <m:r>
                        <m:t>n</m:t>
                      </m:r>
                      <m:r>
                        <m:t>e</m:t>
                      </m:r>
                      <m:r>
                        <m:t>w</m:t>
                      </m:r>
                    </m:e>
                  </m:acc>
                </m:sub>
              </m:sSub>
              <m:sSub>
                <m:e>
                  <m:acc>
                    <m:accPr>
                      <m:chr m:val="̂"/>
                    </m:accPr>
                    <m:e>
                      <m:r>
                        <m:t>θ</m:t>
                      </m:r>
                    </m:e>
                  </m:acc>
                </m:e>
                <m:sub>
                  <m:acc>
                    <m:accPr>
                      <m:chr m:val="‾"/>
                    </m:accPr>
                    <m:e>
                      <m:r>
                        <m:t>n</m:t>
                      </m:r>
                      <m:r>
                        <m:t>e</m:t>
                      </m:r>
                      <m:r>
                        <m:t>w</m:t>
                      </m:r>
                    </m:e>
                  </m:acc>
                </m:sub>
              </m:sSub>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acc>
                    <m:accPr>
                      <m:chr m:val="‾"/>
                    </m:accPr>
                    <m:e>
                      <m:r>
                        <m:t>n</m:t>
                      </m:r>
                      <m:r>
                        <m:t>e</m:t>
                      </m:r>
                      <m:r>
                        <m:t>w</m:t>
                      </m:r>
                    </m:e>
                  </m:acc>
                </m:sub>
              </m:sSub>
            </m:den>
          </m:f>
        </m:oMath>
      </m:oMathPara>
    </w:p>
    <w:p>
      <w:pPr>
        <w:pStyle w:val="FirstParagraph"/>
      </w:pPr>
      <m:oMathPara>
        <m:oMathParaPr>
          <m:jc m:val="center"/>
        </m:oMathParaPr>
        <m:oMath>
          <m:r>
            <m:t>v</m:t>
          </m:r>
          <m:r>
            <m:t>a</m:t>
          </m:r>
          <m:r>
            <m:t>r</m:t>
          </m:r>
          <m:d>
            <m:dPr>
              <m:begChr m:val="("/>
              <m:endChr m:val=")"/>
              <m:sepChr m:val=""/>
              <m:grow/>
            </m:dPr>
            <m:e>
              <m:acc>
                <m:accPr>
                  <m:chr m:val="̂"/>
                </m:accPr>
                <m:e>
                  <m:r>
                    <m:t>θ</m:t>
                  </m:r>
                </m:e>
              </m:acc>
            </m:e>
          </m:d>
          <m:r>
            <m:rPr>
              <m:sty m:val="p"/>
            </m:rPr>
            <m:t>=</m:t>
          </m:r>
          <m:f>
            <m:fPr>
              <m:type m:val="bar"/>
            </m:fPr>
            <m:num>
              <m:r>
                <m:t>1</m:t>
              </m:r>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acc>
                    <m:accPr>
                      <m:chr m:val="‾"/>
                    </m:accPr>
                    <m:e>
                      <m:r>
                        <m:t>n</m:t>
                      </m:r>
                      <m:r>
                        <m:t>e</m:t>
                      </m:r>
                      <m:r>
                        <m:t>w</m:t>
                      </m:r>
                    </m:e>
                  </m:acc>
                </m:sub>
              </m:sSub>
            </m:den>
          </m:f>
        </m:oMath>
      </m:oMathPara>
    </w:p>
    <w:p>
      <w:pPr>
        <w:pStyle w:val="FirstParagraph"/>
      </w:pPr>
      <w:r>
        <w:t xml:space="preserve">This is simply the same equations as equations</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Therefore, everything else follows through as before, but with</w:t>
      </w:r>
      <w:r>
        <w:t xml:space="preserve"> </w:t>
      </w:r>
      <m:oMath>
        <m:sSub>
          <m:e>
            <m:r>
              <m:t>w</m:t>
            </m:r>
          </m:e>
          <m:sub>
            <m:acc>
              <m:accPr>
                <m:chr m:val="‾"/>
              </m:accPr>
              <m:e>
                <m:r>
                  <m:t>n</m:t>
                </m:r>
                <m:r>
                  <m:t>e</m:t>
                </m:r>
                <m:r>
                  <m:t>w</m:t>
                </m:r>
              </m:e>
            </m:acc>
          </m:sub>
        </m:sSub>
      </m:oMath>
      <w:r>
        <w:t xml:space="preserve"> </w:t>
      </w:r>
      <w:r>
        <w:t xml:space="preserve">and</w:t>
      </w:r>
      <w:r>
        <w:t xml:space="preserve"> </w:t>
      </w:r>
      <m:oMath>
        <m:sSub>
          <m:e>
            <m:acc>
              <m:accPr>
                <m:chr m:val="̂"/>
              </m:accPr>
              <m:e>
                <m:r>
                  <m:t>θ</m:t>
                </m:r>
              </m:e>
            </m:acc>
          </m:e>
          <m:sub>
            <m:acc>
              <m:accPr>
                <m:chr m:val="‾"/>
              </m:accPr>
              <m:e>
                <m:r>
                  <m:t>n</m:t>
                </m:r>
                <m:r>
                  <m:t>e</m:t>
                </m:r>
                <m:r>
                  <m:t>w</m:t>
                </m:r>
              </m:e>
            </m:acc>
          </m:sub>
        </m:sSub>
      </m:oMath>
      <w:r>
        <w:t xml:space="preserve"> </w:t>
      </w:r>
      <w:r>
        <w:t xml:space="preserve">in place of</w:t>
      </w:r>
      <w:r>
        <w:t xml:space="preserve"> </w:t>
      </w:r>
      <m:oMath>
        <m:sSub>
          <m:e>
            <m:r>
              <m:t>w</m:t>
            </m:r>
          </m:e>
          <m:sub>
            <m:r>
              <m:t>n</m:t>
            </m:r>
            <m:r>
              <m:t>e</m:t>
            </m:r>
            <m:r>
              <m:t>w</m:t>
            </m:r>
          </m:sub>
        </m:sSub>
      </m:oMath>
      <w:r>
        <w:t xml:space="preserve"> </w:t>
      </w:r>
      <w:r>
        <w:t xml:space="preserve">and</w:t>
      </w:r>
      <w:r>
        <w:t xml:space="preserve"> </w:t>
      </w:r>
      <m:oMath>
        <m:sSub>
          <m:e>
            <m:acc>
              <m:accPr>
                <m:chr m:val="̂"/>
              </m:accPr>
              <m:e>
                <m:r>
                  <m:t>θ</m:t>
                </m:r>
              </m:e>
            </m:acc>
          </m:e>
          <m:sub>
            <m:r>
              <m:t>n</m:t>
            </m:r>
            <m:r>
              <m:t>e</m:t>
            </m:r>
            <m:r>
              <m:t>w</m:t>
            </m:r>
          </m:sub>
        </m:sSub>
      </m:oMath>
      <w:r>
        <w:t xml:space="preserve">.</w:t>
      </w:r>
    </w:p>
    <w:bookmarkEnd w:id="34"/>
    <w:bookmarkStart w:id="39" w:name="sec-multiple-new-studies-fixed"/>
    <w:p>
      <w:pPr>
        <w:pStyle w:val="Heading4"/>
      </w:pPr>
      <w:r>
        <w:t xml:space="preserve">Multiple new studies</w:t>
      </w:r>
    </w:p>
    <w:p>
      <w:pPr>
        <w:pStyle w:val="FirstParagraph"/>
      </w:pPr>
      <w:r>
        <w:t xml:space="preserve">Where we are calculating the contour to</w:t>
      </w:r>
      <w:r>
        <w:t xml:space="preserve"> </w:t>
      </w:r>
      <m:oMath>
        <m:r>
          <m:t>m</m:t>
        </m:r>
      </m:oMath>
      <w:r>
        <w:t xml:space="preserve"> </w:t>
      </w:r>
      <w:r>
        <w:t xml:space="preserve">new studies, the equations follow as if it was one new study, but</w:t>
      </w:r>
      <w:r>
        <w:t xml:space="preserve"> </w:t>
      </w:r>
      <m:oMath>
        <m:sSub>
          <m:e>
            <m:r>
              <m:t>w</m:t>
            </m:r>
          </m:e>
          <m:sub>
            <m:r>
              <m:t>n</m:t>
            </m:r>
            <m:r>
              <m:t>e</m:t>
            </m:r>
            <m:r>
              <m:t>w</m:t>
            </m:r>
          </m:sub>
        </m:sSub>
      </m:oMath>
      <w:r>
        <w:t xml:space="preserve"> </w:t>
      </w:r>
      <w:r>
        <w:t xml:space="preserve">and</w:t>
      </w:r>
      <w:r>
        <w:t xml:space="preserve"> </w:t>
      </w:r>
      <m:oMath>
        <m:sSub>
          <m:e>
            <m:acc>
              <m:accPr>
                <m:chr m:val="̂"/>
              </m:accPr>
              <m:e>
                <m:r>
                  <m:t>θ</m:t>
                </m:r>
              </m:e>
            </m:acc>
          </m:e>
          <m:sub>
            <m:r>
              <m:t>n</m:t>
            </m:r>
            <m:r>
              <m:t>e</m:t>
            </m:r>
            <m:r>
              <m:t>w</m:t>
            </m:r>
          </m:sub>
        </m:sSub>
      </m:oMath>
      <w:r>
        <w:t xml:space="preserve"> </w:t>
      </w:r>
      <w:r>
        <w:t xml:space="preserve">are defined as</w:t>
      </w:r>
    </w:p>
    <w:p>
      <w:pPr>
        <w:pStyle w:val="BodyText"/>
      </w:pPr>
      <m:oMathPara>
        <m:oMathParaPr>
          <m:jc m:val="center"/>
        </m:oMathParaPr>
        <m:oMath>
          <m:sSub>
            <m:e>
              <m:r>
                <m:t>w</m:t>
              </m:r>
            </m:e>
            <m:sub>
              <m:acc>
                <m:accPr>
                  <m:chr m:val="‾"/>
                </m:accPr>
                <m:e>
                  <m:r>
                    <m:t>n</m:t>
                  </m:r>
                  <m:r>
                    <m:t>e</m:t>
                  </m:r>
                  <m:r>
                    <m:t>w</m:t>
                  </m:r>
                </m:e>
              </m:acc>
            </m:sub>
          </m:sSub>
          <m:r>
            <m:rPr>
              <m:sty m:val="p"/>
            </m:rPr>
            <m:t>=</m:t>
          </m:r>
          <m:nary>
            <m:naryPr>
              <m:chr m:val="∑"/>
              <m:limLoc m:val="undOvr"/>
              <m:subHide m:val="off"/>
              <m:supHide m:val="off"/>
            </m:naryPr>
            <m:sub>
              <m:r>
                <m:t>j</m:t>
              </m:r>
              <m:r>
                <m:rPr>
                  <m:sty m:val="p"/>
                </m:rPr>
                <m:t>=</m:t>
              </m:r>
              <m:r>
                <m:t>1</m:t>
              </m:r>
            </m:sub>
            <m:sup>
              <m:r>
                <m:t>m</m:t>
              </m:r>
            </m:sup>
            <m:e>
              <m:sSub>
                <m:e>
                  <m:r>
                    <m:t>w</m:t>
                  </m:r>
                </m:e>
                <m:sub>
                  <m:r>
                    <m:t>n</m:t>
                  </m:r>
                  <m:r>
                    <m:t>j</m:t>
                  </m:r>
                </m:sub>
              </m:sSub>
            </m:e>
          </m:nary>
        </m:oMath>
      </m:oMathPara>
    </w:p>
    <w:p>
      <w:pPr>
        <w:pStyle w:val="FirstParagraph"/>
      </w:pPr>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sSub>
                    <m:e>
                      <m:r>
                        <m:t>w</m:t>
                      </m:r>
                    </m:e>
                    <m:sub>
                      <m:r>
                        <m:t>n</m:t>
                      </m:r>
                      <m:r>
                        <m:t>j</m:t>
                      </m:r>
                    </m:sub>
                  </m:sSub>
                  <m:sSub>
                    <m:e>
                      <m:acc>
                        <m:accPr>
                          <m:chr m:val="̂"/>
                        </m:accPr>
                        <m:e>
                          <m:r>
                            <m:t>θ</m:t>
                          </m:r>
                        </m:e>
                      </m:acc>
                    </m:e>
                    <m:sub>
                      <m:r>
                        <m:t>n</m:t>
                      </m:r>
                      <m:r>
                        <m:t>j</m:t>
                      </m:r>
                    </m:sub>
                  </m:sSub>
                </m:e>
              </m:nary>
            </m:num>
            <m:den>
              <m:nary>
                <m:naryPr>
                  <m:chr m:val="∑"/>
                  <m:limLoc m:val="undOvr"/>
                  <m:subHide m:val="off"/>
                  <m:supHide m:val="off"/>
                </m:naryPr>
                <m:sub>
                  <m:r>
                    <m:t>j</m:t>
                  </m:r>
                  <m:r>
                    <m:rPr>
                      <m:sty m:val="p"/>
                    </m:rPr>
                    <m:t>=</m:t>
                  </m:r>
                  <m:r>
                    <m:t>1</m:t>
                  </m:r>
                </m:sub>
                <m:sup>
                  <m:r>
                    <m:t>m</m:t>
                  </m:r>
                </m:sup>
                <m:e>
                  <m:sSub>
                    <m:e>
                      <m:r>
                        <m:t>w</m:t>
                      </m:r>
                    </m:e>
                    <m:sub>
                      <m:r>
                        <m:t>n</m:t>
                      </m:r>
                      <m:r>
                        <m:t>j</m:t>
                      </m:r>
                    </m:sub>
                  </m:sSub>
                </m:e>
              </m:nary>
            </m:den>
          </m:f>
        </m:oMath>
      </m:oMathPara>
    </w:p>
    <w:p>
      <w:pPr>
        <w:pStyle w:val="FirstParagraph"/>
      </w:pPr>
      <w:r>
        <w:t xml:space="preserve">where</w:t>
      </w:r>
      <w:r>
        <w:t xml:space="preserve"> </w:t>
      </w:r>
      <m:oMath>
        <m:sSub>
          <m:e>
            <m:acc>
              <m:accPr>
                <m:chr m:val="̂"/>
              </m:accPr>
              <m:e>
                <m:r>
                  <m:t>θ</m:t>
                </m:r>
              </m:e>
            </m:acc>
          </m:e>
          <m:sub>
            <m:r>
              <m:t>n</m:t>
            </m:r>
            <m:r>
              <m:t>j</m:t>
            </m:r>
          </m:sub>
        </m:sSub>
      </m:oMath>
      <w:r>
        <w:t xml:space="preserve"> </w:t>
      </w:r>
      <w:r>
        <w:t xml:space="preserve">and</w:t>
      </w:r>
      <w:r>
        <w:t xml:space="preserve"> </w:t>
      </w:r>
      <m:oMath>
        <m:sSub>
          <m:e>
            <m:r>
              <m:t>w</m:t>
            </m:r>
          </m:e>
          <m:sub>
            <m:r>
              <m:t>n</m:t>
            </m:r>
            <m:r>
              <m:t>j</m:t>
            </m:r>
          </m:sub>
        </m:sSub>
      </m:oMath>
      <w:r>
        <w:t xml:space="preserve"> </w:t>
      </w:r>
      <w:r>
        <w:t xml:space="preserve">are the estimates and weights of the new studies respectively, for</w:t>
      </w:r>
      <w:r>
        <w:t xml:space="preserve"> </w:t>
      </w:r>
      <m:oMath>
        <m:r>
          <m:t>j</m:t>
        </m:r>
        <m:r>
          <m:rPr>
            <m:sty m:val="p"/>
          </m:rPr>
          <m:t>=</m:t>
        </m:r>
        <m:r>
          <m:t>1</m:t>
        </m:r>
        <m:r>
          <m:rPr>
            <m:sty m:val="p"/>
          </m:rPr>
          <m:t>,</m:t>
        </m:r>
        <m:r>
          <m:t>2</m:t>
        </m:r>
        <m:r>
          <m:rPr>
            <m:sty m:val="p"/>
          </m:rPr>
          <m:t>,</m:t>
        </m:r>
        <m:r>
          <m:rPr>
            <m:sty m:val="p"/>
          </m:rPr>
          <m:t>.</m:t>
        </m:r>
        <m:r>
          <m:rPr>
            <m:sty m:val="p"/>
          </m:rPr>
          <m:t>.</m:t>
        </m:r>
        <m:r>
          <m:rPr>
            <m:sty m:val="p"/>
          </m:rPr>
          <m:t>.</m:t>
        </m:r>
        <m:r>
          <m:rPr>
            <m:sty m:val="p"/>
          </m:rPr>
          <m:t>,</m:t>
        </m:r>
        <m:r>
          <m:t>m</m:t>
        </m:r>
      </m:oMath>
      <w:r>
        <w:t xml:space="preserve">.</w:t>
      </w:r>
    </w:p>
    <w:bookmarkStart w:id="38" w:name="example-plot-1"/>
    <w:p>
      <w:pPr>
        <w:pStyle w:val="Heading5"/>
      </w:pPr>
      <w:r>
        <w:t xml:space="preserve">Example plot</w:t>
      </w:r>
    </w:p>
    <w:p>
      <w:pPr>
        <w:pStyle w:val="SourceCode"/>
      </w:pPr>
      <w:r>
        <w:rPr>
          <w:rStyle w:val="VerbatimChar"/>
        </w:rPr>
        <w:t xml:space="preserve">[1] "Addition of new studies will give a statistically significant (alpha = 5e-04) pooled estimate"</w:t>
      </w:r>
    </w:p>
    <w:p>
      <w:pPr>
        <w:pStyle w:val="FirstParagraph"/>
      </w:pPr>
      <w:r>
        <w:drawing>
          <wp:inline>
            <wp:extent cx="5334000" cy="2133600"/>
            <wp:effectExtent b="0" l="0" r="0" t="0"/>
            <wp:docPr descr="" title="" id="36" name="Picture"/>
            <a:graphic>
              <a:graphicData uri="http://schemas.openxmlformats.org/drawingml/2006/picture">
                <pic:pic>
                  <pic:nvPicPr>
                    <pic:cNvPr descr="Interpretation-tool_files/figure-docx/unnamed-chunk-4-1.png" id="37" name="Picture"/>
                    <pic:cNvPicPr>
                      <a:picLocks noChangeArrowheads="1" noChangeAspect="1"/>
                    </pic:cNvPicPr>
                  </pic:nvPicPr>
                  <pic:blipFill>
                    <a:blip r:embed="rId35"/>
                    <a:stretch>
                      <a:fillRect/>
                    </a:stretch>
                  </pic:blipFill>
                  <pic:spPr bwMode="auto">
                    <a:xfrm>
                      <a:off x="0" y="0"/>
                      <a:ext cx="5334000" cy="2133600"/>
                    </a:xfrm>
                    <a:prstGeom prst="rect">
                      <a:avLst/>
                    </a:prstGeom>
                    <a:noFill/>
                    <a:ln w="9525">
                      <a:noFill/>
                      <a:headEnd/>
                      <a:tailEnd/>
                    </a:ln>
                  </pic:spPr>
                </pic:pic>
              </a:graphicData>
            </a:graphic>
          </wp:inline>
        </w:drawing>
      </w:r>
    </w:p>
    <w:bookmarkEnd w:id="38"/>
    <w:bookmarkEnd w:id="39"/>
    <w:bookmarkEnd w:id="40"/>
    <w:bookmarkStart w:id="47" w:name="specific-confidence-interval-bounds"/>
    <w:p>
      <w:pPr>
        <w:pStyle w:val="Heading3"/>
      </w:pPr>
      <w:r>
        <w:t xml:space="preserve">Specific confidence interval bounds</w:t>
      </w:r>
    </w:p>
    <w:p>
      <w:pPr>
        <w:pStyle w:val="FirstParagraph"/>
      </w:pPr>
      <w:r>
        <w:t xml:space="preserve">Let’s suppose that instead of wanting a statistically significant pooled estimate, that the researchers are looking for the 95% CI bounds to be at a certain value (likely of clinical importance).</w:t>
      </w:r>
    </w:p>
    <w:p>
      <w:pPr>
        <w:pStyle w:val="BodyText"/>
      </w:pPr>
      <w:r>
        <w:t xml:space="preserve">With statistical significance, the contour equations are calculated from stating that the upper or lower bounds must touch the null value,</w:t>
      </w:r>
      <w:r>
        <w:t xml:space="preserve"> </w:t>
      </w:r>
      <m:oMath>
        <m:sSub>
          <m:e>
            <m:r>
              <m:t>θ</m:t>
            </m:r>
          </m:e>
          <m:sub>
            <m:r>
              <m:t>0</m:t>
            </m:r>
          </m:sub>
        </m:sSub>
      </m:oMath>
      <w:r>
        <w:t xml:space="preserve">. In this scenario, the contour equations would be calculated from the following thresholds:</w:t>
      </w:r>
    </w:p>
    <w:p>
      <w:pPr>
        <w:pStyle w:val="BodyText"/>
      </w:pPr>
      <w:bookmarkStart w:id="41" w:name="eq-lower-bound"/>
      <m:oMathPara>
        <m:oMathParaPr>
          <m:jc m:val="center"/>
        </m:oMathParaPr>
        <m:oMath>
          <m:sSub>
            <m:e>
              <m:r>
                <m:t>θ</m:t>
              </m:r>
            </m:e>
            <m:sub>
              <m:r>
                <m:t>l</m:t>
              </m:r>
              <m:r>
                <m:t>o</m:t>
              </m:r>
              <m:r>
                <m:t>w</m:t>
              </m:r>
              <m:r>
                <m:t>e</m:t>
              </m:r>
              <m:r>
                <m:t>r</m:t>
              </m:r>
            </m:sub>
          </m:sSub>
          <m:r>
            <m:rPr>
              <m:sty m:val="p"/>
            </m:rPr>
            <m:t>=</m:t>
          </m:r>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10</m:t>
              </m:r>
            </m:e>
          </m:d>
        </m:oMath>
      </m:oMathPara>
      <w:bookmarkEnd w:id="41"/>
    </w:p>
    <w:p>
      <w:pPr>
        <w:pStyle w:val="FirstParagraph"/>
      </w:pPr>
      <w:bookmarkStart w:id="42" w:name="eq-upper-bound"/>
      <m:oMathPara>
        <m:oMathParaPr>
          <m:jc m:val="center"/>
        </m:oMathParaPr>
        <m:oMath>
          <m:sSub>
            <m:e>
              <m:r>
                <m:t>θ</m:t>
              </m:r>
            </m:e>
            <m:sub>
              <m:r>
                <m:t>u</m:t>
              </m:r>
              <m:r>
                <m:t>p</m:t>
              </m:r>
              <m:r>
                <m:t>p</m:t>
              </m:r>
              <m:r>
                <m:t>e</m:t>
              </m:r>
              <m:r>
                <m:t>r</m:t>
              </m:r>
            </m:sub>
          </m:sSub>
          <m:r>
            <m:rPr>
              <m:sty m:val="p"/>
            </m:rPr>
            <m:t>=</m:t>
          </m:r>
          <m:acc>
            <m:accPr>
              <m:chr m:val="̂"/>
            </m:accPr>
            <m:e>
              <m:r>
                <m:t>θ</m:t>
              </m:r>
            </m:e>
          </m:acc>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r>
                <m:t>v</m:t>
              </m:r>
              <m:r>
                <m:t>a</m:t>
              </m:r>
              <m:r>
                <m:t>r</m:t>
              </m:r>
              <m:d>
                <m:dPr>
                  <m:begChr m:val="("/>
                  <m:endChr m:val=")"/>
                  <m:sepChr m:val=""/>
                  <m:grow/>
                </m:dPr>
                <m:e>
                  <m:acc>
                    <m:accPr>
                      <m:chr m:val="̂"/>
                    </m:accPr>
                    <m:e>
                      <m:r>
                        <m:t>θ</m:t>
                      </m:r>
                    </m:e>
                  </m:acc>
                </m:e>
              </m:d>
            </m:e>
          </m:rad>
          <m:r>
            <m:t>  </m:t>
          </m:r>
          <m:d>
            <m:dPr>
              <m:begChr m:val="("/>
              <m:endChr m:val=")"/>
              <m:sepChr m:val=""/>
              <m:grow/>
            </m:dPr>
            <m:e>
              <m:r>
                <m:t>11</m:t>
              </m:r>
            </m:e>
          </m:d>
        </m:oMath>
      </m:oMathPara>
      <w:bookmarkEnd w:id="42"/>
    </w:p>
    <w:p>
      <w:pPr>
        <w:pStyle w:val="FirstParagraph"/>
      </w:pPr>
      <w:r>
        <w:t xml:space="preserve">where</w:t>
      </w:r>
      <w:r>
        <w:t xml:space="preserve"> </w:t>
      </w:r>
      <m:oMath>
        <m:sSub>
          <m:e>
            <m:r>
              <m:t>θ</m:t>
            </m:r>
          </m:e>
          <m:sub>
            <m:r>
              <m:t>l</m:t>
            </m:r>
            <m:r>
              <m:t>o</m:t>
            </m:r>
            <m:r>
              <m:t>w</m:t>
            </m:r>
            <m:r>
              <m:t>e</m:t>
            </m:r>
            <m:r>
              <m:t>r</m:t>
            </m:r>
          </m:sub>
        </m:sSub>
      </m:oMath>
      <w:r>
        <w:t xml:space="preserve"> </w:t>
      </w:r>
      <w:r>
        <w:t xml:space="preserve">and</w:t>
      </w:r>
      <w:r>
        <w:t xml:space="preserve"> </w:t>
      </w:r>
      <m:oMath>
        <m:sSub>
          <m:e>
            <m:r>
              <m:t>θ</m:t>
            </m:r>
          </m:e>
          <m:sub>
            <m:r>
              <m:t>u</m:t>
            </m:r>
            <m:r>
              <m:t>p</m:t>
            </m:r>
            <m:r>
              <m:t>p</m:t>
            </m:r>
            <m:r>
              <m:t>e</m:t>
            </m:r>
            <m:r>
              <m:t>r</m:t>
            </m:r>
          </m:sub>
        </m:sSub>
      </m:oMath>
      <w:r>
        <w:t xml:space="preserve"> </w:t>
      </w:r>
      <w:r>
        <w:t xml:space="preserve">are the user-defined lower and upper 95% CI bounds of interest.</w:t>
      </w:r>
    </w:p>
    <w:p>
      <w:pPr>
        <w:pStyle w:val="BodyText"/>
      </w:pPr>
      <w:r>
        <w:t xml:space="preserve">Substituting</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w:t>
      </w:r>
      <w:r>
        <w:t xml:space="preserve">into</w:t>
      </w:r>
      <w:r>
        <w:t xml:space="preserve"> </w:t>
      </w:r>
      <w:hyperlink w:anchor="eq-lower-bound">
        <w:r>
          <w:rPr>
            <w:rStyle w:val="Hyperlink"/>
          </w:rPr>
          <w:t xml:space="preserve">Equation 10</w:t>
        </w:r>
      </w:hyperlink>
      <w:r>
        <w:t xml:space="preserve"> </w:t>
      </w:r>
      <w:r>
        <w:t xml:space="preserve">and</w:t>
      </w:r>
      <w:r>
        <w:t xml:space="preserve"> </w:t>
      </w:r>
      <w:hyperlink w:anchor="eq-upper-bound">
        <w:r>
          <w:rPr>
            <w:rStyle w:val="Hyperlink"/>
          </w:rPr>
          <w:t xml:space="preserve">Equation 11</w:t>
        </w:r>
      </w:hyperlink>
      <w:r>
        <w:t xml:space="preserve">, and rearranging gives the following expression(s) for</w:t>
      </w:r>
      <w:r>
        <w:t xml:space="preserve"> </w:t>
      </w:r>
      <m:oMath>
        <m:sSub>
          <m:e>
            <m:acc>
              <m:accPr>
                <m:chr m:val="̂"/>
              </m:accPr>
              <m:e>
                <m:r>
                  <m:t>θ</m:t>
                </m:r>
              </m:e>
            </m:acc>
          </m:e>
          <m:sub>
            <m:r>
              <m:t>n</m:t>
            </m:r>
            <m:r>
              <m:t>e</m:t>
            </m:r>
            <m:r>
              <m:t>w</m:t>
            </m:r>
          </m:sub>
        </m:sSub>
      </m:oMath>
      <w:r>
        <w:t xml:space="preserve">.</w:t>
      </w:r>
    </w:p>
    <w:p>
      <w:pPr>
        <w:pStyle w:val="BodyText"/>
      </w:pPr>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l</m:t>
              </m:r>
              <m:r>
                <m:t>o</m:t>
              </m:r>
              <m:r>
                <m:t>w</m:t>
              </m:r>
              <m:r>
                <m:t>e</m:t>
              </m:r>
              <m:r>
                <m:t>r</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oMath>
      </m:oMathPara>
    </w:p>
    <w:p>
      <w:pPr>
        <w:pStyle w:val="FirstParagraph"/>
      </w:pPr>
      <m:oMathPara>
        <m:oMathParaPr>
          <m:jc m:val="center"/>
        </m:oMathParaPr>
        <m:oMath>
          <m:sSub>
            <m:e>
              <m:acc>
                <m:accPr>
                  <m:chr m:val="̂"/>
                </m:accPr>
                <m:e>
                  <m:r>
                    <m:t>θ</m:t>
                  </m:r>
                </m:e>
              </m:acc>
            </m:e>
            <m:sub>
              <m:r>
                <m:t>n</m:t>
              </m:r>
              <m:r>
                <m:t>e</m:t>
              </m:r>
              <m:r>
                <m:t>w</m:t>
              </m:r>
            </m:sub>
          </m:sSub>
          <m:r>
            <m:rPr>
              <m:sty m:val="p"/>
            </m:rPr>
            <m:t>=</m:t>
          </m:r>
          <m:f>
            <m:fPr>
              <m:type m:val="bar"/>
            </m:fPr>
            <m:num>
              <m:r>
                <m:t>1</m:t>
              </m:r>
            </m:num>
            <m:den>
              <m:sSub>
                <m:e>
                  <m:r>
                    <m:t>w</m:t>
                  </m:r>
                </m:e>
                <m:sub>
                  <m:r>
                    <m:t>n</m:t>
                  </m:r>
                  <m:r>
                    <m:t>e</m:t>
                  </m:r>
                  <m:r>
                    <m:t>w</m:t>
                  </m:r>
                </m:sub>
              </m:sSub>
            </m:den>
          </m:f>
          <m:r>
            <m:rPr>
              <m:sty m:val="p"/>
            </m:rPr>
            <m:t>{</m:t>
          </m:r>
          <m:sSub>
            <m:e>
              <m:r>
                <m:t>θ</m:t>
              </m:r>
            </m:e>
            <m:sub>
              <m:r>
                <m:t>u</m:t>
              </m:r>
              <m:r>
                <m:t>p</m:t>
              </m:r>
              <m:r>
                <m:t>p</m:t>
              </m:r>
              <m:r>
                <m:t>e</m:t>
              </m:r>
              <m:r>
                <m:t>r</m:t>
              </m:r>
            </m:sub>
          </m:sSub>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d>
          <m:r>
            <m:rPr>
              <m:sty m:val="p"/>
            </m:rPr>
            <m:t>−</m:t>
          </m:r>
          <m:nary>
            <m:naryPr>
              <m:chr m:val="∑"/>
              <m:limLoc m:val="undOvr"/>
              <m:subHide m:val="off"/>
              <m:supHide m:val="off"/>
            </m:naryPr>
            <m:sub>
              <m:r>
                <m:t>i</m:t>
              </m:r>
              <m:r>
                <m:rPr>
                  <m:sty m:val="p"/>
                </m:rPr>
                <m:t>=</m:t>
              </m:r>
              <m:r>
                <m:t>1</m:t>
              </m:r>
            </m:sub>
            <m:sup>
              <m:r>
                <m:t>n</m:t>
              </m:r>
            </m:sup>
            <m:e>
              <m:sSub>
                <m:e>
                  <m:r>
                    <m:t>w</m:t>
                  </m:r>
                </m:e>
                <m:sub>
                  <m:r>
                    <m:t>i</m:t>
                  </m:r>
                </m:sub>
              </m:sSub>
              <m:sSub>
                <m:e>
                  <m:acc>
                    <m:accPr>
                      <m:chr m:val="̂"/>
                    </m:accPr>
                    <m:e>
                      <m:r>
                        <m:t>θ</m:t>
                      </m:r>
                    </m:e>
                  </m:acc>
                </m:e>
                <m:sub>
                  <m:r>
                    <m:t>i</m:t>
                  </m:r>
                </m:sub>
              </m:sSub>
            </m:e>
          </m:nary>
          <m:r>
            <m:rPr>
              <m:sty m:val="p"/>
            </m:rPr>
            <m:t>−</m:t>
          </m:r>
          <m:sSup>
            <m:e>
              <m:r>
                <m:t>Φ</m:t>
              </m:r>
            </m:e>
            <m:sup>
              <m:r>
                <m:rPr>
                  <m:sty m:val="p"/>
                </m:rPr>
                <m:t>−</m:t>
              </m:r>
              <m:r>
                <m:t>1</m:t>
              </m:r>
            </m:sup>
          </m:sSup>
          <m:d>
            <m:dPr>
              <m:begChr m:val="("/>
              <m:endChr m:val=")"/>
              <m:sepChr m:val=""/>
              <m:grow/>
            </m:dPr>
            <m:e>
              <m:f>
                <m:fPr>
                  <m:type m:val="bar"/>
                </m:fPr>
                <m:num>
                  <m:r>
                    <m:t>α</m:t>
                  </m:r>
                </m:num>
                <m:den>
                  <m:r>
                    <m:t>2</m:t>
                  </m:r>
                </m:den>
              </m:f>
            </m:e>
          </m:d>
          <m:rad>
            <m:radPr>
              <m:degHide m:val="on"/>
            </m:radPr>
            <m:deg/>
            <m:e>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e>
          </m:rad>
          <m:r>
            <m:rPr>
              <m:sty m:val="p"/>
            </m:rPr>
            <m:t>}</m:t>
          </m:r>
        </m:oMath>
      </m:oMathPara>
    </w:p>
    <w:p>
      <w:pPr>
        <w:pStyle w:val="FirstParagraph"/>
      </w:pPr>
      <w:r>
        <w:t xml:space="preserve">Whilst in the fixed-effects framework, the extensions to multiple new studies is the same here as for statistical significance.</w:t>
      </w:r>
    </w:p>
    <w:bookmarkStart w:id="46" w:name="example-plot-2"/>
    <w:p>
      <w:pPr>
        <w:pStyle w:val="Heading5"/>
      </w:pPr>
      <w:r>
        <w:t xml:space="preserve">Example plot</w:t>
      </w:r>
    </w:p>
    <w:p>
      <w:pPr>
        <w:pStyle w:val="SourceCode"/>
      </w:pPr>
      <w:r>
        <w:rPr>
          <w:rStyle w:val="VerbatimChar"/>
        </w:rPr>
        <w:t xml:space="preserve">[1] "Addition of new study will not give a 95% CI that is lower than 0.9"</w:t>
      </w:r>
    </w:p>
    <w:p>
      <w:pPr>
        <w:pStyle w:val="FirstParagraph"/>
      </w:pPr>
      <w:r>
        <w:drawing>
          <wp:inline>
            <wp:extent cx="5334000" cy="2133600"/>
            <wp:effectExtent b="0" l="0" r="0" t="0"/>
            <wp:docPr descr="" title="" id="44" name="Picture"/>
            <a:graphic>
              <a:graphicData uri="http://schemas.openxmlformats.org/drawingml/2006/picture">
                <pic:pic>
                  <pic:nvPicPr>
                    <pic:cNvPr descr="Interpretation-tool_files/figure-docx/unnamed-chunk-6-1.png" id="45" name="Picture"/>
                    <pic:cNvPicPr>
                      <a:picLocks noChangeArrowheads="1" noChangeAspect="1"/>
                    </pic:cNvPicPr>
                  </pic:nvPicPr>
                  <pic:blipFill>
                    <a:blip r:embed="rId43"/>
                    <a:stretch>
                      <a:fillRect/>
                    </a:stretch>
                  </pic:blipFill>
                  <pic:spPr bwMode="auto">
                    <a:xfrm>
                      <a:off x="0" y="0"/>
                      <a:ext cx="5334000" cy="2133600"/>
                    </a:xfrm>
                    <a:prstGeom prst="rect">
                      <a:avLst/>
                    </a:prstGeom>
                    <a:noFill/>
                    <a:ln w="9525">
                      <a:noFill/>
                      <a:headEnd/>
                      <a:tailEnd/>
                    </a:ln>
                  </pic:spPr>
                </pic:pic>
              </a:graphicData>
            </a:graphic>
          </wp:inline>
        </w:drawing>
      </w:r>
    </w:p>
    <w:bookmarkEnd w:id="46"/>
    <w:bookmarkEnd w:id="47"/>
    <w:bookmarkEnd w:id="48"/>
    <w:bookmarkStart w:id="76" w:name="random-effects"/>
    <w:p>
      <w:pPr>
        <w:pStyle w:val="Heading2"/>
      </w:pPr>
      <w:r>
        <w:t xml:space="preserve">Random-effects</w:t>
      </w:r>
    </w:p>
    <w:p>
      <w:pPr>
        <w:pStyle w:val="FirstParagraph"/>
      </w:pPr>
      <w:r>
        <w:t xml:space="preserve">When working in the random-effects framework things get more complex as</w:t>
      </w:r>
      <w:r>
        <w:t xml:space="preserve"> </w:t>
      </w:r>
      <m:oMath>
        <m:sSup>
          <m:e>
            <m:r>
              <m:t>τ</m:t>
            </m:r>
          </m:e>
          <m:sup>
            <m:r>
              <m:t>2</m:t>
            </m:r>
          </m:sup>
        </m:sSup>
        <m:r>
          <m:rPr>
            <m:sty m:val="p"/>
          </m:rPr>
          <m:t>≠</m:t>
        </m:r>
        <m:r>
          <m:t>0</m:t>
        </m:r>
      </m:oMath>
      <w:r>
        <w:t xml:space="preserve"> </w:t>
      </w:r>
      <w:r>
        <w:t xml:space="preserve">and is estimated from the studies in the meta-analysis, including the new studies.</w:t>
      </w:r>
    </w:p>
    <w:p>
      <w:pPr>
        <w:pStyle w:val="BodyText"/>
      </w:pPr>
      <w:r>
        <w:t xml:space="preserve">Let’s start again with only considering one new study and aiming for a meta-analysis with statistical significance at the</w:t>
      </w:r>
      <w:r>
        <w:t xml:space="preserve"> </w:t>
      </w:r>
      <m:oMath>
        <m:r>
          <m:t>α</m:t>
        </m:r>
        <m:r>
          <m:rPr>
            <m:sty m:val="p"/>
          </m:rPr>
          <m:t>=</m:t>
        </m:r>
        <m:r>
          <m:t>0.05</m:t>
        </m:r>
      </m:oMath>
      <w:r>
        <w:t xml:space="preserve"> </w:t>
      </w:r>
      <w:r>
        <w:t xml:space="preserve">level.</w:t>
      </w:r>
    </w:p>
    <w:p>
      <w:pPr>
        <w:pStyle w:val="BodyText"/>
      </w:pPr>
      <w:r>
        <w:t xml:space="preserve">Under a random-effects framework, the weight for each study (including new studies) is instead calculated as</w:t>
      </w:r>
    </w:p>
    <w:p>
      <w:pPr>
        <w:pStyle w:val="BodyText"/>
      </w:pPr>
      <w:bookmarkStart w:id="49" w:name="eq-random-weight"/>
      <m:oMathPara>
        <m:oMathParaPr>
          <m:jc m:val="center"/>
        </m:oMathParaPr>
        <m:oMath>
          <m:sSub>
            <m:e>
              <m:r>
                <m:t>w</m:t>
              </m:r>
            </m:e>
            <m:sub>
              <m:r>
                <m:t>i</m:t>
              </m:r>
            </m:sub>
          </m:sSub>
          <m:r>
            <m:rPr>
              <m:sty m:val="p"/>
            </m:rPr>
            <m:t>=</m:t>
          </m:r>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bSup>
                <m:e>
                  <m:r>
                    <m:t>τ</m:t>
                  </m:r>
                </m:e>
                <m:sub>
                  <m:r>
                    <m:t>n</m:t>
                  </m:r>
                  <m:r>
                    <m:t>e</m:t>
                  </m:r>
                  <m:r>
                    <m:t>w</m:t>
                  </m:r>
                </m:sub>
                <m:sup>
                  <m:r>
                    <m:t>2</m:t>
                  </m:r>
                </m:sup>
              </m:sSubSup>
            </m:den>
          </m:f>
          <m:r>
            <m:t>  </m:t>
          </m:r>
          <m:d>
            <m:dPr>
              <m:begChr m:val="("/>
              <m:endChr m:val=")"/>
              <m:sepChr m:val=""/>
              <m:grow/>
            </m:dPr>
            <m:e>
              <m:r>
                <m:t>12</m:t>
              </m:r>
            </m:e>
          </m:d>
        </m:oMath>
      </m:oMathPara>
      <w:bookmarkEnd w:id="49"/>
    </w:p>
    <w:p>
      <w:pPr>
        <w:pStyle w:val="FirstParagraph"/>
      </w:pPr>
      <w:r>
        <w:t xml:space="preserve">where</w:t>
      </w:r>
      <w:r>
        <w:t xml:space="preserve"> </w:t>
      </w:r>
      <m:oMath>
        <m:sSubSup>
          <m:e>
            <m:r>
              <m:t>τ</m:t>
            </m:r>
          </m:e>
          <m:sub>
            <m:r>
              <m:t>n</m:t>
            </m:r>
            <m:r>
              <m:t>e</m:t>
            </m:r>
            <m:r>
              <m:t>w</m:t>
            </m:r>
          </m:sub>
          <m:sup>
            <m:r>
              <m:t>2</m:t>
            </m:r>
          </m:sup>
        </m:sSubSup>
      </m:oMath>
      <w:r>
        <w:t xml:space="preserve"> </w:t>
      </w:r>
      <w:r>
        <w:t xml:space="preserve">is the estimated between-study heterogeneity when included the new studies into the meta-analysis. Unfortunately, we can’t simply plug the random-effects equation for weights into the contour equations derived for fixed effects (</w:t>
      </w:r>
      <w:hyperlink w:anchor="eq-rearranged-theta-new">
        <w:r>
          <w:rPr>
            <w:rStyle w:val="Hyperlink"/>
          </w:rPr>
          <w:t xml:space="preserve">Equation 4</w:t>
        </w:r>
      </w:hyperlink>
      <w:r>
        <w:t xml:space="preserve">) as</w:t>
      </w:r>
      <w:r>
        <w:t xml:space="preserve"> </w:t>
      </w:r>
      <m:oMath>
        <m:sSubSup>
          <m:e>
            <m:r>
              <m:t>τ</m:t>
            </m:r>
          </m:e>
          <m:sub>
            <m:r>
              <m:t>n</m:t>
            </m:r>
            <m:r>
              <m:t>e</m:t>
            </m:r>
            <m:r>
              <m:t>w</m:t>
            </m:r>
          </m:sub>
          <m:sup>
            <m:r>
              <m:t>2</m:t>
            </m:r>
          </m:sup>
        </m:sSubSup>
      </m:oMath>
      <w:r>
        <w:t xml:space="preserve"> </w:t>
      </w:r>
      <w:r>
        <w:t xml:space="preserve">depends on</w:t>
      </w:r>
      <w:r>
        <w:t xml:space="preserve"> </w:t>
      </w:r>
      <m:oMath>
        <m:sSub>
          <m:e>
            <m:acc>
              <m:accPr>
                <m:chr m:val="̂"/>
              </m:accPr>
              <m:e>
                <m:r>
                  <m:t>θ</m:t>
                </m:r>
              </m:e>
            </m:acc>
          </m:e>
          <m:sub>
            <m:r>
              <m:t>n</m:t>
            </m:r>
            <m:r>
              <m:t>e</m:t>
            </m:r>
            <m:r>
              <m:t>w</m:t>
            </m:r>
          </m:sub>
        </m:sSub>
      </m:oMath>
      <w:r>
        <w:t xml:space="preserve">. Furthermore, we can’t simply plug in an equation for</w:t>
      </w:r>
      <w:r>
        <w:t xml:space="preserve"> </w:t>
      </w:r>
      <m:oMath>
        <m:sSubSup>
          <m:e>
            <m:r>
              <m:t>τ</m:t>
            </m:r>
          </m:e>
          <m:sub>
            <m:r>
              <m:t>n</m:t>
            </m:r>
            <m:r>
              <m:t>e</m:t>
            </m:r>
            <m:r>
              <m:t>w</m:t>
            </m:r>
          </m:sub>
          <m:sup>
            <m:r>
              <m:t>2</m:t>
            </m:r>
          </m:sup>
        </m:sSubSup>
      </m:oMath>
      <w:r>
        <w:t xml:space="preserve"> </w:t>
      </w:r>
      <w:r>
        <w:t xml:space="preserve">and rearrange as calculating an estimate for between-study heterogeneity is too complicated to do by hand, and so researchers often use established estimators instead, such as the DerSimonian-Laird estimator or Restricted Maximum Likelihood. (Note the further challenge, that these commonly used estimators wouldn’t allow us to incorporate the uncertainty in estimating between-study heterogeneity).</w:t>
      </w:r>
    </w:p>
    <w:p>
      <w:pPr>
        <w:pStyle w:val="BodyText"/>
      </w:pPr>
      <w:r>
        <w:t xml:space="preserve">As such, an equation to form the contour thresholds cannot be derived as was done for the fixed-effects framework. Instead, as per Langan et. al., the standard error-estimate plane is broken down into</w:t>
      </w:r>
      <w:r>
        <w:t xml:space="preserve"> </w:t>
      </w:r>
      <w:r>
        <w:t xml:space="preserve">‘pixels’</w:t>
      </w:r>
      <w:r>
        <w:t xml:space="preserve">, where</w:t>
      </w:r>
      <w:r>
        <w:t xml:space="preserve"> </w:t>
      </w:r>
      <m:oMath>
        <m:sSubSup>
          <m:e>
            <m:r>
              <m:t>τ</m:t>
            </m:r>
          </m:e>
          <m:sub>
            <m:r>
              <m:t>n</m:t>
            </m:r>
            <m:r>
              <m:t>e</m:t>
            </m:r>
            <m:r>
              <m:t>w</m:t>
            </m:r>
          </m:sub>
          <m:sup>
            <m:r>
              <m:t>2</m:t>
            </m:r>
          </m:sup>
        </m:sSubSup>
      </m:oMath>
      <w:r>
        <w:t xml:space="preserve"> </w:t>
      </w:r>
      <w:r>
        <w:t xml:space="preserve">is estimated at each pixel (calculated from the original studies as well as the new study represented by the pixel). For each pixel,</w:t>
      </w:r>
      <w:r>
        <w:t xml:space="preserve"> </w:t>
      </w:r>
      <m:oMath>
        <m:sSubSup>
          <m:e>
            <m:r>
              <m:t>τ</m:t>
            </m:r>
          </m:e>
          <m:sub>
            <m:r>
              <m:t>n</m:t>
            </m:r>
            <m:r>
              <m:t>e</m:t>
            </m:r>
            <m:r>
              <m:t>w</m:t>
            </m:r>
          </m:sub>
          <m:sup>
            <m:r>
              <m:t>2</m:t>
            </m:r>
          </m:sup>
        </m:sSubSup>
      </m:oMath>
      <w:r>
        <w:t xml:space="preserve">,</w:t>
      </w:r>
      <w:r>
        <w:t xml:space="preserve"> </w:t>
      </w:r>
      <m:oMath>
        <m:sSub>
          <m:e>
            <m:acc>
              <m:accPr>
                <m:chr m:val="̂"/>
              </m:accPr>
              <m:e>
                <m:r>
                  <m:t>θ</m:t>
                </m:r>
              </m:e>
            </m:acc>
          </m:e>
          <m:sub>
            <m:r>
              <m:t>n</m:t>
            </m:r>
            <m:r>
              <m:t>e</m:t>
            </m:r>
            <m:r>
              <m:t>w</m:t>
            </m:r>
          </m:sub>
        </m:sSub>
      </m:oMath>
      <w:r>
        <w:t xml:space="preserve">, and</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w:t>
      </w:r>
      <w:r>
        <w:t xml:space="preserve">are plugged into the meta-analysis equations (</w:t>
      </w:r>
      <w:r>
        <w:t xml:space="preserve"> </w:t>
      </w:r>
      <w:hyperlink w:anchor="eq-updated-estimate">
        <w:r>
          <w:rPr>
            <w:rStyle w:val="Hyperlink"/>
          </w:rPr>
          <w:t xml:space="preserve">Equation 2</w:t>
        </w:r>
      </w:hyperlink>
      <w:r>
        <w:t xml:space="preserve"> </w:t>
      </w:r>
      <w:r>
        <w:t xml:space="preserve">and</w:t>
      </w:r>
      <w:r>
        <w:t xml:space="preserve"> </w:t>
      </w:r>
      <w:hyperlink w:anchor="eq-updated-variance">
        <w:r>
          <w:rPr>
            <w:rStyle w:val="Hyperlink"/>
          </w:rPr>
          <w:t xml:space="preserve">Equation 3</w:t>
        </w:r>
      </w:hyperlink>
      <w:r>
        <w:t xml:space="preserve">), but using the weights calculated in</w:t>
      </w:r>
      <w:r>
        <w:t xml:space="preserve"> </w:t>
      </w:r>
      <w:hyperlink w:anchor="eq-random-weight">
        <w:r>
          <w:rPr>
            <w:rStyle w:val="Hyperlink"/>
          </w:rPr>
          <w:t xml:space="preserve">Equation 12</w:t>
        </w:r>
      </w:hyperlink>
      <w:r>
        <w:t xml:space="preserve">, and noted whether or not the threshold was crossed (i.e. whether 95% CI was one side of null effect). The result at each pixel is coloured according to whether the threshold was met. This easily extends to the clinical bound thresholds as well as the statistical significance.</w:t>
      </w:r>
    </w:p>
    <w:bookmarkStart w:id="53" w:name="example-plot-3"/>
    <w:p>
      <w:pPr>
        <w:pStyle w:val="Heading5"/>
      </w:pPr>
      <w:r>
        <w:t xml:space="preserve">Example plot</w:t>
      </w:r>
    </w:p>
    <w:p>
      <w:pPr>
        <w:pStyle w:val="SourceCode"/>
      </w:pPr>
      <w:r>
        <w:rPr>
          <w:rStyle w:val="VerbatimChar"/>
        </w:rPr>
        <w:t xml:space="preserve">[1] "Addition of new study will give a statistically significant (alpha = 0.1) pooled estimate"</w:t>
      </w:r>
    </w:p>
    <w:p>
      <w:pPr>
        <w:pStyle w:val="FirstParagraph"/>
      </w:pPr>
      <w:r>
        <w:drawing>
          <wp:inline>
            <wp:extent cx="5334000" cy="2133600"/>
            <wp:effectExtent b="0" l="0" r="0" t="0"/>
            <wp:docPr descr="" title="" id="51" name="Picture"/>
            <a:graphic>
              <a:graphicData uri="http://schemas.openxmlformats.org/drawingml/2006/picture">
                <pic:pic>
                  <pic:nvPicPr>
                    <pic:cNvPr descr="Interpretation-tool_files/figure-docx/unnamed-chunk-8-1.png" id="52" name="Picture"/>
                    <pic:cNvPicPr>
                      <a:picLocks noChangeArrowheads="1" noChangeAspect="1"/>
                    </pic:cNvPicPr>
                  </pic:nvPicPr>
                  <pic:blipFill>
                    <a:blip r:embed="rId50"/>
                    <a:stretch>
                      <a:fillRect/>
                    </a:stretch>
                  </pic:blipFill>
                  <pic:spPr bwMode="auto">
                    <a:xfrm>
                      <a:off x="0" y="0"/>
                      <a:ext cx="5334000" cy="2133600"/>
                    </a:xfrm>
                    <a:prstGeom prst="rect">
                      <a:avLst/>
                    </a:prstGeom>
                    <a:noFill/>
                    <a:ln w="9525">
                      <a:noFill/>
                      <a:headEnd/>
                      <a:tailEnd/>
                    </a:ln>
                  </pic:spPr>
                </pic:pic>
              </a:graphicData>
            </a:graphic>
          </wp:inline>
        </w:drawing>
      </w:r>
    </w:p>
    <w:bookmarkEnd w:id="53"/>
    <w:bookmarkStart w:id="75" w:name="multiple-new-studies-1"/>
    <w:p>
      <w:pPr>
        <w:pStyle w:val="Heading3"/>
      </w:pPr>
      <w:r>
        <w:t xml:space="preserve">Multiple new studies</w:t>
      </w:r>
    </w:p>
    <w:p>
      <w:pPr>
        <w:pStyle w:val="FirstParagraph"/>
      </w:pPr>
      <w:r>
        <w:t xml:space="preserve">Under the random-effects model, we have to take the estimate-variance plane</w:t>
      </w:r>
      <w:r>
        <w:t xml:space="preserve"> </w:t>
      </w:r>
      <w:r>
        <w:t xml:space="preserve">‘pixel-by-pixel’</w:t>
      </w:r>
      <w:r>
        <w:t xml:space="preserve">. When there was one new study, this was simple as the pixel had one set of possible values</w:t>
      </w:r>
      <w:r>
        <w:t xml:space="preserve"> </w:t>
      </w:r>
      <w:r>
        <w:t xml:space="preserve">‘attached’</w:t>
      </w:r>
      <w:r>
        <w:t xml:space="preserve"> </w:t>
      </w:r>
      <w:r>
        <w:t xml:space="preserve">to it that were easily obtained. When considering multiple new studies, the idea of using the</w:t>
      </w:r>
      <w:r>
        <w:t xml:space="preserve"> </w:t>
      </w:r>
      <w:r>
        <w:t xml:space="preserve">‘average’</w:t>
      </w:r>
      <w:r>
        <w:t xml:space="preserve"> </w:t>
      </w:r>
      <w:r>
        <w:t xml:space="preserve">(using random-effects weightings) of the new studies (as was done for fixed-effects) doesn’t work for multiple reasons. Firstly, for each pixel, it is not possible to know what new studies created the</w:t>
      </w:r>
      <w:r>
        <w:t xml:space="preserve"> </w:t>
      </w:r>
      <w:r>
        <w:t xml:space="preserve">‘average’</w:t>
      </w:r>
      <w:r>
        <w:t xml:space="preserve"> </w:t>
      </w:r>
      <w:r>
        <w:t xml:space="preserve">represented by the respective point. Without knowing the new studies, the between-study heterogeneity can’t be estimated. Secondly, different combinations of new studies could lead to the same</w:t>
      </w:r>
      <w:r>
        <w:t xml:space="preserve"> </w:t>
      </w:r>
      <w:r>
        <w:t xml:space="preserve">‘average’</w:t>
      </w:r>
      <w:r>
        <w:t xml:space="preserve"> </w:t>
      </w:r>
      <w:r>
        <w:t xml:space="preserve">effect size and standard error. It therefore follows that as there is no unique combination, there could be multiple different estimates of the between-study heterogeneity represented by a single pixel. To move forward, a compromise or assumption has to be made.</w:t>
      </w:r>
    </w:p>
    <w:p>
      <w:pPr>
        <w:pStyle w:val="BodyText"/>
      </w:pPr>
      <w:r>
        <w:t xml:space="preserve">One idea is to assume a constant between-study heterogeneity across all pixels in the plane. If this idea was to be carried out, then the optimal choice for the common between-study heterogeneity across all pixels would be the updated meta-analysis,</w:t>
      </w:r>
      <w:r>
        <w:t xml:space="preserve"> </w:t>
      </w:r>
      <m:oMath>
        <m:sSubSup>
          <m:e>
            <m:r>
              <m:t>τ</m:t>
            </m:r>
          </m:e>
          <m:sub>
            <m:r>
              <m:t>n</m:t>
            </m:r>
            <m:r>
              <m:t>e</m:t>
            </m:r>
            <m:r>
              <m:t>w</m:t>
            </m:r>
          </m:sub>
          <m:sup>
            <m:r>
              <m:t>2</m:t>
            </m:r>
          </m:sup>
        </m:sSubSup>
      </m:oMath>
      <w:r>
        <w:t xml:space="preserve">. Whilst the new studies</w:t>
      </w:r>
      <w:r>
        <w:t xml:space="preserve"> </w:t>
      </w:r>
      <w:r>
        <w:t xml:space="preserve">‘average’</w:t>
      </w:r>
      <w:r>
        <w:t xml:space="preserve"> </w:t>
      </w:r>
      <w:r>
        <w:t xml:space="preserve">would at least sit in the correct section of the plot, this becomes a very strong assumption as you get to more</w:t>
      </w:r>
      <w:r>
        <w:t xml:space="preserve"> </w:t>
      </w:r>
      <w:r>
        <w:t xml:space="preserve">‘extreme’</w:t>
      </w:r>
      <w:r>
        <w:t xml:space="preserve"> </w:t>
      </w:r>
      <w:r>
        <w:t xml:space="preserve">pixels/values. This has a consequence on the contours created, as the further extreme you go in the plot, the between-study heterogeneity is likely being underestimated, and therefore being coloured</w:t>
      </w:r>
      <w:r>
        <w:t xml:space="preserve"> </w:t>
      </w:r>
      <w:r>
        <w:t xml:space="preserve">‘incorrectly’</w:t>
      </w:r>
      <w:r>
        <w:t xml:space="preserve"> </w:t>
      </w:r>
      <w:r>
        <w:t xml:space="preserve">as leading to significance, whereas such cases would be unlikely.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crn4\AppData\Local\App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addition</w:t>
            </w:r>
          </w:p>
        </w:tc>
      </w:tr>
      <w:tr>
        <w:trPr>
          <w:cantSplit/>
        </w:trPr>
        <w:tc>
          <w:tcPr>
            <w:tcMar>
              <w:top w:w="108" w:type="dxa"/>
              <w:bottom w:w="108" w:type="dxa"/>
            </w:tcMar>
          </w:tcPr>
          <w:p>
            <w:pPr>
              <w:pStyle w:val="BodyText"/>
            </w:pPr>
            <w:pPr>
              <w:spacing w:before="16" w:after="16"/>
            </w:pPr>
            <w:r>
              <w:t xml:space="preserve">To ensure that viewers are appropriately aware of the assumption, the plot needs to have a summary somewhere of how</w:t>
            </w:r>
            <w:r>
              <w:t xml:space="preserve"> </w:t>
            </w:r>
            <m:oMath>
              <m:sSup>
                <m:e>
                  <m:r>
                    <m:t>τ</m:t>
                  </m:r>
                </m:e>
                <m:sup>
                  <m:r>
                    <m:t>2</m:t>
                  </m:r>
                </m:sup>
              </m:sSup>
            </m:oMath>
            <w:r>
              <w:t xml:space="preserve"> </w:t>
            </w:r>
            <w:r>
              <w:t xml:space="preserve">has changed due to the inclusion of the new studies (and if possible, it’s uncertainty).</w:t>
            </w:r>
          </w:p>
        </w:tc>
      </w:tr>
    </w:tbl>
    <w:p>
      <w:pPr>
        <w:pStyle w:val="BodyText"/>
      </w:pPr>
      <w:r>
        <w:t xml:space="preserve">Another idea, that has less strong assumptions across the plot space is to consider the</w:t>
      </w:r>
      <w:r>
        <w:t xml:space="preserve"> </w:t>
      </w:r>
      <w:r>
        <w:t xml:space="preserve">‘average’</w:t>
      </w:r>
      <w:r>
        <w:t xml:space="preserve"> </w:t>
      </w:r>
      <w:r>
        <w:t xml:space="preserve">of the new studies, without taking into account the between-study heterogeneity, as the visual</w:t>
      </w:r>
      <w:r>
        <w:t xml:space="preserve"> </w:t>
      </w:r>
      <w:r>
        <w:t xml:space="preserve">‘contribution’</w:t>
      </w:r>
      <w:r>
        <w:t xml:space="preserve">. As mentioned earlier, using random-weightings requires knowledge of</w:t>
      </w:r>
      <w:r>
        <w:t xml:space="preserve"> </w:t>
      </w:r>
      <m:oMath>
        <m:sSup>
          <m:e>
            <m:r>
              <m:t>τ</m:t>
            </m:r>
          </m:e>
          <m:sup>
            <m:r>
              <m:t>2</m:t>
            </m:r>
          </m:sup>
        </m:sSup>
      </m:oMath>
      <w:r>
        <w:t xml:space="preserve">, but this isn’t possible without knowing the exact</w:t>
      </w:r>
      <w:r>
        <w:t xml:space="preserve"> </w:t>
      </w:r>
      <w:r>
        <w:t xml:space="preserve">‘layout’</w:t>
      </w:r>
      <w:r>
        <w:t xml:space="preserve"> </w:t>
      </w:r>
      <w:r>
        <w:t xml:space="preserve">of the multiple new studies. If we remove the</w:t>
      </w:r>
      <w:r>
        <w:t xml:space="preserve"> </w:t>
      </w:r>
      <m:oMath>
        <m:sSup>
          <m:e>
            <m:r>
              <m:t>τ</m:t>
            </m:r>
          </m:e>
          <m:sup>
            <m:r>
              <m:t>2</m:t>
            </m:r>
          </m:sup>
        </m:sSup>
      </m:oMath>
      <w:r>
        <w:t xml:space="preserve"> </w:t>
      </w:r>
      <w:r>
        <w:t xml:space="preserve">term, then things simplify.</w:t>
      </w:r>
    </w:p>
    <w:p>
      <w:pPr>
        <w:pStyle w:val="BodyText"/>
      </w:pPr>
      <w:r>
        <w:t xml:space="preserve">Let’s assume the visual contribution of the new studies (or</w:t>
      </w:r>
      <w:r>
        <w:t xml:space="preserve"> </w:t>
      </w:r>
      <w:r>
        <w:t xml:space="preserve">‘average’</w:t>
      </w:r>
      <w:r>
        <w:t xml:space="preserve">) that would be plotted (in addition to all the new studies) would be calculated as</w:t>
      </w:r>
    </w:p>
    <w:p>
      <w:pPr>
        <w:pStyle w:val="BodyText"/>
      </w:pPr>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f>
                    <m:fPr>
                      <m:type m:val="bar"/>
                    </m:fPr>
                    <m:num>
                      <m:sSub>
                        <m:e>
                          <m:acc>
                            <m:accPr>
                              <m:chr m:val="̂"/>
                            </m:accPr>
                            <m:e>
                              <m:r>
                                <m:t>θ</m:t>
                              </m:r>
                            </m:e>
                          </m:acc>
                        </m:e>
                        <m:sub>
                          <m:r>
                            <m:t>n</m:t>
                          </m:r>
                          <m:r>
                            <m:t>j</m:t>
                          </m:r>
                        </m:sub>
                      </m:sSub>
                    </m:num>
                    <m:den>
                      <m:r>
                        <m:t>v</m:t>
                      </m:r>
                      <m:r>
                        <m:t>a</m:t>
                      </m:r>
                      <m:r>
                        <m:t>r</m:t>
                      </m:r>
                      <m:d>
                        <m:dPr>
                          <m:begChr m:val="("/>
                          <m:endChr m:val=")"/>
                          <m:sepChr m:val=""/>
                          <m:grow/>
                        </m:dPr>
                        <m:e>
                          <m:sSub>
                            <m:e>
                              <m:acc>
                                <m:accPr>
                                  <m:chr m:val="̂"/>
                                </m:accPr>
                                <m:e>
                                  <m:r>
                                    <m:t>θ</m:t>
                                  </m:r>
                                </m:e>
                              </m:acc>
                            </m:e>
                            <m:sub>
                              <m:r>
                                <m:t>n</m:t>
                              </m:r>
                              <m:r>
                                <m:t>j</m:t>
                              </m:r>
                            </m:sub>
                          </m:sSub>
                        </m:e>
                      </m:d>
                    </m:den>
                  </m:f>
                </m:e>
              </m:nary>
            </m:num>
            <m:den>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den>
                  </m:f>
                </m:e>
              </m:nary>
            </m:den>
          </m:f>
        </m:oMath>
      </m:oMathPara>
    </w:p>
    <w:p>
      <w:pPr>
        <w:pStyle w:val="FirstParagraph"/>
      </w:pPr>
      <m:oMathPara>
        <m:oMathParaPr>
          <m:jc m:val="center"/>
        </m:oMathParaPr>
        <m:oMath>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r>
            <m:t>1</m:t>
          </m:r>
          <m:r>
            <m:rPr>
              <m:sty m:val="p"/>
            </m:rPr>
            <m:t>/</m:t>
          </m:r>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den>
              </m:f>
            </m:e>
          </m:nary>
        </m:oMath>
      </m:oMathPara>
    </w:p>
    <w:p>
      <w:pPr>
        <w:pStyle w:val="FirstParagraph"/>
      </w:pPr>
      <m:oMath>
        <m:r>
          <m:t>m</m:t>
        </m:r>
      </m:oMath>
      <w:r>
        <w:t xml:space="preserve"> </w:t>
      </w:r>
      <w:r>
        <w:t xml:space="preserve">is the number of new studies and</w:t>
      </w:r>
      <w:r>
        <w:t xml:space="preserve"> </w:t>
      </w:r>
      <m:oMath>
        <m:sSub>
          <m:e>
            <m:acc>
              <m:accPr>
                <m:chr m:val="̂"/>
              </m:accPr>
              <m:e>
                <m:r>
                  <m:t>θ</m:t>
                </m:r>
              </m:e>
            </m:acc>
          </m:e>
          <m:sub>
            <m:r>
              <m:t>n</m:t>
            </m:r>
            <m:r>
              <m:t>j</m:t>
            </m:r>
          </m:sub>
        </m:sSub>
      </m:oMath>
      <w:r>
        <w:t xml:space="preserve"> </w:t>
      </w:r>
      <w:r>
        <w:t xml:space="preserve">is the jth new study where</w:t>
      </w:r>
      <w:r>
        <w:t xml:space="preserve"> </w:t>
      </w:r>
      <m:oMath>
        <m:r>
          <m:t>j</m:t>
        </m:r>
        <m:r>
          <m:rPr>
            <m:sty m:val="p"/>
          </m:rPr>
          <m:t>=</m:t>
        </m:r>
        <m:r>
          <m:t>1</m:t>
        </m:r>
        <m:r>
          <m:rPr>
            <m:sty m:val="p"/>
          </m:rPr>
          <m:t>,</m:t>
        </m:r>
        <m:r>
          <m:rPr>
            <m:sty m:val="p"/>
          </m:rPr>
          <m:t>.</m:t>
        </m:r>
        <m:r>
          <m:rPr>
            <m:sty m:val="p"/>
          </m:rPr>
          <m:t>.</m:t>
        </m:r>
        <m:r>
          <m:rPr>
            <m:sty m:val="p"/>
          </m:rPr>
          <m:t>.</m:t>
        </m:r>
        <m:r>
          <m:rPr>
            <m:sty m:val="p"/>
          </m:rPr>
          <m:t>,</m:t>
        </m:r>
        <m:r>
          <m:t>m</m:t>
        </m:r>
      </m:oMath>
      <w:r>
        <w:t xml:space="preserve">.</w:t>
      </w:r>
    </w:p>
    <w:p>
      <w:pPr>
        <w:pStyle w:val="BodyText"/>
      </w:pPr>
      <w:r>
        <w:t xml:space="preserve">This new</w:t>
      </w:r>
      <w:r>
        <w:t xml:space="preserve"> </w:t>
      </w:r>
      <w:r>
        <w:t xml:space="preserve">‘average’</w:t>
      </w:r>
      <w:r>
        <w:t xml:space="preserve"> </w:t>
      </w:r>
      <w:r>
        <w:t xml:space="preserve">study is then added to the meta-analysis in the same manner as when we were only considering one new study. How much of a difference does this make?</w:t>
      </w:r>
    </w:p>
    <w:p>
      <w:pPr>
        <w:pStyle w:val="SourceCode"/>
      </w:pPr>
      <w:r>
        <w:br/>
      </w:r>
      <w:r>
        <w:rPr>
          <w:rStyle w:val="VerbatimChar"/>
        </w:rPr>
        <w:t xml:space="preserve">Random-Effects Model (k = 9; tau^2 estimator: DL)</w:t>
      </w:r>
      <w:r>
        <w:br/>
      </w:r>
      <w:r>
        <w:br/>
      </w:r>
      <w:r>
        <w:rPr>
          <w:rStyle w:val="VerbatimChar"/>
        </w:rPr>
        <w:t xml:space="preserve">tau^2 (estimated amount of total heterogeneity): 0.0979 (SE = 0.0879)</w:t>
      </w:r>
      <w:r>
        <w:br/>
      </w:r>
      <w:r>
        <w:rPr>
          <w:rStyle w:val="VerbatimChar"/>
        </w:rPr>
        <w:t xml:space="preserve">tau (square root of estimated tau^2 value):      0.3128</w:t>
      </w:r>
      <w:r>
        <w:br/>
      </w:r>
      <w:r>
        <w:rPr>
          <w:rStyle w:val="VerbatimChar"/>
        </w:rPr>
        <w:t xml:space="preserve">I^2 (total heterogeneity / total variability):   72.20%</w:t>
      </w:r>
      <w:r>
        <w:br/>
      </w:r>
      <w:r>
        <w:rPr>
          <w:rStyle w:val="VerbatimChar"/>
        </w:rPr>
        <w:t xml:space="preserve">H^2 (total variability / sampling variability):  3.60</w:t>
      </w:r>
      <w:r>
        <w:br/>
      </w:r>
      <w:r>
        <w:br/>
      </w:r>
      <w:r>
        <w:rPr>
          <w:rStyle w:val="VerbatimChar"/>
        </w:rPr>
        <w:t xml:space="preserve">Test for Heterogeneity:</w:t>
      </w:r>
      <w:r>
        <w:br/>
      </w:r>
      <w:r>
        <w:rPr>
          <w:rStyle w:val="VerbatimChar"/>
        </w:rPr>
        <w:t xml:space="preserve">Q(df = 8) = 28.7783, p-val = 0.0003</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-0.3472  0.1403  -2.4746  0.0133  -0.6223  -0.0722  * </w:t>
      </w:r>
      <w:r>
        <w:br/>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Random-Effects Model (k = 7; tau^2 estimator: DL)</w:t>
      </w:r>
      <w:r>
        <w:br/>
      </w:r>
      <w:r>
        <w:br/>
      </w:r>
      <w:r>
        <w:rPr>
          <w:rStyle w:val="VerbatimChar"/>
        </w:rPr>
        <w:t xml:space="preserve">tau^2 (estimated amount of total heterogeneity): 0.0946 (SE = 0.1060)</w:t>
      </w:r>
      <w:r>
        <w:br/>
      </w:r>
      <w:r>
        <w:rPr>
          <w:rStyle w:val="VerbatimChar"/>
        </w:rPr>
        <w:t xml:space="preserve">tau (square root of estimated tau^2 value):      0.3075</w:t>
      </w:r>
      <w:r>
        <w:br/>
      </w:r>
      <w:r>
        <w:rPr>
          <w:rStyle w:val="VerbatimChar"/>
        </w:rPr>
        <w:t xml:space="preserve">I^2 (total heterogeneity / total variability):   74.78%</w:t>
      </w:r>
      <w:r>
        <w:br/>
      </w:r>
      <w:r>
        <w:rPr>
          <w:rStyle w:val="VerbatimChar"/>
        </w:rPr>
        <w:t xml:space="preserve">H^2 (total variability / sampling variability):  3.97</w:t>
      </w:r>
      <w:r>
        <w:br/>
      </w:r>
      <w:r>
        <w:br/>
      </w:r>
      <w:r>
        <w:rPr>
          <w:rStyle w:val="VerbatimChar"/>
        </w:rPr>
        <w:t xml:space="preserve">Test for Heterogeneity:</w:t>
      </w:r>
      <w:r>
        <w:br/>
      </w:r>
      <w:r>
        <w:rPr>
          <w:rStyle w:val="VerbatimChar"/>
        </w:rPr>
        <w:t xml:space="preserve">Q(df = 6) = 23.7942, p-val = 0.0006</w:t>
      </w:r>
      <w:r>
        <w:br/>
      </w:r>
      <w:r>
        <w:br/>
      </w:r>
      <w:r>
        <w:rPr>
          <w:rStyle w:val="VerbatimChar"/>
        </w:rPr>
        <w:t xml:space="preserve">Model Results:</w:t>
      </w:r>
      <w:r>
        <w:br/>
      </w:r>
      <w:r>
        <w:br/>
      </w:r>
      <w:r>
        <w:rPr>
          <w:rStyle w:val="VerbatimChar"/>
        </w:rPr>
        <w:t xml:space="preserve">estimate      se     zval    pval    ci.lb   ci.ub    </w:t>
      </w:r>
      <w:r>
        <w:br/>
      </w:r>
      <w:r>
        <w:rPr>
          <w:rStyle w:val="VerbatimChar"/>
        </w:rPr>
        <w:t xml:space="preserve"> -0.2817  0.1607  -1.7523  0.0797  -0.5967  0.0334  . </w:t>
      </w:r>
      <w:r>
        <w:br/>
      </w:r>
      <w:r>
        <w:br/>
      </w:r>
      <w:r>
        <w:rPr>
          <w:rStyle w:val="VerbatimChar"/>
        </w:rPr>
        <w:t xml:space="preserve">---</w:t>
      </w:r>
      <w:r>
        <w:br/>
      </w:r>
      <w:r>
        <w:rPr>
          <w:rStyle w:val="VerbatimChar"/>
        </w:rPr>
        <w:t xml:space="preserve">Signif. codes:  0 '***' 0.001 '**' 0.01 '*' 0.05 '.' 0.1 ' ' 1</w:t>
      </w:r>
    </w:p>
    <w:p>
      <w:pPr>
        <w:pStyle w:val="FirstParagraph"/>
      </w:pPr>
      <w:r>
        <w:t xml:space="preserve">When including the additional studies as they are, we get a (log)RR of -0.347 with 95% CI: -0.622 to -0.072. Whereas when we make the additional studies into one new one based on inverse-variance weighting (without accounting for between-study heterogeneity), then the (log)RR is -0.2816593 with 95% CI: -0.597 to 0.033. Even though the estimates of between-study heterogeneity were similar (0.098 vs 0.095), the confidence bound move from being statistically significant to non-significant. This would lend itself to the visual contribution point to not match the true update (i.e., it wouldn’t sit in the coloured contour, but the updated meta-analysis diamond would indicate significance). So even though this method would be closer to the</w:t>
      </w:r>
      <w:r>
        <w:t xml:space="preserve"> </w:t>
      </w:r>
      <w:r>
        <w:t xml:space="preserve">‘truth’</w:t>
      </w:r>
      <w:r>
        <w:t xml:space="preserve"> </w:t>
      </w:r>
      <w:r>
        <w:t xml:space="preserve">across the plot than previously, it risks there containing conflicting visual elements, rendering the plot not a useful aid.</w:t>
      </w:r>
    </w:p>
    <w:p>
      <w:pPr>
        <w:pStyle w:val="BodyText"/>
      </w:pPr>
      <w:r>
        <w:t xml:space="preserve">Furthermore, it isn’t possible to write the overall pooled effect (and associated standard error) in terms of this suggested formula for new</w:t>
      </w:r>
      <w:r>
        <w:t xml:space="preserve"> </w:t>
      </w:r>
      <w:r>
        <w:t xml:space="preserve">‘average’</w:t>
      </w:r>
      <w:r>
        <w:t xml:space="preserve"> </w:t>
      </w:r>
      <w:r>
        <w:t xml:space="preserve">study due to the</w:t>
      </w:r>
      <w:r>
        <w:t xml:space="preserve"> </w:t>
      </w:r>
      <m:oMath>
        <m:sSup>
          <m:e>
            <m:r>
              <m:t>τ</m:t>
            </m:r>
          </m:e>
          <m:sup>
            <m:r>
              <m:t>2</m:t>
            </m:r>
          </m:sup>
        </m:sSup>
      </m:oMath>
      <w:r>
        <w:t xml:space="preserve"> </w:t>
      </w:r>
      <w:r>
        <w:t xml:space="preserve">term needing to be incorporating into each individual new study. I.e., if we treated the</w:t>
      </w:r>
      <w:r>
        <w:t xml:space="preserve"> </w:t>
      </w:r>
      <w:r>
        <w:t xml:space="preserve">‘average’</w:t>
      </w:r>
      <w:r>
        <w:t xml:space="preserve"> </w:t>
      </w:r>
      <w:r>
        <w:t xml:space="preserve">study as a single study (as is done when considering pixel by pixel), then</w:t>
      </w:r>
    </w:p>
    <w:p>
      <w:pPr>
        <w:pStyle w:val="BodyText"/>
      </w:pPr>
      <m:oMathPara>
        <m:oMathParaPr>
          <m:jc m:val="center"/>
        </m:oMathParaPr>
        <m:oMath>
          <m:r>
            <m:t>v</m:t>
          </m:r>
          <m:r>
            <m:t>a</m:t>
          </m:r>
          <m:r>
            <m:t>r</m:t>
          </m:r>
          <m:d>
            <m:dPr>
              <m:begChr m:val="("/>
              <m:endChr m:val=")"/>
              <m:sepChr m:val=""/>
              <m:grow/>
            </m:dPr>
            <m:e>
              <m:acc>
                <m:accPr>
                  <m:chr m:val="̂"/>
                </m:accPr>
                <m:e>
                  <m:r>
                    <m:t>θ</m:t>
                  </m:r>
                </m:e>
              </m:acc>
            </m:e>
          </m:d>
          <m:r>
            <m:rPr>
              <m:sty m:val="p"/>
            </m:rPr>
            <m:t>=</m:t>
          </m:r>
          <m:r>
            <m:t>1</m:t>
          </m:r>
          <m:r>
            <m:rPr>
              <m:sty m:val="p"/>
            </m:rPr>
            <m:t>/</m:t>
          </m:r>
          <m:d>
            <m:dPr>
              <m:begChr m:val="["/>
              <m:endChr m:val="]"/>
              <m:sepChr m:val=""/>
              <m:grow/>
            </m:dPr>
            <m:e>
              <m:nary>
                <m:naryPr>
                  <m:chr m:val="∑"/>
                  <m:limLoc m:val="undOvr"/>
                  <m:subHide m:val="off"/>
                  <m:supHide m:val="off"/>
                </m:naryPr>
                <m:sub>
                  <m:r>
                    <m:t>i</m:t>
                  </m:r>
                  <m:r>
                    <m:rPr>
                      <m:sty m:val="p"/>
                    </m:rPr>
                    <m:t>=</m:t>
                  </m:r>
                  <m:r>
                    <m:t>1</m:t>
                  </m:r>
                </m:sub>
                <m:sup>
                  <m:r>
                    <m:t>n</m:t>
                  </m:r>
                </m:sup>
                <m:e>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r>
                    <m:t>1</m:t>
                  </m:r>
                </m:num>
                <m:den>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sSup>
                    <m:e>
                      <m:r>
                        <m:t>τ</m:t>
                      </m:r>
                    </m:e>
                    <m:sup>
                      <m:r>
                        <m:t>2</m:t>
                      </m:r>
                    </m:sup>
                  </m:sSup>
                </m:den>
              </m:f>
            </m:e>
          </m:d>
        </m:oMath>
      </m:oMathPara>
    </w:p>
    <w:p>
      <w:pPr>
        <w:pStyle w:val="FirstParagraph"/>
      </w:pPr>
      <w:r>
        <w:t xml:space="preserve">but</w:t>
      </w:r>
    </w:p>
    <w:p>
      <w:pPr>
        <w:pStyle w:val="BodyText"/>
      </w:pPr>
      <m:oMathPara>
        <m:oMathParaPr>
          <m:jc m:val="center"/>
        </m:oMathParaPr>
        <m:oMath>
          <m:f>
            <m:fPr>
              <m:type m:val="bar"/>
            </m:fPr>
            <m:num>
              <m:r>
                <m:t>1</m:t>
              </m:r>
            </m:num>
            <m:den>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sSup>
                <m:e>
                  <m:r>
                    <m:t>τ</m:t>
                  </m:r>
                </m:e>
                <m:sup>
                  <m:r>
                    <m:t>2</m:t>
                  </m:r>
                </m:sup>
              </m:sSup>
            </m:den>
          </m:f>
          <m:r>
            <m:rPr>
              <m:sty m:val="p"/>
            </m:rPr>
            <m:t>=</m:t>
          </m:r>
          <m:r>
            <m:t>1</m:t>
          </m:r>
          <m:r>
            <m:rPr>
              <m:sty m:val="p"/>
            </m:rPr>
            <m:t>/</m:t>
          </m:r>
          <m:d>
            <m:dPr>
              <m:begChr m:val="["/>
              <m:endChr m:val="]"/>
              <m:sepChr m:val=""/>
              <m:grow/>
            </m:dPr>
            <m:e>
              <m:r>
                <m:t>1</m:t>
              </m:r>
              <m:r>
                <m:rPr>
                  <m:sty m:val="p"/>
                </m:rPr>
                <m:t>/</m:t>
              </m:r>
              <m:d>
                <m:dPr>
                  <m:begChr m:val="["/>
                  <m:endChr m:val="]"/>
                  <m:sepChr m:val=""/>
                  <m:grow/>
                </m:dPr>
                <m:e>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den>
                      </m:f>
                    </m:e>
                  </m:nary>
                </m:e>
              </m:d>
              <m:r>
                <m:rPr>
                  <m:sty m:val="p"/>
                </m:rPr>
                <m:t>+</m:t>
              </m:r>
              <m:sSup>
                <m:e>
                  <m:r>
                    <m:t>τ</m:t>
                  </m:r>
                </m:e>
                <m:sup>
                  <m:r>
                    <m:t>2</m:t>
                  </m:r>
                </m:sup>
              </m:sSup>
            </m:e>
          </m:d>
          <m:r>
            <m:rPr>
              <m:sty m:val="p"/>
            </m:rPr>
            <m:t>≠</m:t>
          </m:r>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p>
                    <m:e>
                      <m:r>
                        <m:t>τ</m:t>
                      </m:r>
                    </m:e>
                    <m:sup>
                      <m:r>
                        <m:t>2</m:t>
                      </m:r>
                    </m:sup>
                  </m:sSup>
                </m:den>
              </m:f>
            </m:e>
          </m:nary>
        </m:oMath>
      </m:oMathPara>
    </w:p>
    <w:p>
      <w:pPr>
        <w:pStyle w:val="FirstParagraph"/>
      </w:pPr>
      <w:r>
        <w:t xml:space="preserve">A third option fits</w:t>
      </w:r>
      <w:r>
        <w:t xml:space="preserve"> </w:t>
      </w:r>
      <w:r>
        <w:t xml:space="preserve">‘in between’</w:t>
      </w:r>
      <w:r>
        <w:t xml:space="preserve"> </w:t>
      </w:r>
      <w:r>
        <w:t xml:space="preserve">the first two options. Let us visualise the new contribution as the weighted average, taking into account the between-study heterogeneity (estimated from the updated meta-analysis,</w:t>
      </w:r>
      <w:r>
        <w:t xml:space="preserve"> </w:t>
      </w:r>
      <m:oMath>
        <m:sSubSup>
          <m:e>
            <m:acc>
              <m:accPr>
                <m:chr m:val="̂"/>
              </m:accPr>
              <m:e>
                <m:r>
                  <m:t>τ</m:t>
                </m:r>
              </m:e>
            </m:acc>
          </m:e>
          <m:sub>
            <m:r>
              <m:t>n</m:t>
            </m:r>
            <m:r>
              <m:t>e</m:t>
            </m:r>
            <m:r>
              <m:t>w</m:t>
            </m:r>
          </m:sub>
          <m:sup>
            <m:r>
              <m:t>2</m:t>
            </m:r>
          </m:sup>
        </m:sSubSup>
      </m:oMath>
      <w:r>
        <w:t xml:space="preserve">).</w:t>
      </w:r>
    </w:p>
    <w:p>
      <w:pPr>
        <w:pStyle w:val="BodyText"/>
      </w:pPr>
      <w:bookmarkStart w:id="57" w:name="eq-average-new-random"/>
      <m:oMathPara>
        <m:oMathParaPr>
          <m:jc m:val="center"/>
        </m:oMathParaPr>
        <m:oMath>
          <m:sSub>
            <m:e>
              <m:acc>
                <m:accPr>
                  <m:chr m:val="̂"/>
                </m:accPr>
                <m:e>
                  <m:r>
                    <m:t>θ</m:t>
                  </m:r>
                </m:e>
              </m:acc>
            </m:e>
            <m:sub>
              <m:acc>
                <m:accPr>
                  <m:chr m:val="‾"/>
                </m:accPr>
                <m:e>
                  <m:r>
                    <m:t>n</m:t>
                  </m:r>
                  <m:r>
                    <m:t>e</m:t>
                  </m:r>
                  <m:r>
                    <m:t>w</m:t>
                  </m:r>
                </m:e>
              </m:acc>
            </m:sub>
          </m:sSub>
          <m:r>
            <m:rPr>
              <m:sty m:val="p"/>
            </m:rPr>
            <m:t>=</m:t>
          </m:r>
          <m:f>
            <m:fPr>
              <m:type m:val="bar"/>
            </m:fPr>
            <m:num>
              <m:nary>
                <m:naryPr>
                  <m:chr m:val="∑"/>
                  <m:limLoc m:val="undOvr"/>
                  <m:subHide m:val="off"/>
                  <m:supHide m:val="off"/>
                </m:naryPr>
                <m:sub>
                  <m:r>
                    <m:t>j</m:t>
                  </m:r>
                  <m:r>
                    <m:rPr>
                      <m:sty m:val="p"/>
                    </m:rPr>
                    <m:t>=</m:t>
                  </m:r>
                  <m:r>
                    <m:t>1</m:t>
                  </m:r>
                </m:sub>
                <m:sup>
                  <m:r>
                    <m:t>m</m:t>
                  </m:r>
                </m:sup>
                <m:e>
                  <m:f>
                    <m:fPr>
                      <m:type m:val="bar"/>
                    </m:fPr>
                    <m:num>
                      <m:sSub>
                        <m:e>
                          <m:acc>
                            <m:accPr>
                              <m:chr m:val="̂"/>
                            </m:accPr>
                            <m:e>
                              <m:r>
                                <m:t>θ</m:t>
                              </m:r>
                            </m:e>
                          </m:acc>
                        </m:e>
                        <m:sub>
                          <m:r>
                            <m:t>n</m:t>
                          </m:r>
                          <m:r>
                            <m:t>j</m:t>
                          </m:r>
                        </m:sub>
                      </m:sSub>
                    </m:num>
                    <m:den>
                      <m:r>
                        <m:t>v</m:t>
                      </m:r>
                      <m:r>
                        <m:t>a</m:t>
                      </m:r>
                      <m:r>
                        <m:t>r</m:t>
                      </m:r>
                      <m:d>
                        <m:dPr>
                          <m:begChr m:val="("/>
                          <m:endChr m:val=")"/>
                          <m:sepChr m:val=""/>
                          <m:grow/>
                        </m:dPr>
                        <m:e>
                          <m:sSub>
                            <m:e>
                              <m:acc>
                                <m:accPr>
                                  <m:chr m:val="̂"/>
                                </m:accPr>
                                <m:e>
                                  <m:r>
                                    <m:t>θ</m:t>
                                  </m:r>
                                </m:e>
                              </m:acc>
                            </m:e>
                            <m:sub>
                              <m:r>
                                <m:t>n</m:t>
                              </m:r>
                              <m:r>
                                <m:t>j</m:t>
                              </m:r>
                            </m:sub>
                          </m:sSub>
                        </m:e>
                      </m:d>
                      <m:r>
                        <m:rPr>
                          <m:sty m:val="p"/>
                        </m:rPr>
                        <m:t>+</m:t>
                      </m:r>
                      <m:sSubSup>
                        <m:e>
                          <m:r>
                            <m:t>τ</m:t>
                          </m:r>
                        </m:e>
                        <m:sub>
                          <m:r>
                            <m:t>n</m:t>
                          </m:r>
                          <m:r>
                            <m:t>e</m:t>
                          </m:r>
                          <m:r>
                            <m:t>w</m:t>
                          </m:r>
                        </m:sub>
                        <m:sup>
                          <m:r>
                            <m:t>2</m:t>
                          </m:r>
                        </m:sup>
                      </m:sSubSup>
                    </m:den>
                  </m:f>
                </m:e>
              </m:nary>
            </m:num>
            <m:den>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bSup>
                        <m:e>
                          <m:r>
                            <m:t>τ</m:t>
                          </m:r>
                        </m:e>
                        <m:sub>
                          <m:r>
                            <m:t>n</m:t>
                          </m:r>
                          <m:r>
                            <m:t>e</m:t>
                          </m:r>
                          <m:r>
                            <m:t>w</m:t>
                          </m:r>
                        </m:sub>
                        <m:sup>
                          <m:r>
                            <m:t>2</m:t>
                          </m:r>
                        </m:sup>
                      </m:sSubSup>
                    </m:den>
                  </m:f>
                </m:e>
              </m:nary>
            </m:den>
          </m:f>
          <m:r>
            <m:t>  </m:t>
          </m:r>
          <m:d>
            <m:dPr>
              <m:begChr m:val="("/>
              <m:endChr m:val=")"/>
              <m:sepChr m:val=""/>
              <m:grow/>
            </m:dPr>
            <m:e>
              <m:r>
                <m:t>13</m:t>
              </m:r>
            </m:e>
          </m:d>
        </m:oMath>
      </m:oMathPara>
      <w:bookmarkEnd w:id="57"/>
    </w:p>
    <w:p>
      <w:pPr>
        <w:pStyle w:val="FirstParagraph"/>
      </w:pPr>
      <w:bookmarkStart w:id="58" w:name="eq-average-new-var-random"/>
      <m:oMathPara>
        <m:oMathParaPr>
          <m:jc m:val="center"/>
        </m:oMathParaPr>
        <m:oMath>
          <m:r>
            <m:t>v</m:t>
          </m:r>
          <m:r>
            <m:t>a</m:t>
          </m:r>
          <m:r>
            <m:t>r</m:t>
          </m:r>
          <m:d>
            <m:dPr>
              <m:begChr m:val="("/>
              <m:endChr m:val=")"/>
              <m:sepChr m:val=""/>
              <m:grow/>
            </m:dPr>
            <m:e>
              <m:sSub>
                <m:e>
                  <m:acc>
                    <m:accPr>
                      <m:chr m:val="̂"/>
                    </m:accPr>
                    <m:e>
                      <m:r>
                        <m:t>θ</m:t>
                      </m:r>
                    </m:e>
                  </m:acc>
                </m:e>
                <m:sub>
                  <m:acc>
                    <m:accPr>
                      <m:chr m:val="‾"/>
                    </m:accPr>
                    <m:e>
                      <m:r>
                        <m:t>n</m:t>
                      </m:r>
                      <m:r>
                        <m:t>e</m:t>
                      </m:r>
                      <m:r>
                        <m:t>w</m:t>
                      </m:r>
                    </m:e>
                  </m:acc>
                </m:sub>
              </m:sSub>
            </m:e>
          </m:d>
          <m:r>
            <m:rPr>
              <m:sty m:val="p"/>
            </m:rPr>
            <m:t>=</m:t>
          </m:r>
          <m:r>
            <m:t>1</m:t>
          </m:r>
          <m:r>
            <m:rPr>
              <m:sty m:val="p"/>
            </m:rPr>
            <m:t>/</m:t>
          </m:r>
          <m:nary>
            <m:naryPr>
              <m:chr m:val="∑"/>
              <m:limLoc m:val="undOvr"/>
              <m:subHide m:val="off"/>
              <m:supHide m:val="off"/>
            </m:naryPr>
            <m:sub>
              <m:r>
                <m:t>j</m:t>
              </m:r>
              <m:r>
                <m:rPr>
                  <m:sty m:val="p"/>
                </m:rPr>
                <m:t>=</m:t>
              </m:r>
              <m:r>
                <m:t>1</m:t>
              </m:r>
            </m:sub>
            <m:sup>
              <m:r>
                <m:t>m</m:t>
              </m:r>
            </m:sup>
            <m:e>
              <m:f>
                <m:fPr>
                  <m:type m:val="bar"/>
                </m:fPr>
                <m:num>
                  <m:r>
                    <m:t>1</m:t>
                  </m:r>
                </m:num>
                <m:den>
                  <m:r>
                    <m:t>v</m:t>
                  </m:r>
                  <m:r>
                    <m:t>a</m:t>
                  </m:r>
                  <m:r>
                    <m:t>r</m:t>
                  </m:r>
                  <m:d>
                    <m:dPr>
                      <m:begChr m:val="("/>
                      <m:endChr m:val=")"/>
                      <m:sepChr m:val=""/>
                      <m:grow/>
                    </m:dPr>
                    <m:e>
                      <m:sSub>
                        <m:e>
                          <m:acc>
                            <m:accPr>
                              <m:chr m:val="̂"/>
                            </m:accPr>
                            <m:e>
                              <m:r>
                                <m:t>θ</m:t>
                              </m:r>
                            </m:e>
                          </m:acc>
                        </m:e>
                        <m:sub>
                          <m:r>
                            <m:t>n</m:t>
                          </m:r>
                          <m:r>
                            <m:t>j</m:t>
                          </m:r>
                        </m:sub>
                      </m:sSub>
                    </m:e>
                  </m:d>
                  <m:r>
                    <m:rPr>
                      <m:sty m:val="p"/>
                    </m:rPr>
                    <m:t>+</m:t>
                  </m:r>
                  <m:sSubSup>
                    <m:e>
                      <m:r>
                        <m:t>τ</m:t>
                      </m:r>
                    </m:e>
                    <m:sub>
                      <m:r>
                        <m:t>n</m:t>
                      </m:r>
                      <m:r>
                        <m:t>e</m:t>
                      </m:r>
                      <m:r>
                        <m:t>w</m:t>
                      </m:r>
                    </m:sub>
                    <m:sup>
                      <m:r>
                        <m:t>2</m:t>
                      </m:r>
                    </m:sup>
                  </m:sSubSup>
                </m:den>
              </m:f>
            </m:e>
          </m:nary>
          <m:r>
            <m:t>  </m:t>
          </m:r>
          <m:d>
            <m:dPr>
              <m:begChr m:val="("/>
              <m:endChr m:val=")"/>
              <m:sepChr m:val=""/>
              <m:grow/>
            </m:dPr>
            <m:e>
              <m:r>
                <m:t>14</m:t>
              </m:r>
            </m:e>
          </m:d>
        </m:oMath>
      </m:oMathPara>
      <w:bookmarkEnd w:id="58"/>
    </w:p>
    <w:p>
      <w:pPr>
        <w:pStyle w:val="FirstParagraph"/>
      </w:pPr>
      <w:r>
        <w:t xml:space="preserve">Now let’s consider each pixel on the plot. Each pixel is coloured according to the meta-analysis outcome which is derived from the pooled estimate and associated variance. When considering one new study (i.e., one new pixel), then we have the following equations (note that the</w:t>
      </w:r>
      <w:r>
        <w:t xml:space="preserve"> </w:t>
      </w:r>
      <m:oMath>
        <m:sSup>
          <m:e>
            <m:r>
              <m:t>τ</m:t>
            </m:r>
          </m:e>
          <m:sup>
            <m:r>
              <m:t>2</m:t>
            </m:r>
          </m:sup>
        </m:sSup>
      </m:oMath>
      <w:r>
        <w:t xml:space="preserve"> </w:t>
      </w:r>
      <w:r>
        <w:t xml:space="preserve">term is excluded from the terms referring to new studies - this is because it’s already incorporated in the</w:t>
      </w:r>
      <w:r>
        <w:t xml:space="preserve"> </w:t>
      </w:r>
      <w:r>
        <w:t xml:space="preserve">‘average’</w:t>
      </w:r>
      <w:r>
        <w:t xml:space="preserve"> </w:t>
      </w:r>
      <w:r>
        <w:t xml:space="preserve">values defined above):</w:t>
      </w:r>
    </w:p>
    <w:p>
      <w:pPr>
        <w:pStyle w:val="BodyText"/>
      </w:pPr>
      <w:bookmarkStart w:id="59" w:name="eq-pooled-est-random-new"/>
      <m:oMathPara>
        <m:oMathParaPr>
          <m:jc m:val="center"/>
        </m:oMathParaPr>
        <m:oMath>
          <m:acc>
            <m:accPr>
              <m:chr m:val="̂"/>
            </m:accPr>
            <m:e>
              <m:r>
                <m:t>θ</m:t>
              </m:r>
            </m:e>
          </m:acc>
          <m:r>
            <m:rPr>
              <m:sty m:val="p"/>
            </m:rPr>
            <m:t>=</m:t>
          </m:r>
          <m:f>
            <m:fPr>
              <m:type m:val="bar"/>
            </m:fPr>
            <m:num>
              <m:nary>
                <m:naryPr>
                  <m:chr m:val="∑"/>
                  <m:limLoc m:val="undOvr"/>
                  <m:subHide m:val="off"/>
                  <m:supHide m:val="off"/>
                </m:naryPr>
                <m:sub>
                  <m:r>
                    <m:t>i</m:t>
                  </m:r>
                  <m:r>
                    <m:rPr>
                      <m:sty m:val="p"/>
                    </m:rPr>
                    <m:t>=</m:t>
                  </m:r>
                  <m:r>
                    <m:t>1</m:t>
                  </m:r>
                </m:sub>
                <m:sup>
                  <m:r>
                    <m:t>n</m:t>
                  </m:r>
                </m:sup>
                <m:e>
                  <m:f>
                    <m:fPr>
                      <m:type m:val="bar"/>
                    </m:fPr>
                    <m:num>
                      <m:sSub>
                        <m:e>
                          <m:acc>
                            <m:accPr>
                              <m:chr m:val="̂"/>
                            </m:accPr>
                            <m:e>
                              <m:r>
                                <m:t>θ</m:t>
                              </m:r>
                            </m:e>
                          </m:acc>
                        </m:e>
                        <m:sub>
                          <m:r>
                            <m:t>i</m:t>
                          </m:r>
                        </m:sub>
                      </m:sSub>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sSub>
                    <m:e>
                      <m:acc>
                        <m:accPr>
                          <m:chr m:val="̂"/>
                        </m:accPr>
                        <m:e>
                          <m:r>
                            <m:t>θ</m:t>
                          </m:r>
                        </m:e>
                      </m:acc>
                    </m:e>
                    <m:sub>
                      <m:r>
                        <m:t>n</m:t>
                      </m:r>
                      <m:r>
                        <m:t>e</m:t>
                      </m:r>
                      <m:r>
                        <m:t>w</m:t>
                      </m:r>
                    </m:sub>
                  </m:sSub>
                </m:num>
                <m:den>
                  <m:r>
                    <m:t>v</m:t>
                  </m:r>
                  <m:r>
                    <m:t>a</m:t>
                  </m:r>
                  <m:r>
                    <m:t>r</m:t>
                  </m:r>
                  <m:d>
                    <m:dPr>
                      <m:begChr m:val="("/>
                      <m:endChr m:val=")"/>
                      <m:sepChr m:val=""/>
                      <m:grow/>
                    </m:dPr>
                    <m:e>
                      <m:sSub>
                        <m:e>
                          <m:acc>
                            <m:accPr>
                              <m:chr m:val="̂"/>
                            </m:accPr>
                            <m:e>
                              <m:r>
                                <m:t>θ</m:t>
                              </m:r>
                            </m:e>
                          </m:acc>
                        </m:e>
                        <m:sub>
                          <m:r>
                            <m:t>n</m:t>
                          </m:r>
                          <m:r>
                            <m:t>e</m:t>
                          </m:r>
                          <m:r>
                            <m:t>w</m:t>
                          </m:r>
                        </m:sub>
                      </m:sSub>
                    </m:e>
                  </m:d>
                </m:den>
              </m:f>
            </m:num>
            <m:den>
              <m:nary>
                <m:naryPr>
                  <m:chr m:val="∑"/>
                  <m:limLoc m:val="undOvr"/>
                  <m:subHide m:val="off"/>
                  <m:supHide m:val="off"/>
                </m:naryPr>
                <m:sub>
                  <m:r>
                    <m:t>i</m:t>
                  </m:r>
                  <m:r>
                    <m:rPr>
                      <m:sty m:val="p"/>
                    </m:rPr>
                    <m:t>=</m:t>
                  </m:r>
                  <m:r>
                    <m:t>1</m:t>
                  </m:r>
                </m:sub>
                <m:sup>
                  <m:r>
                    <m:t>n</m:t>
                  </m:r>
                </m:sup>
                <m:e>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den>
          </m:f>
          <m:r>
            <m:t>  </m:t>
          </m:r>
          <m:d>
            <m:dPr>
              <m:begChr m:val="("/>
              <m:endChr m:val=")"/>
              <m:sepChr m:val=""/>
              <m:grow/>
            </m:dPr>
            <m:e>
              <m:r>
                <m:t>15</m:t>
              </m:r>
            </m:e>
          </m:d>
        </m:oMath>
      </m:oMathPara>
      <w:bookmarkEnd w:id="59"/>
    </w:p>
    <w:p>
      <w:pPr>
        <w:pStyle w:val="FirstParagraph"/>
      </w:pPr>
      <w:bookmarkStart w:id="60" w:name="eq-pooled-se-random-new"/>
      <m:oMathPara>
        <m:oMathParaPr>
          <m:jc m:val="center"/>
        </m:oMathParaPr>
        <m:oMath>
          <m:r>
            <m:t>v</m:t>
          </m:r>
          <m:r>
            <m:t>a</m:t>
          </m:r>
          <m:r>
            <m:t>r</m:t>
          </m:r>
          <m:d>
            <m:dPr>
              <m:begChr m:val="("/>
              <m:endChr m:val=")"/>
              <m:sepChr m:val=""/>
              <m:grow/>
            </m:dPr>
            <m:e>
              <m:acc>
                <m:accPr>
                  <m:chr m:val="̂"/>
                </m:accPr>
                <m:e>
                  <m:r>
                    <m:t>θ</m:t>
                  </m:r>
                </m:e>
              </m:acc>
            </m:e>
          </m:d>
          <m:r>
            <m:rPr>
              <m:sty m:val="p"/>
            </m:rPr>
            <m:t>=</m:t>
          </m:r>
          <m:r>
            <m:t>1</m:t>
          </m:r>
          <m:r>
            <m:rPr>
              <m:sty m:val="p"/>
            </m:rPr>
            <m:t>/</m:t>
          </m:r>
          <m:nary>
            <m:naryPr>
              <m:chr m:val="∑"/>
              <m:limLoc m:val="undOvr"/>
              <m:subHide m:val="off"/>
              <m:supHide m:val="off"/>
            </m:naryPr>
            <m:sub>
              <m:r>
                <m:t>i</m:t>
              </m:r>
              <m:r>
                <m:rPr>
                  <m:sty m:val="p"/>
                </m:rPr>
                <m:t>=</m:t>
              </m:r>
              <m:r>
                <m:t>1</m:t>
              </m:r>
            </m:sub>
            <m:sup>
              <m:r>
                <m:t>n</m:t>
              </m:r>
            </m:sup>
            <m:e>
              <m:f>
                <m:fPr>
                  <m:type m:val="bar"/>
                </m:fPr>
                <m:num>
                  <m:r>
                    <m:t>1</m:t>
                  </m:r>
                </m:num>
                <m:den>
                  <m:r>
                    <m:t>v</m:t>
                  </m:r>
                  <m:r>
                    <m:t>a</m:t>
                  </m:r>
                  <m:r>
                    <m:t>r</m:t>
                  </m:r>
                  <m:d>
                    <m:dPr>
                      <m:begChr m:val="("/>
                      <m:endChr m:val=")"/>
                      <m:sepChr m:val=""/>
                      <m:grow/>
                    </m:dPr>
                    <m:e>
                      <m:sSub>
                        <m:e>
                          <m:acc>
                            <m:accPr>
                              <m:chr m:val="̂"/>
                            </m:accPr>
                            <m:e>
                              <m:r>
                                <m:t>θ</m:t>
                              </m:r>
                            </m:e>
                          </m:acc>
                        </m:e>
                        <m:sub>
                          <m:r>
                            <m:t>i</m:t>
                          </m:r>
                        </m:sub>
                      </m:sSub>
                    </m:e>
                  </m:d>
                  <m:r>
                    <m:rPr>
                      <m:sty m:val="p"/>
                    </m:rPr>
                    <m:t>+</m:t>
                  </m:r>
                  <m:sSup>
                    <m:e>
                      <m:r>
                        <m:t>τ</m:t>
                      </m:r>
                    </m:e>
                    <m:sup>
                      <m:r>
                        <m:t>2</m:t>
                      </m:r>
                    </m:sup>
                  </m:sSup>
                </m:den>
              </m:f>
            </m:e>
          </m:nary>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r>
            <m:t>  </m:t>
          </m:r>
          <m:d>
            <m:dPr>
              <m:begChr m:val="("/>
              <m:endChr m:val=")"/>
              <m:sepChr m:val=""/>
              <m:grow/>
            </m:dPr>
            <m:e>
              <m:r>
                <m:t>16</m:t>
              </m:r>
            </m:e>
          </m:d>
        </m:oMath>
      </m:oMathPara>
      <w:bookmarkEnd w:id="60"/>
    </w:p>
    <w:p>
      <w:pPr>
        <w:pStyle w:val="FirstParagraph"/>
      </w:pPr>
      <w:r>
        <w:t xml:space="preserve">However, as described earlier,</w:t>
      </w:r>
      <w:r>
        <w:t xml:space="preserve"> </w:t>
      </w:r>
      <m:oMath>
        <m:sSup>
          <m:e>
            <m:r>
              <m:t>τ</m:t>
            </m:r>
          </m:e>
          <m:sup>
            <m:r>
              <m:t>2</m:t>
            </m:r>
          </m:sup>
        </m:sSup>
      </m:oMath>
      <w:r>
        <w:t xml:space="preserve"> </w:t>
      </w:r>
      <w:r>
        <w:t xml:space="preserve">is calculated from the existing and new studies, but in this scenario, whilst we’re looking at one pixel, each pixel is representing multiple new studies, for which a unique</w:t>
      </w:r>
      <w:r>
        <w:t xml:space="preserve"> </w:t>
      </w:r>
      <m:oMath>
        <m:sSup>
          <m:e>
            <m:r>
              <m:t>τ</m:t>
            </m:r>
          </m:e>
          <m:sup>
            <m:r>
              <m:t>2</m:t>
            </m:r>
          </m:sup>
        </m:sSup>
      </m:oMath>
      <w:r>
        <w:t xml:space="preserve"> </w:t>
      </w:r>
      <w:r>
        <w:t xml:space="preserve">can not be calculated.</w:t>
      </w:r>
    </w:p>
    <w:p>
      <w:pPr>
        <w:pStyle w:val="BodyText"/>
      </w:pPr>
      <w:r>
        <w:t xml:space="preserve">In the first suggestion,</w:t>
      </w:r>
      <w:r>
        <w:t xml:space="preserve"> </w:t>
      </w:r>
      <m:oMath>
        <m:sSup>
          <m:e>
            <m:r>
              <m:t>τ</m:t>
            </m:r>
          </m:e>
          <m:sup>
            <m:r>
              <m:t>2</m:t>
            </m:r>
          </m:sup>
        </m:sSup>
        <m:r>
          <m:rPr>
            <m:sty m:val="p"/>
          </m:rPr>
          <m:t>=</m:t>
        </m:r>
        <m:sSubSup>
          <m:e>
            <m:r>
              <m:t>τ</m:t>
            </m:r>
          </m:e>
          <m:sub>
            <m:r>
              <m:t>n</m:t>
            </m:r>
            <m:r>
              <m:t>e</m:t>
            </m:r>
            <m:r>
              <m:t>w</m:t>
            </m:r>
          </m:sub>
          <m:sup>
            <m:r>
              <m:t>2</m:t>
            </m:r>
          </m:sup>
        </m:sSubSup>
      </m:oMath>
      <w:r>
        <w:t xml:space="preserve"> </w:t>
      </w:r>
      <w:r>
        <w:t xml:space="preserve">for each pixel. However, as described earlier, this leads to ill-defined contours. This third option will give an individual estimate of</w:t>
      </w:r>
      <w:r>
        <w:t xml:space="preserve"> </w:t>
      </w:r>
      <m:oMath>
        <m:sSup>
          <m:e>
            <m:r>
              <m:t>τ</m:t>
            </m:r>
          </m:e>
          <m:sup>
            <m:r>
              <m:t>2</m:t>
            </m:r>
          </m:sup>
        </m:sSup>
      </m:oMath>
      <w:r>
        <w:t xml:space="preserve"> </w:t>
      </w:r>
      <w:r>
        <w:t xml:space="preserve">for each pixel, derived below.</w:t>
      </w:r>
    </w:p>
    <w:p>
      <w:pPr>
        <w:pStyle w:val="BodyText"/>
      </w:pPr>
      <w:r>
        <w:t xml:space="preserve">In the appendix of Langan et. al., it shows how</w:t>
      </w:r>
      <w:r>
        <w:t xml:space="preserve"> </w:t>
      </w:r>
      <m:oMath>
        <m:sSup>
          <m:e>
            <m:r>
              <m:t>τ</m:t>
            </m:r>
          </m:e>
          <m:sup>
            <m:r>
              <m:t>2</m:t>
            </m:r>
          </m:sup>
        </m:sSup>
      </m:oMath>
      <w:r>
        <w:t xml:space="preserve"> </w:t>
      </w:r>
      <w:r>
        <w:t xml:space="preserve">can be estimated using a method of moments approach:</w:t>
      </w:r>
    </w:p>
    <w:p>
      <w:pPr>
        <w:pStyle w:val="BodyText"/>
      </w:pPr>
      <m:oMathPara>
        <m:oMathParaPr>
          <m:jc m:val="center"/>
        </m:oMathParaPr>
        <m:oMath>
          <m:sSup>
            <m:e>
              <m:acc>
                <m:accPr>
                  <m:chr m:val="̂"/>
                </m:accPr>
                <m:e>
                  <m:r>
                    <m:t>τ</m:t>
                  </m:r>
                </m:e>
              </m:acc>
            </m:e>
            <m:sup>
              <m:r>
                <m:t>2</m:t>
              </m:r>
            </m:sup>
          </m:sSup>
          <m:r>
            <m:rPr>
              <m:sty m:val="p"/>
            </m:rPr>
            <m:t>=</m:t>
          </m:r>
          <m:f>
            <m:fPr>
              <m:type m:val="bar"/>
            </m:fPr>
            <m:num>
              <m:r>
                <m:t>Q</m:t>
              </m:r>
              <m:r>
                <m:rPr>
                  <m:sty m:val="p"/>
                </m:rPr>
                <m:t>−</m:t>
              </m:r>
              <m:r>
                <m:t>n</m:t>
              </m:r>
            </m:num>
            <m:den>
              <m:r>
                <m:t>C</m:t>
              </m:r>
            </m:den>
          </m:f>
        </m:oMath>
      </m:oMathPara>
    </w:p>
    <w:p>
      <w:pPr>
        <w:pStyle w:val="FirstParagraph"/>
      </w:pPr>
      <w:r>
        <w:t xml:space="preserve">where Q is the test statistic in a standard test for heterogeneity, and C is a scaling factor [Langan reference 23]. Langan et. al. then show that for the combination of existing and new studies, Q and C can be written as</w:t>
      </w:r>
    </w:p>
    <w:p>
      <w:pPr>
        <w:pStyle w:val="BodyText"/>
      </w:pPr>
      <m:oMathPara>
        <m:oMathParaPr>
          <m:jc m:val="center"/>
        </m:oMathParaPr>
        <m:oMath>
          <m:r>
            <m:t>Q</m:t>
          </m:r>
          <m:r>
            <m:rPr>
              <m:sty m:val="p"/>
            </m:rPr>
            <m:t>=</m:t>
          </m:r>
          <m:nary>
            <m:naryPr>
              <m:chr m:val="∑"/>
              <m:limLoc m:val="undOvr"/>
              <m:subHide m:val="off"/>
              <m:supHide m:val="off"/>
            </m:naryPr>
            <m:sub>
              <m:r>
                <m:t>i</m:t>
              </m:r>
              <m:r>
                <m:rPr>
                  <m:sty m:val="p"/>
                </m:rPr>
                <m:t>=</m:t>
              </m:r>
              <m:r>
                <m:t>1</m:t>
              </m:r>
            </m:sub>
            <m:sup>
              <m:r>
                <m:t>n</m:t>
              </m:r>
            </m:sup>
            <m:e>
              <m:sSub>
                <m:e>
                  <m:r>
                    <m:t>w</m:t>
                  </m:r>
                </m:e>
                <m:sub>
                  <m:r>
                    <m:t>i</m:t>
                  </m:r>
                </m:sub>
              </m:sSub>
            </m:e>
          </m:nary>
          <m:sSubSup>
            <m:e>
              <m:acc>
                <m:accPr>
                  <m:chr m:val="̂"/>
                </m:accPr>
                <m:e>
                  <m:r>
                    <m:t>θ</m:t>
                  </m:r>
                </m:e>
              </m:acc>
            </m:e>
            <m:sub>
              <m:r>
                <m:t>i</m:t>
              </m:r>
            </m:sub>
            <m:sup>
              <m:r>
                <m:t>2</m:t>
              </m:r>
            </m:sup>
          </m:sSubSup>
          <m:r>
            <m:rPr>
              <m:sty m:val="p"/>
            </m:rPr>
            <m:t>+</m:t>
          </m:r>
          <m:sSub>
            <m:e>
              <m:r>
                <m:t>w</m:t>
              </m:r>
            </m:e>
            <m:sub>
              <m:r>
                <m:t>n</m:t>
              </m:r>
              <m:r>
                <m:t>e</m:t>
              </m:r>
              <m:r>
                <m:t>w</m:t>
              </m:r>
            </m:sub>
          </m:sSub>
          <m:sSubSup>
            <m:e>
              <m:acc>
                <m:accPr>
                  <m:chr m:val="̂"/>
                </m:accPr>
                <m:e>
                  <m:r>
                    <m:t>θ</m:t>
                  </m:r>
                </m:e>
              </m:acc>
            </m:e>
            <m:sub>
              <m:r>
                <m:t>n</m:t>
              </m:r>
              <m:r>
                <m:t>e</m:t>
              </m:r>
              <m:r>
                <m:t>w</m:t>
              </m:r>
            </m:sub>
            <m:sup>
              <m:r>
                <m:t>2</m:t>
              </m:r>
            </m:sup>
          </m:sSubSup>
          <m:r>
            <m:rPr>
              <m:sty m:val="p"/>
            </m:rPr>
            <m:t>−</m:t>
          </m:r>
          <m:f>
            <m:fPr>
              <m:type m:val="bar"/>
            </m:fPr>
            <m:num>
              <m:sSup>
                <m:e>
                  <m:d>
                    <m:dPr>
                      <m:begChr m:val="("/>
                      <m:endChr m:val=")"/>
                      <m:sepChr m:val=""/>
                      <m:grow/>
                    </m:dPr>
                    <m:e>
                      <m:nary>
                        <m:naryPr>
                          <m:chr m:val="∑"/>
                          <m:limLoc m:val="undOvr"/>
                          <m:subHide m:val="off"/>
                          <m:supHide m:val="off"/>
                        </m:naryPr>
                        <m:sub>
                          <m:r>
                            <m:t>i</m:t>
                          </m:r>
                          <m:r>
                            <m:rPr>
                              <m:sty m:val="p"/>
                            </m:rPr>
                            <m:t>=</m:t>
                          </m:r>
                          <m:r>
                            <m:t>1</m:t>
                          </m:r>
                        </m:sub>
                        <m:sup>
                          <m:r>
                            <m:t>n</m:t>
                          </m:r>
                        </m:sup>
                        <m:e>
                          <m:sSub>
                            <m:e>
                              <m:r>
                                <m:t>w</m:t>
                              </m:r>
                            </m:e>
                            <m:sub>
                              <m:r>
                                <m:t>i</m:t>
                              </m:r>
                            </m:sub>
                          </m:sSub>
                        </m:e>
                      </m:nary>
                      <m:sSub>
                        <m:e>
                          <m:acc>
                            <m:accPr>
                              <m:chr m:val="̂"/>
                            </m:accPr>
                            <m:e>
                              <m:r>
                                <m:t>θ</m:t>
                              </m:r>
                            </m:e>
                          </m:acc>
                        </m:e>
                        <m:sub>
                          <m:r>
                            <m:t>i</m:t>
                          </m:r>
                        </m:sub>
                      </m:sSub>
                      <m:r>
                        <m:rPr>
                          <m:sty m:val="p"/>
                        </m:rPr>
                        <m:t>+</m:t>
                      </m:r>
                      <m:sSub>
                        <m:e>
                          <m:r>
                            <m:t>w</m:t>
                          </m:r>
                        </m:e>
                        <m:sub>
                          <m:r>
                            <m:t>n</m:t>
                          </m:r>
                          <m:r>
                            <m:t>e</m:t>
                          </m:r>
                          <m:r>
                            <m:t>w</m:t>
                          </m:r>
                        </m:sub>
                      </m:sSub>
                      <m:sSub>
                        <m:e>
                          <m:acc>
                            <m:accPr>
                              <m:chr m:val="̂"/>
                            </m:accPr>
                            <m:e>
                              <m:r>
                                <m:t>θ</m:t>
                              </m:r>
                            </m:e>
                          </m:acc>
                        </m:e>
                        <m:sub>
                          <m:r>
                            <m:t>n</m:t>
                          </m:r>
                          <m:r>
                            <m:t>e</m:t>
                          </m:r>
                          <m:r>
                            <m:t>w</m:t>
                          </m:r>
                        </m:sub>
                      </m:sSub>
                    </m:e>
                  </m:d>
                </m:e>
                <m:sup>
                  <m:r>
                    <m:t>2</m:t>
                  </m:r>
                </m:sup>
              </m:sSup>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oMath>
      </m:oMathPara>
    </w:p>
    <w:p>
      <w:pPr>
        <w:pStyle w:val="FirstParagraph"/>
      </w:pPr>
      <m:oMathPara>
        <m:oMathParaPr>
          <m:jc m:val="center"/>
        </m:oMathParaPr>
        <m:oMath>
          <m:r>
            <m:t>C</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r>
            <m:rPr>
              <m:sty m:val="p"/>
            </m:rPr>
            <m:t>−</m:t>
          </m:r>
          <m:f>
            <m:fPr>
              <m:type m:val="bar"/>
            </m:fPr>
            <m:num>
              <m:nary>
                <m:naryPr>
                  <m:chr m:val="∑"/>
                  <m:limLoc m:val="undOvr"/>
                  <m:subHide m:val="off"/>
                  <m:supHide m:val="off"/>
                </m:naryPr>
                <m:sub>
                  <m:r>
                    <m:t>i</m:t>
                  </m:r>
                  <m:r>
                    <m:rPr>
                      <m:sty m:val="p"/>
                    </m:rPr>
                    <m:t>=</m:t>
                  </m:r>
                  <m:r>
                    <m:t>1</m:t>
                  </m:r>
                </m:sub>
                <m:sup>
                  <m:r>
                    <m:t>n</m:t>
                  </m:r>
                </m:sup>
                <m:e>
                  <m:sSubSup>
                    <m:e>
                      <m:r>
                        <m:t>w</m:t>
                      </m:r>
                    </m:e>
                    <m:sub>
                      <m:r>
                        <m:t>i</m:t>
                      </m:r>
                    </m:sub>
                    <m:sup>
                      <m:r>
                        <m:t>2</m:t>
                      </m:r>
                    </m:sup>
                  </m:sSubSup>
                </m:e>
              </m:nary>
              <m:r>
                <m:rPr>
                  <m:sty m:val="p"/>
                </m:rPr>
                <m:t>+</m:t>
              </m:r>
              <m:sSubSup>
                <m:e>
                  <m:r>
                    <m:t>w</m:t>
                  </m:r>
                </m:e>
                <m:sub>
                  <m:r>
                    <m:t>n</m:t>
                  </m:r>
                  <m:r>
                    <m:t>e</m:t>
                  </m:r>
                  <m:r>
                    <m:t>w</m:t>
                  </m:r>
                </m:sub>
                <m:sup>
                  <m:r>
                    <m:t>2</m:t>
                  </m:r>
                </m:sup>
              </m:sSubSup>
            </m:num>
            <m:den>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w</m:t>
                  </m:r>
                </m:e>
                <m:sub>
                  <m:r>
                    <m:t>n</m:t>
                  </m:r>
                  <m:r>
                    <m:t>e</m:t>
                  </m:r>
                  <m:r>
                    <m:t>w</m:t>
                  </m:r>
                </m:sub>
              </m:sSub>
            </m:den>
          </m:f>
        </m:oMath>
      </m:oMathPara>
    </w:p>
    <w:p>
      <w:pPr>
        <w:pStyle w:val="FirstParagraph"/>
      </w:pPr>
      <w:r>
        <w:t xml:space="preserve">Let’s simplify the notation and group together terms relating to the current studies:</w:t>
      </w:r>
    </w:p>
    <w:p>
      <w:pPr>
        <w:pStyle w:val="BodyText"/>
      </w:pPr>
      <m:oMathPara>
        <m:oMathParaPr>
          <m:jc m:val="center"/>
        </m:oMathParaPr>
        <m:oMath>
          <m:r>
            <m:t>V</m:t>
          </m:r>
          <m:r>
            <m:rPr>
              <m:sty m:val="p"/>
            </m:rPr>
            <m:t>=</m:t>
          </m:r>
          <m:nary>
            <m:naryPr>
              <m:chr m:val="∑"/>
              <m:limLoc m:val="undOvr"/>
              <m:subHide m:val="off"/>
              <m:supHide m:val="off"/>
            </m:naryPr>
            <m:sub>
              <m:r>
                <m:t>i</m:t>
              </m:r>
              <m:r>
                <m:rPr>
                  <m:sty m:val="p"/>
                </m:rPr>
                <m:t>=</m:t>
              </m:r>
              <m:r>
                <m:t>1</m:t>
              </m:r>
            </m:sub>
            <m:sup>
              <m:r>
                <m:t>n</m:t>
              </m:r>
            </m:sup>
            <m:e>
              <m:sSubSup>
                <m:e>
                  <m:r>
                    <m:t>w</m:t>
                  </m:r>
                </m:e>
                <m:sub>
                  <m:r>
                    <m:t>i</m:t>
                  </m:r>
                </m:sub>
                <m:sup>
                  <m:r>
                    <m:t>2</m:t>
                  </m:r>
                </m:sup>
              </m:sSubSup>
            </m:e>
          </m:nary>
          <m:r>
            <m:rPr>
              <m:sty m:val="p"/>
            </m:rPr>
            <m:t>,</m:t>
          </m:r>
          <m:r>
            <m:t>X</m:t>
          </m:r>
          <m:r>
            <m:rPr>
              <m:sty m:val="p"/>
            </m:rPr>
            <m:t>=</m:t>
          </m:r>
          <m:nary>
            <m:naryPr>
              <m:chr m:val="∑"/>
              <m:limLoc m:val="undOvr"/>
              <m:subHide m:val="off"/>
              <m:supHide m:val="off"/>
            </m:naryPr>
            <m:sub>
              <m:r>
                <m:t>i</m:t>
              </m:r>
              <m:r>
                <m:rPr>
                  <m:sty m:val="p"/>
                </m:rPr>
                <m:t>=</m:t>
              </m:r>
              <m:r>
                <m:t>1</m:t>
              </m:r>
            </m:sub>
            <m:sup>
              <m:r>
                <m:t>n</m:t>
              </m:r>
            </m:sup>
            <m:e>
              <m:sSub>
                <m:e>
                  <m:r>
                    <m:t>w</m:t>
                  </m:r>
                </m:e>
                <m:sub>
                  <m:r>
                    <m:t>i</m:t>
                  </m:r>
                </m:sub>
              </m:sSub>
            </m:e>
          </m:nary>
          <m:sSub>
            <m:e>
              <m:acc>
                <m:accPr>
                  <m:chr m:val="̂"/>
                </m:accPr>
                <m:e>
                  <m:r>
                    <m:t>θ</m:t>
                  </m:r>
                </m:e>
              </m:acc>
            </m:e>
            <m:sub>
              <m:r>
                <m:t>i</m:t>
              </m:r>
            </m:sub>
          </m:sSub>
          <m:r>
            <m:rPr>
              <m:sty m:val="p"/>
            </m:rPr>
            <m: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r>
            <m:t>Z</m:t>
          </m:r>
          <m:r>
            <m:rPr>
              <m:sty m:val="p"/>
            </m:rPr>
            <m:t>=</m:t>
          </m:r>
          <m:nary>
            <m:naryPr>
              <m:chr m:val="∑"/>
              <m:limLoc m:val="undOvr"/>
              <m:subHide m:val="off"/>
              <m:supHide m:val="off"/>
            </m:naryPr>
            <m:sub>
              <m:r>
                <m:t>i</m:t>
              </m:r>
              <m:r>
                <m:rPr>
                  <m:sty m:val="p"/>
                </m:rPr>
                <m:t>=</m:t>
              </m:r>
              <m:r>
                <m:t>1</m:t>
              </m:r>
            </m:sub>
            <m:sup>
              <m:r>
                <m:t>n</m:t>
              </m:r>
            </m:sup>
            <m:e>
              <m:sSub>
                <m:e>
                  <m:r>
                    <m:t>w</m:t>
                  </m:r>
                </m:e>
                <m:sub>
                  <m:r>
                    <m:t>i</m:t>
                  </m:r>
                </m:sub>
              </m:sSub>
            </m:e>
          </m:nary>
          <m:sSubSup>
            <m:e>
              <m:acc>
                <m:accPr>
                  <m:chr m:val="̂"/>
                </m:accPr>
                <m:e>
                  <m:r>
                    <m:t>θ</m:t>
                  </m:r>
                </m:e>
              </m:acc>
            </m:e>
            <m:sub>
              <m:r>
                <m:t>i</m:t>
              </m:r>
            </m:sub>
            <m:sup>
              <m:r>
                <m:t>2</m:t>
              </m:r>
            </m:sup>
          </m:sSubSup>
        </m:oMath>
      </m:oMathPara>
    </w:p>
    <w:p>
      <w:pPr>
        <w:pStyle w:val="FirstParagraph"/>
      </w:pPr>
      <w:r>
        <w:t xml:space="preserve">noting here that</w:t>
      </w:r>
      <w:r>
        <w:t xml:space="preserve"> </w:t>
      </w:r>
      <m:oMath>
        <m:sSub>
          <m:e>
            <m:r>
              <m:t>w</m:t>
            </m:r>
          </m:e>
          <m:sub>
            <m:r>
              <m:t>i</m:t>
            </m:r>
          </m:sub>
        </m:sSub>
      </m:oMath>
      <w:r>
        <w:t xml:space="preserve"> </w:t>
      </w:r>
      <w:r>
        <w:t xml:space="preserve">is simply the inverse-variance (i.e., doesn’t take into account any between-study heterogeneity, as that is what we’re estimating). Then we get the following estimate of between-study heterogeneity</w:t>
      </w:r>
    </w:p>
    <w:p>
      <w:pPr>
        <w:pStyle w:val="BodyText"/>
      </w:pPr>
      <w:bookmarkStart w:id="61" w:name="eq-tau2-estimate"/>
      <m:oMathPara>
        <m:oMathParaPr>
          <m:jc m:val="center"/>
        </m:oMathParaPr>
        <m:oMath>
          <m:sSup>
            <m:e>
              <m:acc>
                <m:accPr>
                  <m:chr m:val="̂"/>
                </m:accPr>
                <m:e>
                  <m:r>
                    <m:t>τ</m:t>
                  </m:r>
                </m:e>
              </m:acc>
            </m:e>
            <m:sup>
              <m:r>
                <m:t>2</m:t>
              </m:r>
            </m:sup>
          </m:sSup>
          <m:r>
            <m:rPr>
              <m:sty m:val="p"/>
            </m:rPr>
            <m:t>=</m:t>
          </m:r>
          <m:f>
            <m:fPr>
              <m:type m:val="bar"/>
            </m:fPr>
            <m:num>
              <m:r>
                <m:t>Z</m:t>
              </m:r>
              <m:r>
                <m:rPr>
                  <m:sty m:val="p"/>
                </m:rPr>
                <m:t>+</m:t>
              </m:r>
              <m:sSub>
                <m:e>
                  <m:r>
                    <m:t>w</m:t>
                  </m:r>
                </m:e>
                <m:sub>
                  <m:r>
                    <m:t>n</m:t>
                  </m:r>
                  <m:r>
                    <m:t>e</m:t>
                  </m:r>
                  <m:r>
                    <m:t>w</m:t>
                  </m:r>
                </m:sub>
              </m:sSub>
              <m:sSubSup>
                <m:e>
                  <m:acc>
                    <m:accPr>
                      <m:chr m:val="̂"/>
                    </m:accPr>
                    <m:e>
                      <m:r>
                        <m:t>θ</m:t>
                      </m:r>
                    </m:e>
                  </m:acc>
                </m:e>
                <m:sub>
                  <m:r>
                    <m:t>n</m:t>
                  </m:r>
                  <m:r>
                    <m:t>e</m:t>
                  </m:r>
                  <m:r>
                    <m:t>w</m:t>
                  </m:r>
                </m:sub>
                <m:sup>
                  <m:r>
                    <m:t>2</m:t>
                  </m:r>
                </m:sup>
              </m:sSubSup>
              <m:r>
                <m:rPr>
                  <m:sty m:val="p"/>
                </m:rPr>
                <m:t>−</m:t>
              </m:r>
              <m:f>
                <m:fPr>
                  <m:type m:val="bar"/>
                </m:fPr>
                <m:num>
                  <m:sSup>
                    <m:e>
                      <m:d>
                        <m:dPr>
                          <m:begChr m:val="("/>
                          <m:endChr m:val=")"/>
                          <m:sepChr m:val=""/>
                          <m:grow/>
                        </m:dPr>
                        <m:e>
                          <m:r>
                            <m:t>X</m:t>
                          </m:r>
                          <m:r>
                            <m:rPr>
                              <m:sty m:val="p"/>
                            </m:rPr>
                            <m:t>+</m:t>
                          </m:r>
                          <m:sSub>
                            <m:e>
                              <m:r>
                                <m:t>w</m:t>
                              </m:r>
                            </m:e>
                            <m:sub>
                              <m:r>
                                <m:t>n</m:t>
                              </m:r>
                              <m:r>
                                <m:t>e</m:t>
                              </m:r>
                              <m:r>
                                <m:t>w</m:t>
                              </m:r>
                            </m:sub>
                          </m:sSub>
                          <m:sSub>
                            <m:e>
                              <m:acc>
                                <m:accPr>
                                  <m:chr m:val="̂"/>
                                </m:accPr>
                                <m:e>
                                  <m:r>
                                    <m:t>θ</m:t>
                                  </m:r>
                                </m:e>
                              </m:acc>
                            </m:e>
                            <m:sub>
                              <m:r>
                                <m:t>n</m:t>
                              </m:r>
                              <m:r>
                                <m:t>e</m:t>
                              </m:r>
                              <m:r>
                                <m:t>w</m:t>
                              </m:r>
                            </m:sub>
                          </m:sSub>
                        </m:e>
                      </m:d>
                    </m:e>
                    <m:sup>
                      <m:r>
                        <m:t>2</m:t>
                      </m:r>
                    </m:sup>
                  </m:sSup>
                </m:num>
                <m:den>
                  <m:r>
                    <m:t>Y</m:t>
                  </m:r>
                  <m:r>
                    <m:rPr>
                      <m:sty m:val="p"/>
                    </m:rPr>
                    <m:t>+</m:t>
                  </m:r>
                  <m:sSub>
                    <m:e>
                      <m:r>
                        <m:t>w</m:t>
                      </m:r>
                    </m:e>
                    <m:sub>
                      <m:r>
                        <m:t>n</m:t>
                      </m:r>
                      <m:r>
                        <m:t>e</m:t>
                      </m:r>
                      <m:r>
                        <m:t>w</m:t>
                      </m:r>
                    </m:sub>
                  </m:sSub>
                </m:den>
              </m:f>
              <m:r>
                <m:rPr>
                  <m:sty m:val="p"/>
                </m:rPr>
                <m:t>−</m:t>
              </m:r>
              <m:r>
                <m:t>n</m:t>
              </m:r>
            </m:num>
            <m:den>
              <m:r>
                <m:t>Y</m:t>
              </m:r>
              <m:r>
                <m:rPr>
                  <m:sty m:val="p"/>
                </m:rPr>
                <m:t>+</m:t>
              </m:r>
              <m:sSub>
                <m:e>
                  <m:r>
                    <m:t>w</m:t>
                  </m:r>
                </m:e>
                <m:sub>
                  <m:r>
                    <m:t>n</m:t>
                  </m:r>
                  <m:r>
                    <m:t>e</m:t>
                  </m:r>
                  <m:r>
                    <m:t>w</m:t>
                  </m:r>
                </m:sub>
              </m:sSub>
              <m:r>
                <m:rPr>
                  <m:sty m:val="p"/>
                </m:rPr>
                <m:t>−</m:t>
              </m:r>
              <m:f>
                <m:fPr>
                  <m:type m:val="bar"/>
                </m:fPr>
                <m:num>
                  <m:r>
                    <m:t>V</m:t>
                  </m:r>
                  <m:r>
                    <m:rPr>
                      <m:sty m:val="p"/>
                    </m:rPr>
                    <m:t>+</m:t>
                  </m:r>
                  <m:sSubSup>
                    <m:e>
                      <m:r>
                        <m:t>w</m:t>
                      </m:r>
                    </m:e>
                    <m:sub>
                      <m:r>
                        <m:t>n</m:t>
                      </m:r>
                      <m:r>
                        <m:t>e</m:t>
                      </m:r>
                      <m:r>
                        <m:t>w</m:t>
                      </m:r>
                    </m:sub>
                    <m:sup>
                      <m:r>
                        <m:t>2</m:t>
                      </m:r>
                    </m:sup>
                  </m:sSubSup>
                </m:num>
                <m:den>
                  <m:r>
                    <m:t>Y</m:t>
                  </m:r>
                  <m:r>
                    <m:rPr>
                      <m:sty m:val="p"/>
                    </m:rPr>
                    <m:t>+</m:t>
                  </m:r>
                  <m:sSub>
                    <m:e>
                      <m:r>
                        <m:t>w</m:t>
                      </m:r>
                    </m:e>
                    <m:sub>
                      <m:r>
                        <m:t>n</m:t>
                      </m:r>
                      <m:r>
                        <m:t>e</m:t>
                      </m:r>
                      <m:r>
                        <m:t>w</m:t>
                      </m:r>
                    </m:sub>
                  </m:sSub>
                </m:den>
              </m:f>
            </m:den>
          </m:f>
          <m:r>
            <m:t>  </m:t>
          </m:r>
          <m:d>
            <m:dPr>
              <m:begChr m:val="("/>
              <m:endChr m:val=")"/>
              <m:sepChr m:val=""/>
              <m:grow/>
            </m:dPr>
            <m:e>
              <m:r>
                <m:t>17</m:t>
              </m:r>
            </m:e>
          </m:d>
        </m:oMath>
      </m:oMathPara>
      <w:bookmarkEnd w:id="61"/>
    </w:p>
    <w:p>
      <w:pPr>
        <w:pStyle w:val="FirstParagraph"/>
      </w:pPr>
      <w:r>
        <w:t xml:space="preserve">where the weights of the studies (current and new) are the inverse variance, and</w:t>
      </w:r>
      <w:r>
        <w:t xml:space="preserve"> </w:t>
      </w:r>
      <m:oMath>
        <m:r>
          <m:t>n</m:t>
        </m:r>
      </m:oMath>
      <w:r>
        <w:t xml:space="preserve"> </w:t>
      </w:r>
      <w:r>
        <w:t xml:space="preserve">is the number of current studies.</w:t>
      </w:r>
    </w:p>
    <w:p>
      <w:pPr>
        <w:pStyle w:val="BodyText"/>
      </w:pPr>
      <w:r>
        <w:t xml:space="preserve">This is the case for one new study and gives a good approximation for the between-study heterogeneity of the meta-analysis including the new study. Unfortunately, when expanding</w:t>
      </w:r>
      <w:r>
        <w:t xml:space="preserve"> </w:t>
      </w:r>
      <w:hyperlink w:anchor="eq-tau2-estimate">
        <w:r>
          <w:rPr>
            <w:rStyle w:val="Hyperlink"/>
          </w:rPr>
          <w:t xml:space="preserve">Equation 17</w:t>
        </w:r>
      </w:hyperlink>
      <w:r>
        <w:t xml:space="preserve"> </w:t>
      </w:r>
      <w:r>
        <w:t xml:space="preserve">to consider multiple new studies, it can’t be written it terms of</w:t>
      </w:r>
      <w:r>
        <w:t xml:space="preserve"> </w:t>
      </w:r>
      <m:oMath>
        <m:sSub>
          <m:e>
            <m:acc>
              <m:accPr>
                <m:chr m:val="̂"/>
              </m:accPr>
              <m:e>
                <m:r>
                  <m:t>θ</m:t>
                </m:r>
              </m:e>
            </m:acc>
          </m:e>
          <m:sub>
            <m:acc>
              <m:accPr>
                <m:chr m:val="‾"/>
              </m:accPr>
              <m:e>
                <m:r>
                  <m:t>n</m:t>
                </m:r>
                <m:r>
                  <m:t>e</m:t>
                </m:r>
                <m:r>
                  <m:t>w</m:t>
                </m:r>
              </m:e>
            </m:acc>
          </m:sub>
        </m:sSub>
      </m:oMath>
      <w:r>
        <w:t xml:space="preserve"> </w:t>
      </w:r>
      <w:r>
        <w:t xml:space="preserve">and</w:t>
      </w:r>
      <w:r>
        <w:t xml:space="preserve"> </w:t>
      </w:r>
      <m:oMath>
        <m:sSub>
          <m:e>
            <m:r>
              <m:t>w</m:t>
            </m:r>
          </m:e>
          <m:sub>
            <m:acc>
              <m:accPr>
                <m:chr m:val="‾"/>
              </m:accPr>
              <m:e>
                <m:r>
                  <m:t>n</m:t>
                </m:r>
                <m:r>
                  <m:t>e</m:t>
                </m:r>
                <m:r>
                  <m:t>w</m:t>
                </m:r>
              </m:e>
            </m:acc>
          </m:sub>
        </m:sSub>
      </m:oMath>
      <w:r>
        <w:t xml:space="preserve">, as we did for the fixed effects scenario due to the squared terms. We also can’t plug in the</w:t>
      </w:r>
      <w:r>
        <w:t xml:space="preserve"> </w:t>
      </w:r>
      <w:r>
        <w:t xml:space="preserve">‘average’</w:t>
      </w:r>
      <w:r>
        <w:t xml:space="preserve"> </w:t>
      </w:r>
      <w:r>
        <w:t xml:space="preserve">values, as those values include between-study heterogeneity - which is what is being estimated. However, varying</w:t>
      </w:r>
      <w:r>
        <w:t xml:space="preserve"> </w:t>
      </w:r>
      <w:hyperlink w:anchor="eq-tau2-estimate">
        <w:r>
          <w:rPr>
            <w:rStyle w:val="Hyperlink"/>
          </w:rPr>
          <w:t xml:space="preserve">Equation 17</w:t>
        </w:r>
      </w:hyperlink>
      <w:r>
        <w:t xml:space="preserve"> </w:t>
      </w:r>
      <w:r>
        <w:t xml:space="preserve">slightly, could give us a way to appropriately take into account between-study heterogeneity as we move further away from the</w:t>
      </w:r>
      <w:r>
        <w:t xml:space="preserve"> </w:t>
      </w:r>
      <w:r>
        <w:t xml:space="preserve">‘average’</w:t>
      </w:r>
      <w:r>
        <w:t xml:space="preserve"> </w:t>
      </w:r>
      <w:r>
        <w:t xml:space="preserve">new study that we do have data for.</w:t>
      </w:r>
    </w:p>
    <w:p>
      <w:pPr>
        <w:pStyle w:val="BodyText"/>
      </w:pPr>
      <w:r>
        <w:t xml:space="preserve">For each pixel, let</w:t>
      </w:r>
      <w:r>
        <w:t xml:space="preserve"> </w:t>
      </w:r>
      <m:oMath>
        <m:sSup>
          <m:e>
            <m:r>
              <m:t>τ</m:t>
            </m:r>
          </m:e>
          <m:sup>
            <m:r>
              <m:t>2</m:t>
            </m:r>
          </m:sup>
        </m:sSup>
      </m:oMath>
      <w:r>
        <w:t xml:space="preserve"> </w:t>
      </w:r>
      <w:r>
        <w:t xml:space="preserve">be estimated with the below:</w:t>
      </w:r>
    </w:p>
    <w:p>
      <w:pPr>
        <w:pStyle w:val="BodyText"/>
      </w:pPr>
      <w:bookmarkStart w:id="62" w:name="eq-tau2-estimate-adj"/>
      <m:oMathPara>
        <m:oMathParaPr>
          <m:jc m:val="center"/>
        </m:oMathParaPr>
        <m:oMath>
          <m:sSup>
            <m:e>
              <m:acc>
                <m:accPr>
                  <m:chr m:val="̂"/>
                </m:accPr>
                <m:e>
                  <m:r>
                    <m:t>τ</m:t>
                  </m:r>
                </m:e>
              </m:acc>
            </m:e>
            <m:sup>
              <m:r>
                <m:t>2</m:t>
              </m:r>
            </m:sup>
          </m:sSup>
          <m:r>
            <m:rPr>
              <m:sty m:val="p"/>
            </m:rPr>
            <m:t>=</m:t>
          </m:r>
          <m:f>
            <m:fPr>
              <m:type m:val="bar"/>
            </m:fPr>
            <m:num>
              <m:r>
                <m:t>Z</m:t>
              </m:r>
              <m:r>
                <m:rPr>
                  <m:sty m:val="p"/>
                </m:rPr>
                <m:t>+</m:t>
              </m:r>
              <m:f>
                <m:fPr>
                  <m:type m:val="bar"/>
                </m:fPr>
                <m:num>
                  <m:sSubSup>
                    <m:e>
                      <m:acc>
                        <m:accPr>
                          <m:chr m:val="̂"/>
                        </m:accPr>
                        <m:e>
                          <m:r>
                            <m:t>θ</m:t>
                          </m:r>
                        </m:e>
                      </m:acc>
                    </m:e>
                    <m:sub>
                      <m:r>
                        <m:t>n</m:t>
                      </m:r>
                      <m:r>
                        <m:t>e</m:t>
                      </m:r>
                      <m:r>
                        <m:t>w</m:t>
                      </m:r>
                    </m:sub>
                    <m:sup>
                      <m:r>
                        <m:t>2</m:t>
                      </m:r>
                    </m:sup>
                  </m:sSubSup>
                </m:num>
                <m:den>
                  <m:r>
                    <m:t>v</m:t>
                  </m:r>
                  <m:r>
                    <m:t>a</m:t>
                  </m:r>
                  <m:r>
                    <m:t>r</m:t>
                  </m:r>
                  <m:d>
                    <m:dPr>
                      <m:begChr m:val="("/>
                      <m:endChr m:val=")"/>
                      <m:sepChr m:val=""/>
                      <m:grow/>
                    </m:dPr>
                    <m:e>
                      <m:sSub>
                        <m:e>
                          <m:acc>
                            <m:accPr>
                              <m:chr m:val="̂"/>
                            </m:accPr>
                            <m:e>
                              <m:r>
                                <m:t>θ</m:t>
                              </m:r>
                            </m:e>
                          </m:acc>
                        </m:e>
                        <m:sub>
                          <m:r>
                            <m:t>n</m:t>
                          </m:r>
                          <m:r>
                            <m:t>e</m:t>
                          </m:r>
                          <m:r>
                            <m:t>w</m:t>
                          </m:r>
                        </m:sub>
                      </m:sSub>
                    </m:e>
                  </m:d>
                </m:den>
              </m:f>
              <m:r>
                <m:rPr>
                  <m:sty m:val="p"/>
                </m:rPr>
                <m:t>−</m:t>
              </m:r>
              <m:f>
                <m:fPr>
                  <m:type m:val="bar"/>
                </m:fPr>
                <m:num>
                  <m:sSup>
                    <m:e>
                      <m:d>
                        <m:dPr>
                          <m:begChr m:val="("/>
                          <m:endChr m:val=")"/>
                          <m:sepChr m:val=""/>
                          <m:grow/>
                        </m:dPr>
                        <m:e>
                          <m:r>
                            <m:t>X</m:t>
                          </m:r>
                          <m:r>
                            <m:rPr>
                              <m:sty m:val="p"/>
                            </m:rPr>
                            <m:t>+</m:t>
                          </m:r>
                          <m:f>
                            <m:fPr>
                              <m:type m:val="bar"/>
                            </m:fPr>
                            <m:num>
                              <m:sSub>
                                <m:e>
                                  <m:acc>
                                    <m:accPr>
                                      <m:chr m:val="̂"/>
                                    </m:accPr>
                                    <m:e>
                                      <m:r>
                                        <m:t>θ</m:t>
                                      </m:r>
                                    </m:e>
                                  </m:acc>
                                </m:e>
                                <m:sub>
                                  <m:r>
                                    <m:t>n</m:t>
                                  </m:r>
                                  <m:r>
                                    <m:t>e</m:t>
                                  </m:r>
                                  <m:r>
                                    <m:t>w</m:t>
                                  </m:r>
                                </m:sub>
                              </m:sSub>
                            </m:num>
                            <m:den>
                              <m:r>
                                <m:t>v</m:t>
                              </m:r>
                              <m:r>
                                <m:t>a</m:t>
                              </m:r>
                              <m:r>
                                <m:t>r</m:t>
                              </m:r>
                              <m:d>
                                <m:dPr>
                                  <m:begChr m:val="("/>
                                  <m:endChr m:val=")"/>
                                  <m:sepChr m:val=""/>
                                  <m:grow/>
                                </m:dPr>
                                <m:e>
                                  <m:sSub>
                                    <m:e>
                                      <m:acc>
                                        <m:accPr>
                                          <m:chr m:val="̂"/>
                                        </m:accPr>
                                        <m:e>
                                          <m:r>
                                            <m:t>θ</m:t>
                                          </m:r>
                                        </m:e>
                                      </m:acc>
                                    </m:e>
                                    <m:sub>
                                      <m:r>
                                        <m:t>n</m:t>
                                      </m:r>
                                      <m:r>
                                        <m:t>e</m:t>
                                      </m:r>
                                      <m:r>
                                        <m:t>w</m:t>
                                      </m:r>
                                    </m:sub>
                                  </m:sSub>
                                </m:e>
                              </m:d>
                            </m:den>
                          </m:f>
                        </m:e>
                      </m:d>
                    </m:e>
                    <m:sup>
                      <m:r>
                        <m:t>2</m:t>
                      </m:r>
                    </m:sup>
                  </m:sSup>
                </m:num>
                <m:den>
                  <m:r>
                    <m:t>Y</m:t>
                  </m:r>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den>
              </m:f>
              <m:r>
                <m:rPr>
                  <m:sty m:val="p"/>
                </m:rPr>
                <m:t>−</m:t>
              </m:r>
              <m:d>
                <m:dPr>
                  <m:begChr m:val="("/>
                  <m:endChr m:val=")"/>
                  <m:sepChr m:val=""/>
                  <m:grow/>
                </m:dPr>
                <m:e>
                  <m:r>
                    <m:t>n</m:t>
                  </m:r>
                  <m:r>
                    <m:rPr>
                      <m:sty m:val="p"/>
                    </m:rPr>
                    <m:t>+</m:t>
                  </m:r>
                  <m:r>
                    <m:t>m</m:t>
                  </m:r>
                  <m:r>
                    <m:rPr>
                      <m:sty m:val="p"/>
                    </m:rPr>
                    <m:t>−</m:t>
                  </m:r>
                  <m:r>
                    <m:t>1</m:t>
                  </m:r>
                </m:e>
              </m:d>
            </m:num>
            <m:den>
              <m:r>
                <m:t>Y</m:t>
              </m:r>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r>
                <m:rPr>
                  <m:sty m:val="p"/>
                </m:rPr>
                <m:t>−</m:t>
              </m:r>
              <m:f>
                <m:fPr>
                  <m:type m:val="bar"/>
                </m:fPr>
                <m:num>
                  <m:r>
                    <m:t>V</m:t>
                  </m:r>
                  <m:r>
                    <m:rPr>
                      <m:sty m:val="p"/>
                    </m:rPr>
                    <m:t>+</m:t>
                  </m:r>
                  <m:f>
                    <m:fPr>
                      <m:type m:val="bar"/>
                    </m:fPr>
                    <m:num>
                      <m:r>
                        <m:t>1</m:t>
                      </m:r>
                    </m:num>
                    <m:den>
                      <m:r>
                        <m:t>v</m:t>
                      </m:r>
                      <m:r>
                        <m:t>a</m:t>
                      </m:r>
                      <m:r>
                        <m:t>r</m:t>
                      </m:r>
                      <m:sSup>
                        <m:e>
                          <m:d>
                            <m:dPr>
                              <m:begChr m:val="("/>
                              <m:endChr m:val=")"/>
                              <m:sepChr m:val=""/>
                              <m:grow/>
                            </m:dPr>
                            <m:e>
                              <m:sSub>
                                <m:e>
                                  <m:acc>
                                    <m:accPr>
                                      <m:chr m:val="̂"/>
                                    </m:accPr>
                                    <m:e>
                                      <m:r>
                                        <m:t>θ</m:t>
                                      </m:r>
                                    </m:e>
                                  </m:acc>
                                </m:e>
                                <m:sub>
                                  <m:r>
                                    <m:t>n</m:t>
                                  </m:r>
                                  <m:r>
                                    <m:t>e</m:t>
                                  </m:r>
                                  <m:r>
                                    <m:t>w</m:t>
                                  </m:r>
                                </m:sub>
                              </m:sSub>
                            </m:e>
                          </m:d>
                        </m:e>
                        <m:sup>
                          <m:r>
                            <m:t>2</m:t>
                          </m:r>
                        </m:sup>
                      </m:sSup>
                    </m:den>
                  </m:f>
                </m:num>
                <m:den>
                  <m:r>
                    <m:t>Y</m:t>
                  </m:r>
                  <m:r>
                    <m:rPr>
                      <m:sty m:val="p"/>
                    </m:rPr>
                    <m:t>+</m:t>
                  </m:r>
                  <m:f>
                    <m:fPr>
                      <m:type m:val="bar"/>
                    </m:fPr>
                    <m:num>
                      <m:r>
                        <m:t>1</m:t>
                      </m:r>
                    </m:num>
                    <m:den>
                      <m:r>
                        <m:t>v</m:t>
                      </m:r>
                      <m:r>
                        <m:t>a</m:t>
                      </m:r>
                      <m:r>
                        <m:t>r</m:t>
                      </m:r>
                      <m:d>
                        <m:dPr>
                          <m:begChr m:val="("/>
                          <m:endChr m:val=")"/>
                          <m:sepChr m:val=""/>
                          <m:grow/>
                        </m:dPr>
                        <m:e>
                          <m:sSub>
                            <m:e>
                              <m:acc>
                                <m:accPr>
                                  <m:chr m:val="̂"/>
                                </m:accPr>
                                <m:e>
                                  <m:r>
                                    <m:t>θ</m:t>
                                  </m:r>
                                </m:e>
                              </m:acc>
                            </m:e>
                            <m:sub>
                              <m:r>
                                <m:t>n</m:t>
                              </m:r>
                              <m:r>
                                <m:t>e</m:t>
                              </m:r>
                              <m:r>
                                <m:t>w</m:t>
                              </m:r>
                            </m:sub>
                          </m:sSub>
                        </m:e>
                      </m:d>
                    </m:den>
                  </m:f>
                </m:den>
              </m:f>
            </m:den>
          </m:f>
          <m:r>
            <m:rPr>
              <m:sty m:val="p"/>
            </m:rPr>
            <m:t>*</m:t>
          </m:r>
          <m:r>
            <m:t>K</m:t>
          </m:r>
          <m:r>
            <m:t>  </m:t>
          </m:r>
          <m:d>
            <m:dPr>
              <m:begChr m:val="("/>
              <m:endChr m:val=")"/>
              <m:sepChr m:val=""/>
              <m:grow/>
            </m:dPr>
            <m:e>
              <m:r>
                <m:t>18</m:t>
              </m:r>
            </m:e>
          </m:d>
        </m:oMath>
      </m:oMathPara>
      <w:bookmarkEnd w:id="62"/>
    </w:p>
    <w:p>
      <w:pPr>
        <w:pStyle w:val="FirstParagraph"/>
      </w:pPr>
      <w:r>
        <w:t xml:space="preserve">where</w:t>
      </w:r>
      <w:r>
        <w:t xml:space="preserve"> </w:t>
      </w:r>
      <m:oMath>
        <m:r>
          <m:t>n</m:t>
        </m:r>
      </m:oMath>
      <w:r>
        <w:t xml:space="preserve"> </w:t>
      </w:r>
      <w:r>
        <w:t xml:space="preserve">and</w:t>
      </w:r>
      <w:r>
        <w:t xml:space="preserve"> </w:t>
      </w:r>
      <m:oMath>
        <m:r>
          <m:t>m</m:t>
        </m:r>
      </m:oMath>
      <w:r>
        <w:t xml:space="preserve"> </w:t>
      </w:r>
      <w:r>
        <w:t xml:space="preserve">are the number of existing and new studies respectively (and so accounting for the fact that this is actually multiple new studies rather than 1).</w:t>
      </w:r>
      <w:r>
        <w:t xml:space="preserve"> </w:t>
      </w:r>
      <m:oMath>
        <m:r>
          <m:t>K</m:t>
        </m:r>
      </m:oMath>
      <w:r>
        <w:t xml:space="preserve"> </w:t>
      </w:r>
      <w:r>
        <w:t xml:space="preserve">is calculated by substituting</w:t>
      </w:r>
      <w:r>
        <w:t xml:space="preserve"> </w:t>
      </w:r>
      <m:oMath>
        <m:sSup>
          <m:e>
            <m:acc>
              <m:accPr>
                <m:chr m:val="̂"/>
              </m:accPr>
              <m:e>
                <m:r>
                  <m:t>τ</m:t>
                </m:r>
              </m:e>
            </m:acc>
          </m:e>
          <m:sup>
            <m:r>
              <m:t>2</m:t>
            </m:r>
          </m:sup>
        </m:sSup>
      </m:oMath>
      <w:r>
        <w:t xml:space="preserve"> </w:t>
      </w:r>
      <w:r>
        <w:t xml:space="preserve">with</w:t>
      </w:r>
      <w:r>
        <w:t xml:space="preserve"> </w:t>
      </w:r>
      <m:oMath>
        <m:sSubSup>
          <m:e>
            <m:r>
              <m:t>τ</m:t>
            </m:r>
          </m:e>
          <m:sub>
            <m:r>
              <m:t>n</m:t>
            </m:r>
            <m:r>
              <m:t>e</m:t>
            </m:r>
            <m:r>
              <m:t>w</m:t>
            </m:r>
          </m:sub>
          <m:sup>
            <m:r>
              <m:t>2</m:t>
            </m:r>
          </m:sup>
        </m:sSubSup>
      </m:oMath>
      <w:r>
        <w:t xml:space="preserve">, and</w:t>
      </w:r>
      <w:r>
        <w:t xml:space="preserve"> </w:t>
      </w:r>
      <m:oMath>
        <m:sSub>
          <m:e>
            <m:acc>
              <m:accPr>
                <m:chr m:val="̂"/>
              </m:accPr>
              <m:e>
                <m:r>
                  <m:t>θ</m:t>
                </m:r>
              </m:e>
            </m:acc>
          </m:e>
          <m:sub>
            <m:r>
              <m:t>n</m:t>
            </m:r>
            <m:r>
              <m:t>e</m:t>
            </m:r>
            <m:r>
              <m:t>w</m:t>
            </m:r>
          </m:sub>
        </m:sSub>
      </m:oMath>
      <w:r>
        <w:t xml:space="preserve"> </w:t>
      </w:r>
      <w:r>
        <w:t xml:space="preserve">and</w:t>
      </w:r>
      <w:r>
        <w:t xml:space="preserve"> </w:t>
      </w:r>
      <m:oMath>
        <m:r>
          <m:t>v</m:t>
        </m:r>
        <m:r>
          <m:t>a</m:t>
        </m:r>
        <m:r>
          <m:t>r</m:t>
        </m:r>
        <m:d>
          <m:dPr>
            <m:begChr m:val="("/>
            <m:endChr m:val=")"/>
            <m:sepChr m:val=""/>
            <m:grow/>
          </m:dPr>
          <m:e>
            <m:sSub>
              <m:e>
                <m:acc>
                  <m:accPr>
                    <m:chr m:val="̂"/>
                  </m:accPr>
                  <m:e>
                    <m:r>
                      <m:t>θ</m:t>
                    </m:r>
                  </m:e>
                </m:acc>
              </m:e>
              <m:sub>
                <m:r>
                  <m:t>n</m:t>
                </m:r>
                <m:r>
                  <m:t>e</m:t>
                </m:r>
                <m:r>
                  <m:t>w</m:t>
                </m:r>
              </m:sub>
            </m:sSub>
          </m:e>
        </m:d>
      </m:oMath>
      <w:r>
        <w:t xml:space="preserve"> </w:t>
      </w:r>
      <w:r>
        <w:t xml:space="preserve">representing the</w:t>
      </w:r>
      <w:r>
        <w:t xml:space="preserve"> </w:t>
      </w:r>
      <w:r>
        <w:t xml:space="preserve">‘average’</w:t>
      </w:r>
      <w:r>
        <w:t xml:space="preserve"> </w:t>
      </w:r>
      <w:r>
        <w:t xml:space="preserve">new effect using</w:t>
      </w:r>
      <w:r>
        <w:t xml:space="preserve"> </w:t>
      </w:r>
      <w:hyperlink w:anchor="eq-pooled-est-random-new">
        <w:r>
          <w:rPr>
            <w:rStyle w:val="Hyperlink"/>
          </w:rPr>
          <w:t xml:space="preserve">Equation 15</w:t>
        </w:r>
      </w:hyperlink>
      <w:r>
        <w:t xml:space="preserve"> </w:t>
      </w:r>
      <w:r>
        <w:t xml:space="preserve">and</w:t>
      </w:r>
      <w:r>
        <w:t xml:space="preserve"> </w:t>
      </w:r>
      <w:hyperlink w:anchor="eq-pooled-se-random-new">
        <w:r>
          <w:rPr>
            <w:rStyle w:val="Hyperlink"/>
          </w:rPr>
          <w:t xml:space="preserve">Equation 16</w:t>
        </w:r>
      </w:hyperlink>
      <w:r>
        <w:t xml:space="preserve">. Then</w:t>
      </w:r>
      <w:r>
        <w:t xml:space="preserve"> </w:t>
      </w:r>
      <m:oMath>
        <m:r>
          <m:t>K</m:t>
        </m:r>
      </m:oMath>
      <w:r>
        <w:t xml:space="preserve"> </w:t>
      </w:r>
      <w:r>
        <w:t xml:space="preserve">is a scaling factor that ensures that at the co-ordinates that represent the</w:t>
      </w:r>
      <w:r>
        <w:t xml:space="preserve"> </w:t>
      </w:r>
      <w:r>
        <w:t xml:space="preserve">‘average’</w:t>
      </w:r>
      <w:r>
        <w:t xml:space="preserve"> </w:t>
      </w:r>
      <w:r>
        <w:t xml:space="preserve">new study, the pixel will be coloured according to meta-analysis results that are already known from including the new studies (and so marries up with the summary diamonds).</w:t>
      </w:r>
    </w:p>
    <w:p>
      <w:pPr>
        <w:pStyle w:val="BodyText"/>
      </w:pPr>
      <w:r>
        <w:t xml:space="preserve">Therefore, using</w:t>
      </w:r>
      <w:r>
        <w:t xml:space="preserve"> </w:t>
      </w:r>
      <w:hyperlink w:anchor="eq-tau2-estimate-adj">
        <w:r>
          <w:rPr>
            <w:rStyle w:val="Hyperlink"/>
          </w:rPr>
          <w:t xml:space="preserve">Equation 18</w:t>
        </w:r>
      </w:hyperlink>
      <w:r>
        <w:t xml:space="preserve"> </w:t>
      </w:r>
      <w:r>
        <w:t xml:space="preserve">essentially allows us to</w:t>
      </w:r>
      <w:r>
        <w:t xml:space="preserve"> </w:t>
      </w:r>
      <w:r>
        <w:t xml:space="preserve">‘start’</w:t>
      </w:r>
      <w:r>
        <w:t xml:space="preserve"> </w:t>
      </w:r>
      <w:r>
        <w:t xml:space="preserve">with the</w:t>
      </w:r>
      <w:r>
        <w:t xml:space="preserve"> </w:t>
      </w:r>
      <w:r>
        <w:t xml:space="preserve">‘known’</w:t>
      </w:r>
      <w:r>
        <w:t xml:space="preserve"> </w:t>
      </w:r>
      <w:r>
        <w:t xml:space="preserve">between-study heterogeneity estimate, and then adjust the between-study heterogeneity appropriately as we move further away from the</w:t>
      </w:r>
      <w:r>
        <w:t xml:space="preserve"> </w:t>
      </w:r>
      <w:r>
        <w:t xml:space="preserve">‘average’</w:t>
      </w:r>
      <w:r>
        <w:t xml:space="preserve"> </w:t>
      </w:r>
      <w:r>
        <w:t xml:space="preserve">new study.</w:t>
      </w:r>
    </w:p>
    <w:p>
      <w:pPr>
        <w:pStyle w:val="BodyText"/>
      </w:pPr>
      <w:r>
        <w:t xml:space="preserve">In our example,</w:t>
      </w:r>
      <w:r>
        <w:t xml:space="preserve"> </w:t>
      </w:r>
      <m:oMath>
        <m:sSubSup>
          <m:e>
            <m:r>
              <m:t>τ</m:t>
            </m:r>
          </m:e>
          <m:sub>
            <m:r>
              <m:t>n</m:t>
            </m:r>
            <m:r>
              <m:t>e</m:t>
            </m:r>
            <m:r>
              <m:t>w</m:t>
            </m:r>
          </m:sub>
          <m:sup>
            <m:r>
              <m:t>2</m:t>
            </m:r>
          </m:sup>
        </m:sSubSup>
      </m:oMath>
      <w:r>
        <w:t xml:space="preserve"> </w:t>
      </w:r>
      <w:r>
        <w:t xml:space="preserve">is estimated as being 0.098 and the weighted average values (using this estimated between-study heterogeneity)</w:t>
      </w:r>
      <w:r>
        <w:t xml:space="preserve"> </w:t>
      </w:r>
      <m:oMath>
        <m:sSub>
          <m:e>
            <m:r>
              <m:t>θ</m:t>
            </m:r>
          </m:e>
          <m:sub>
            <m:acc>
              <m:accPr>
                <m:chr m:val="‾"/>
              </m:accPr>
              <m:e>
                <m:r>
                  <m:t>n</m:t>
                </m:r>
                <m:r>
                  <m:t>e</m:t>
                </m:r>
                <m:r>
                  <m:t>w</m:t>
                </m:r>
              </m:e>
            </m:acc>
          </m:sub>
        </m:sSub>
      </m:oMath>
      <w:r>
        <w:t xml:space="preserve"> </w:t>
      </w:r>
      <w:r>
        <w:t xml:space="preserve">and</w:t>
      </w:r>
      <w:r>
        <w:t xml:space="preserve"> </w:t>
      </w:r>
      <m:oMath>
        <m:r>
          <m:t>v</m:t>
        </m:r>
        <m:r>
          <m:t>a</m:t>
        </m:r>
        <m:r>
          <m:t>r</m:t>
        </m:r>
        <m:d>
          <m:dPr>
            <m:begChr m:val="("/>
            <m:endChr m:val=")"/>
            <m:sepChr m:val=""/>
            <m:grow/>
          </m:dPr>
          <m:e>
            <m:sSub>
              <m:e>
                <m:acc>
                  <m:accPr>
                    <m:chr m:val="̂"/>
                  </m:accPr>
                  <m:e>
                    <m:r>
                      <m:t>θ</m:t>
                    </m:r>
                  </m:e>
                </m:acc>
              </m:e>
              <m:sub>
                <m:acc>
                  <m:accPr>
                    <m:chr m:val="‾"/>
                  </m:accPr>
                  <m:e>
                    <m:r>
                      <m:t>n</m:t>
                    </m:r>
                    <m:r>
                      <m:t>e</m:t>
                    </m:r>
                    <m:r>
                      <m:t>w</m:t>
                    </m:r>
                  </m:e>
                </m:acc>
              </m:sub>
            </m:sSub>
          </m:e>
        </m:d>
      </m:oMath>
      <w:r>
        <w:t xml:space="preserve"> </w:t>
      </w:r>
      <w:r>
        <w:t xml:space="preserve">are estimated to be -0.534 and 0.045. Plugging these into equation</w:t>
      </w:r>
      <w:r>
        <w:t xml:space="preserve"> </w:t>
      </w:r>
      <w:hyperlink w:anchor="eq-tau2-estimate-adj">
        <w:r>
          <w:rPr>
            <w:rStyle w:val="Hyperlink"/>
          </w:rPr>
          <w:t xml:space="preserve">Equation 18</w:t>
        </w:r>
      </w:hyperlink>
      <w:r>
        <w:t xml:space="preserve">, gives us an scaling factor of 1.919.</w:t>
      </w:r>
    </w:p>
    <w:bookmarkStart w:id="74" w:name="example-plot-4"/>
    <w:p>
      <w:pPr>
        <w:pStyle w:val="Heading5"/>
      </w:pPr>
      <w:r>
        <w:t xml:space="preserve">Example plot</w:t>
      </w:r>
    </w:p>
    <w:p>
      <w:pPr>
        <w:pStyle w:val="FirstParagraph"/>
      </w:pPr>
      <w:r>
        <w:t xml:space="preserve">One notices that with the example plot below, it behaves very differently to when considering one new study. This is because for multiple studies under a random-effects framework, the pixels are actually representing something slightly different - each pixel is already partially taking into account the estimated between-study heterogeneity. This is taken into account by removing the</w:t>
      </w:r>
      <w:r>
        <w:t xml:space="preserve"> </w:t>
      </w:r>
      <m:oMath>
        <m:sSup>
          <m:e>
            <m:r>
              <m:t>τ</m:t>
            </m:r>
          </m:e>
          <m:sup>
            <m:r>
              <m:t>2</m:t>
            </m:r>
          </m:sup>
        </m:sSup>
      </m:oMath>
      <w:r>
        <w:t xml:space="preserve"> </w:t>
      </w:r>
      <w:r>
        <w:t xml:space="preserve">term from the new study elements of</w:t>
      </w:r>
      <w:r>
        <w:t xml:space="preserve"> </w:t>
      </w:r>
      <w:hyperlink w:anchor="eq-pooled-est-random-new">
        <w:r>
          <w:rPr>
            <w:rStyle w:val="Hyperlink"/>
          </w:rPr>
          <w:t xml:space="preserve">Equation 15</w:t>
        </w:r>
      </w:hyperlink>
      <w:r>
        <w:t xml:space="preserve"> </w:t>
      </w:r>
      <w:r>
        <w:t xml:space="preserve">and</w:t>
      </w:r>
      <w:r>
        <w:t xml:space="preserve"> </w:t>
      </w:r>
      <w:hyperlink w:anchor="eq-pooled-se-random-new">
        <w:r>
          <w:rPr>
            <w:rStyle w:val="Hyperlink"/>
          </w:rPr>
          <w:t xml:space="preserve">Equation 16</w:t>
        </w:r>
      </w:hyperlink>
      <w:r>
        <w:t xml:space="preserve">, and it’s this removal of</w:t>
      </w:r>
      <w:r>
        <w:t xml:space="preserve"> </w:t>
      </w:r>
      <m:oMath>
        <m:sSup>
          <m:e>
            <m:r>
              <m:t>τ</m:t>
            </m:r>
          </m:e>
          <m:sup>
            <m:r>
              <m:t>2</m:t>
            </m:r>
          </m:sup>
        </m:sSup>
      </m:oMath>
      <w:r>
        <w:t xml:space="preserve"> </w:t>
      </w:r>
      <w:r>
        <w:t xml:space="preserve">that causes there to be differently coloured pixels compared to if only including one study. Essentially, when the viewer is considering other pixels away from the</w:t>
      </w:r>
      <w:r>
        <w:t xml:space="preserve"> </w:t>
      </w:r>
      <w:r>
        <w:t xml:space="preserve">‘average’</w:t>
      </w:r>
      <w:r>
        <w:t xml:space="preserve"> </w:t>
      </w:r>
      <w:r>
        <w:t xml:space="preserve">found from the new studies, they need to consider whether such a random-weighted average would likely exist (i.e., the colour represents the meta-analysis result</w:t>
      </w:r>
      <w:r>
        <w:t xml:space="preserve"> </w:t>
      </w:r>
      <w:r>
        <w:rPr>
          <w:i/>
          <w:iCs/>
        </w:rPr>
        <w:t xml:space="preserve">assuming</w:t>
      </w:r>
      <w:r>
        <w:t xml:space="preserve"> </w:t>
      </w:r>
      <w:r>
        <w:t xml:space="preserve">that the average of</w:t>
      </w:r>
      <w:r>
        <w:t xml:space="preserve"> </w:t>
      </w:r>
      <m:oMath>
        <m:r>
          <m:t>m</m:t>
        </m:r>
      </m:oMath>
      <w:r>
        <w:t xml:space="preserve"> </w:t>
      </w:r>
      <w:r>
        <w:t xml:space="preserve">new studies, incorporating the estimated between-study heterogeneity, could sit at those pixel coordinates). Therefore, in this setting, the plot probably needs a warning to be careful when extracting far beyond the new data.</w:t>
      </w:r>
    </w:p>
    <w:p>
      <w:pPr>
        <w:pStyle w:val="SourceCode"/>
      </w:pPr>
      <w:r>
        <w:rPr>
          <w:rStyle w:val="VerbatimChar"/>
        </w:rPr>
        <w:t xml:space="preserve">[1] "Addition of new studies will give a statistically significant (alpha = 0.1) pooled estimate"</w:t>
      </w:r>
    </w:p>
    <w:p>
      <w:pPr>
        <w:pStyle w:val="FirstParagraph"/>
      </w:pPr>
      <w:r>
        <w:drawing>
          <wp:inline>
            <wp:extent cx="5334000" cy="2133600"/>
            <wp:effectExtent b="0" l="0" r="0" t="0"/>
            <wp:docPr descr="" title="" id="64" name="Picture"/>
            <a:graphic>
              <a:graphicData uri="http://schemas.openxmlformats.org/drawingml/2006/picture">
                <pic:pic>
                  <pic:nvPicPr>
                    <pic:cNvPr descr="Interpretation-tool_files/figure-docx/unnamed-chunk-12-1.png" id="65" name="Picture"/>
                    <pic:cNvPicPr>
                      <a:picLocks noChangeArrowheads="1" noChangeAspect="1"/>
                    </pic:cNvPicPr>
                  </pic:nvPicPr>
                  <pic:blipFill>
                    <a:blip r:embed="rId63"/>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Because the between-study heterogeneity depends on all the studies, the contours technically depend on the new studies that were found (whereas the contours are</w:t>
      </w:r>
      <w:r>
        <w:t xml:space="preserve"> </w:t>
      </w:r>
      <w:r>
        <w:t xml:space="preserve">‘independent’</w:t>
      </w:r>
      <w:r>
        <w:t xml:space="preserve"> </w:t>
      </w:r>
      <w:r>
        <w:t xml:space="preserve">of the new studies in the other plots). But how different would they be? Let’s see the effect of a different set of three studies that show an opposite effect to previously.</w:t>
      </w:r>
    </w:p>
    <w:p>
      <w:pPr>
        <w:pStyle w:val="SourceCode"/>
      </w:pPr>
      <w:r>
        <w:rPr>
          <w:rStyle w:val="VerbatimChar"/>
        </w:rPr>
        <w:t xml:space="preserve">[1] "Addition of new studies will not give a statistically significant (alpha = 0.1) pooled estimate"</w:t>
      </w:r>
    </w:p>
    <w:p>
      <w:pPr>
        <w:pStyle w:val="FirstParagraph"/>
      </w:pPr>
      <w:r>
        <w:drawing>
          <wp:inline>
            <wp:extent cx="5334000" cy="2133600"/>
            <wp:effectExtent b="0" l="0" r="0" t="0"/>
            <wp:docPr descr="" title="" id="67" name="Picture"/>
            <a:graphic>
              <a:graphicData uri="http://schemas.openxmlformats.org/drawingml/2006/picture">
                <pic:pic>
                  <pic:nvPicPr>
                    <pic:cNvPr descr="Interpretation-tool_files/figure-docx/unnamed-chunk-14-1.png" id="68" name="Picture"/>
                    <pic:cNvPicPr>
                      <a:picLocks noChangeArrowheads="1" noChangeAspect="1"/>
                    </pic:cNvPicPr>
                  </pic:nvPicPr>
                  <pic:blipFill>
                    <a:blip r:embed="rId66"/>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 resulting plot is actually fairly similar, suggesting that it might not be as dangerous to extrapolate beyond the</w:t>
      </w:r>
      <w:r>
        <w:t xml:space="preserve"> </w:t>
      </w:r>
      <w:r>
        <w:t xml:space="preserve">‘average’</w:t>
      </w:r>
      <w:r>
        <w:t xml:space="preserve"> </w:t>
      </w:r>
      <w:r>
        <w:t xml:space="preserve">point as first anticipated.</w:t>
      </w:r>
    </w:p>
    <w:p>
      <w:pPr>
        <w:pStyle w:val="BodyText"/>
      </w:pPr>
      <w:r>
        <w:t xml:space="preserve">Lets see what happens when we have three new studies who, on their own, would have led to a non-significant result under a random-effects framework.</w:t>
      </w:r>
    </w:p>
    <w:p>
      <w:pPr>
        <w:pStyle w:val="SourceCode"/>
      </w:pPr>
      <w:r>
        <w:rPr>
          <w:rStyle w:val="VerbatimChar"/>
        </w:rPr>
        <w:t xml:space="preserve">[1] "Addition of new studies will give a statistically significant (alpha = 0.1) pooled estimate"</w:t>
      </w:r>
    </w:p>
    <w:p>
      <w:pPr>
        <w:pStyle w:val="FirstParagraph"/>
      </w:pPr>
      <w:r>
        <w:drawing>
          <wp:inline>
            <wp:extent cx="5334000" cy="2133600"/>
            <wp:effectExtent b="0" l="0" r="0" t="0"/>
            <wp:docPr descr="" title="" id="70" name="Picture"/>
            <a:graphic>
              <a:graphicData uri="http://schemas.openxmlformats.org/drawingml/2006/picture">
                <pic:pic>
                  <pic:nvPicPr>
                    <pic:cNvPr descr="Interpretation-tool_files/figure-docx/unnamed-chunk-16-1.png" id="71" name="Picture"/>
                    <pic:cNvPicPr>
                      <a:picLocks noChangeArrowheads="1" noChangeAspect="1"/>
                    </pic:cNvPicPr>
                  </pic:nvPicPr>
                  <pic:blipFill>
                    <a:blip r:embed="rId6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Two interesting things to note here. Firstly, whilst each of the new studies individually wouldn’t have led to a significant result, having three in this extreme area does lead to statistical significance (likely because having multiple studies in this extreme area (rather than one) possibly reduces the between-study heterogeneity). Secondly, the weighted</w:t>
      </w:r>
      <w:r>
        <w:t xml:space="preserve"> </w:t>
      </w:r>
      <w:r>
        <w:t xml:space="preserve">‘average’</w:t>
      </w:r>
      <w:r>
        <w:t xml:space="preserve"> </w:t>
      </w:r>
      <w:r>
        <w:t xml:space="preserve">new study, is nowhere near the new studies on this plot - illustrating that under this interpretation of the pixels, pixels that are far away from the general</w:t>
      </w:r>
      <w:r>
        <w:t xml:space="preserve"> </w:t>
      </w:r>
      <w:r>
        <w:t xml:space="preserve">‘crowd’</w:t>
      </w:r>
      <w:r>
        <w:t xml:space="preserve"> </w:t>
      </w:r>
      <w:r>
        <w:t xml:space="preserve">of studies are unlikely to exist in practicality (especially the areas of small standard error, due to the presence of the between-study heterogeneity term).</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crn4\AppData\Local\Apps\Quarto\share\formats\docx\important.png" id="7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additions</w:t>
            </w:r>
          </w:p>
        </w:tc>
      </w:tr>
      <w:tr>
        <w:trPr>
          <w:cantSplit/>
        </w:trPr>
        <w:tc>
          <w:tcPr>
            <w:tcMar>
              <w:top w:w="108" w:type="dxa"/>
              <w:bottom w:w="108" w:type="dxa"/>
            </w:tcMar>
          </w:tcPr>
          <w:p>
            <w:pPr>
              <w:numPr>
                <w:ilvl w:val="0"/>
                <w:numId w:val="1001"/>
              </w:numPr>
            </w:pPr>
            <w:r>
              <w:t xml:space="preserve">Dotted lines between the individual new studies and the overall</w:t>
            </w:r>
            <w:r>
              <w:t xml:space="preserve"> </w:t>
            </w:r>
            <w:r>
              <w:t xml:space="preserve">‘average’</w:t>
            </w:r>
            <w:r>
              <w:t xml:space="preserve"> </w:t>
            </w:r>
            <w:r>
              <w:t xml:space="preserve">new study (making a spider-like shape).</w:t>
            </w:r>
          </w:p>
          <w:p>
            <w:pPr>
              <w:numPr>
                <w:ilvl w:val="0"/>
                <w:numId w:val="1001"/>
              </w:numPr>
            </w:pPr>
            <w:r>
              <w:t xml:space="preserve">Choose a different shape for the</w:t>
            </w:r>
            <w:r>
              <w:t xml:space="preserve"> </w:t>
            </w:r>
            <w:r>
              <w:t xml:space="preserve">‘average’</w:t>
            </w:r>
            <w:r>
              <w:t xml:space="preserve"> </w:t>
            </w:r>
            <w:r>
              <w:t xml:space="preserve">new study, as using a diamond confuses people that there may be something associated with the width of the diamond (as is the case for the pooled effects).</w:t>
            </w:r>
          </w:p>
        </w:tc>
      </w:tr>
    </w:tbl>
    <w:bookmarkEnd w:id="74"/>
    <w:bookmarkEnd w:id="75"/>
    <w:bookmarkEnd w:id="76"/>
    <w:bookmarkStart w:id="89" w:name="compare-each-case"/>
    <w:p>
      <w:pPr>
        <w:pStyle w:val="Heading2"/>
      </w:pPr>
      <w:r>
        <w:t xml:space="preserve">Compare each case</w:t>
      </w:r>
    </w:p>
    <w:p>
      <w:pPr>
        <w:pStyle w:val="FirstParagraph"/>
      </w:pPr>
      <w:r>
        <w:drawing>
          <wp:inline>
            <wp:extent cx="5334000" cy="2133600"/>
            <wp:effectExtent b="0" l="0" r="0" t="0"/>
            <wp:docPr descr="" title="" id="78" name="Picture"/>
            <a:graphic>
              <a:graphicData uri="http://schemas.openxmlformats.org/drawingml/2006/picture">
                <pic:pic>
                  <pic:nvPicPr>
                    <pic:cNvPr descr="Interpretation-tool_files/figure-docx/unnamed-chunk-18-1.png" id="79" name="Picture"/>
                    <pic:cNvPicPr>
                      <a:picLocks noChangeArrowheads="1" noChangeAspect="1"/>
                    </pic:cNvPicPr>
                  </pic:nvPicPr>
                  <pic:blipFill>
                    <a:blip r:embed="rId7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81" name="Picture"/>
            <a:graphic>
              <a:graphicData uri="http://schemas.openxmlformats.org/drawingml/2006/picture">
                <pic:pic>
                  <pic:nvPicPr>
                    <pic:cNvPr descr="Interpretation-tool_files/figure-docx/unnamed-chunk-18-2.png" id="82" name="Picture"/>
                    <pic:cNvPicPr>
                      <a:picLocks noChangeArrowheads="1" noChangeAspect="1"/>
                    </pic:cNvPicPr>
                  </pic:nvPicPr>
                  <pic:blipFill>
                    <a:blip r:embed="rId80"/>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84" name="Picture"/>
            <a:graphic>
              <a:graphicData uri="http://schemas.openxmlformats.org/drawingml/2006/picture">
                <pic:pic>
                  <pic:nvPicPr>
                    <pic:cNvPr descr="Interpretation-tool_files/figure-docx/unnamed-chunk-18-3.png" id="85" name="Picture"/>
                    <pic:cNvPicPr>
                      <a:picLocks noChangeArrowheads="1" noChangeAspect="1"/>
                    </pic:cNvPicPr>
                  </pic:nvPicPr>
                  <pic:blipFill>
                    <a:blip r:embed="rId83"/>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2133600"/>
            <wp:effectExtent b="0" l="0" r="0" t="0"/>
            <wp:docPr descr="" title="" id="87" name="Picture"/>
            <a:graphic>
              <a:graphicData uri="http://schemas.openxmlformats.org/drawingml/2006/picture">
                <pic:pic>
                  <pic:nvPicPr>
                    <pic:cNvPr descr="Interpretation-tool_files/figure-docx/unnamed-chunk-18-4.png" id="88" name="Picture"/>
                    <pic:cNvPicPr>
                      <a:picLocks noChangeArrowheads="1" noChangeAspect="1"/>
                    </pic:cNvPicPr>
                  </pic:nvPicPr>
                  <pic:blipFill>
                    <a:blip r:embed="rId86"/>
                    <a:stretch>
                      <a:fillRect/>
                    </a:stretch>
                  </pic:blipFill>
                  <pic:spPr bwMode="auto">
                    <a:xfrm>
                      <a:off x="0" y="0"/>
                      <a:ext cx="5334000" cy="2133600"/>
                    </a:xfrm>
                    <a:prstGeom prst="rect">
                      <a:avLst/>
                    </a:prstGeom>
                    <a:noFill/>
                    <a:ln w="9525">
                      <a:noFill/>
                      <a:headEnd/>
                      <a:tailEnd/>
                    </a:ln>
                  </pic:spPr>
                </pic:pic>
              </a:graphicData>
            </a:graphic>
          </wp:inline>
        </w:drawing>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Interpretation Tool</dc:title>
  <dc:creator/>
  <cp:keywords/>
  <dcterms:created xsi:type="dcterms:W3CDTF">2025-10-07T15:30:13Z</dcterms:created>
  <dcterms:modified xsi:type="dcterms:W3CDTF">2025-10-07T15:30:13Z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