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Interpretation Tool</w:t>
      </w:r>
    </w:p>
    <w:p>
      <w:pPr>
        <w:pStyle w:val="FirstParagraph"/>
      </w:pPr>
      <w:r>
        <w:t xml:space="preserve">This document is to go over the details of the interpretation tool part of the update framework, which is based on the work by Langan et. al.</w:t>
      </w:r>
    </w:p>
    <w:bookmarkStart w:id="39" w:name="derivation-of-contours"/>
    <w:p>
      <w:pPr>
        <w:pStyle w:val="Heading1"/>
      </w:pPr>
      <w:r>
        <w:t xml:space="preserve">Derivation of contours</w:t>
      </w:r>
    </w:p>
    <w:p>
      <w:pPr>
        <w:pStyle w:val="FirstParagraph"/>
      </w:pPr>
      <w:r>
        <w:t xml:space="preserve">This section will go over the derivation of forming the contours of the plot for different situations.</w:t>
      </w:r>
    </w:p>
    <w:bookmarkStart w:id="36" w:name="fixed-effects"/>
    <w:p>
      <w:pPr>
        <w:pStyle w:val="Heading2"/>
      </w:pPr>
      <w:r>
        <w:t xml:space="preserve">Fixed-effects</w:t>
      </w:r>
    </w:p>
    <w:p>
      <w:pPr>
        <w:pStyle w:val="FirstParagraph"/>
      </w:pPr>
      <w:r>
        <w:t xml:space="preserve">We are working within the fixed-effects framework initially, where the between-study heterogeneity, denoted by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, is equal to zero.</w:t>
      </w:r>
    </w:p>
    <w:bookmarkStart w:id="32" w:name="statistical-significance"/>
    <w:p>
      <w:pPr>
        <w:pStyle w:val="Heading3"/>
      </w:pPr>
      <w:r>
        <w:t xml:space="preserve">Statistical significance</w:t>
      </w:r>
    </w:p>
    <w:p>
      <w:pPr>
        <w:pStyle w:val="FirstParagraph"/>
      </w:pPr>
      <w:r>
        <w:t xml:space="preserve">Lets assume we are interested in changing the statistical significance (i.e., the p-value).</w:t>
      </w:r>
    </w:p>
    <w:bookmarkStart w:id="25" w:name="one-new-study"/>
    <w:p>
      <w:pPr>
        <w:pStyle w:val="Heading4"/>
      </w:pPr>
      <w:r>
        <w:t xml:space="preserve">One new study</w:t>
      </w:r>
    </w:p>
    <w:p>
      <w:pPr>
        <w:pStyle w:val="FirstParagraph"/>
      </w:pPr>
      <w:r>
        <w:t xml:space="preserve">Let’s start with assuming that there is only one new study that will be added to the meta-analysis.</w:t>
      </w:r>
    </w:p>
    <w:p>
      <w:pPr>
        <w:pStyle w:val="BodyText"/>
      </w:pPr>
      <w:r>
        <w:t xml:space="preserve">The 95% confidence interval (CI) is denoted by</w:t>
      </w:r>
    </w:p>
    <w:p>
      <w:pPr>
        <w:pStyle w:val="BodyText"/>
      </w:pPr>
      <w:bookmarkStart w:id="20" w:name="eq-ci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</m:e>
          </m:d>
          <m:rad>
            <m:radPr>
              <m:degHide m:val="on"/>
            </m:radPr>
            <m:deg/>
            <m:e>
              <m:r>
                <m:t>v</m:t>
              </m:r>
              <m:r>
                <m:t>a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</m:e>
          </m:rad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pooled effect estimate,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type I error rate (normally set at 0.5),</w:t>
      </w:r>
      <w:r>
        <w:t xml:space="preserve"> </w:t>
      </w:r>
      <m:oMath>
        <m:sSup>
          <m:e>
            <m: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inverse cumulative normal distribution with mean 0 and variance 1 (which ensures that</w:t>
      </w:r>
      <w:r>
        <w:t xml:space="preserve"> </w:t>
      </w:r>
      <m:oMath>
        <m:sSup>
          <m:e>
            <m: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w:r>
        <w:t xml:space="preserve">maps an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 of 0.05 to the value of 1.96).</w:t>
      </w:r>
      <w:r>
        <w:t xml:space="preserve"> </w:t>
      </w:r>
      <m:oMath>
        <m:r>
          <m:t>v</m:t>
        </m:r>
        <m:r>
          <m:t>a</m:t>
        </m:r>
        <m:r>
          <m:t>r</m:t>
        </m:r>
        <m:d>
          <m:dPr>
            <m:begChr m:val="("/>
            <m:endChr m:val=")"/>
            <m:sepChr m:val="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is the variance of the pooled effect estimate.</w:t>
      </w:r>
    </w:p>
    <w:p>
      <w:pPr>
        <w:pStyle w:val="BodyText"/>
      </w:pPr>
      <w:r>
        <w:t xml:space="preserve">To create a threshold for statistical significance (specified by</w:t>
      </w:r>
      <w:r>
        <w:t xml:space="preserve"> </w:t>
      </w:r>
      <m:oMath>
        <m:r>
          <m:t>α</m:t>
        </m:r>
      </m:oMath>
      <w:r>
        <w:t xml:space="preserve">), we can specify that the lower or upper bound of the 95% CI needs to touch the null value, denoted by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Let’s assume that there is a new study with (unknown) effect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  <m:r>
              <m:t>e</m:t>
            </m:r>
            <m:r>
              <m:t>w</m:t>
            </m:r>
          </m:sub>
        </m:sSub>
      </m:oMath>
      <w:r>
        <w:t xml:space="preserve"> </w:t>
      </w:r>
      <w:r>
        <w:t xml:space="preserve">, variance</w:t>
      </w:r>
      <w:r>
        <w:t xml:space="preserve"> </w:t>
      </w:r>
      <m:oMath>
        <m:r>
          <m:t>v</m:t>
        </m:r>
        <m:r>
          <m:t>a</m:t>
        </m:r>
        <m:r>
          <m:t>r</m:t>
        </m:r>
        <m:d>
          <m:dPr>
            <m:begChr m:val="("/>
            <m:endChr m:val=")"/>
            <m:sepChr m:val="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  <m:r>
                  <m:t>e</m:t>
                </m:r>
                <m:r>
                  <m:t>w</m:t>
                </m:r>
              </m:sub>
            </m:sSub>
          </m:e>
        </m:d>
      </m:oMath>
      <w:r>
        <w:t xml:space="preserve">, and weight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  <m:r>
              <m:t>e</m:t>
            </m:r>
            <m:r>
              <m:t>w</m:t>
            </m:r>
          </m:sub>
        </m:sSub>
      </m:oMath>
      <w:r>
        <w:t xml:space="preserve">. Then once this new study is added to the meta-analysis, the updated results will be as follows:</w:t>
      </w:r>
    </w:p>
    <w:p>
      <w:pPr>
        <w:pStyle w:val="BodyText"/>
      </w:pPr>
      <w:bookmarkStart w:id="21" w:name="eq-updated-estimat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t>e</m:t>
                  </m:r>
                  <m:r>
                    <m:t>w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  <m:r>
                    <m:t>e</m:t>
                  </m:r>
                  <m:r>
                    <m:t>w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t>e</m:t>
                  </m:r>
                  <m:r>
                    <m:t>w</m:t>
                  </m:r>
                </m:sub>
              </m:sSub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</m:oMath>
      </m:oMathPara>
      <w:bookmarkEnd w:id="21"/>
    </w:p>
    <w:p>
      <w:pPr>
        <w:pStyle w:val="FirstParagraph"/>
      </w:pPr>
      <w:bookmarkStart w:id="22" w:name="eq-updated-variance"/>
      <m:oMathPara>
        <m:oMathParaPr>
          <m:jc m:val="center"/>
        </m:oMathParaPr>
        <m:oMath>
          <m:r>
            <m:t>v</m:t>
          </m:r>
          <m:r>
            <m:t>a</m:t>
          </m:r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t>e</m:t>
                  </m:r>
                  <m:r>
                    <m:t>w</m:t>
                  </m:r>
                </m:sub>
              </m:sSub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</m:e>
          </m:d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studies in the original meta-analysis.</w:t>
      </w:r>
    </w:p>
    <w:p>
      <w:pPr>
        <w:pStyle w:val="BodyText"/>
      </w:pPr>
      <w:r>
        <w:t xml:space="preserve">By substituting</w:t>
      </w:r>
      <w:r>
        <w:t xml:space="preserve"> </w:t>
      </w:r>
      <w:hyperlink w:anchor="eq-updated-estimat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eq-updated-var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ci">
        <w:r>
          <w:rPr>
            <w:rStyle w:val="Hyperlink"/>
          </w:rPr>
          <w:t xml:space="preserve">Equation 1</w:t>
        </w:r>
      </w:hyperlink>
      <w:r>
        <w:t xml:space="preserve">, and specifying that the upper or lower bound equals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we can get an expression for</w:t>
      </w:r>
      <w:r>
        <w:t xml:space="preserve"> </w:t>
      </w:r>
      <m:oMath>
        <m:sSub>
          <m:e>
            <m:r>
              <m:t>θ</m:t>
            </m:r>
          </m:e>
          <m:sub>
            <m:r>
              <m:t>n</m:t>
            </m:r>
            <m:r>
              <m:t>e</m:t>
            </m:r>
            <m:r>
              <m:t>w</m:t>
            </m:r>
          </m:sub>
        </m:sSub>
      </m:oMath>
      <w:r>
        <w:t xml:space="preserve"> </w:t>
      </w:r>
      <w:r>
        <w:t xml:space="preserve">in terms of other quantities:</w:t>
      </w:r>
    </w:p>
    <w:p>
      <w:pPr>
        <w:pStyle w:val="BodyText"/>
      </w:pPr>
      <w:bookmarkStart w:id="23" w:name="eq-rearranged-theta-new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  <m:r>
                <m:t>e</m:t>
              </m:r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t>e</m:t>
                  </m:r>
                  <m:r>
                    <m:t>w</m:t>
                  </m:r>
                </m:sub>
              </m:sSub>
            </m:den>
          </m:f>
          <m:r>
            <m:rPr>
              <m:sty m:val="p"/>
            </m:rPr>
            <m:t>{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t>e</m:t>
                  </m:r>
                  <m:r>
                    <m:t>w</m:t>
                  </m:r>
                </m:sub>
              </m:sSub>
            </m:e>
          </m:d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±</m:t>
          </m:r>
          <m:sSup>
            <m:e>
              <m: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</m:e>
          </m:d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t>e</m:t>
                  </m:r>
                  <m:r>
                    <m:t>w</m:t>
                  </m:r>
                </m:sub>
              </m:sSub>
            </m:e>
          </m:rad>
          <m:r>
            <m:rPr>
              <m:sty m:val="p"/>
            </m:rPr>
            <m:t>}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</m:e>
          </m:d>
        </m:oMath>
      </m:oMathPara>
      <w:bookmarkEnd w:id="23"/>
    </w:p>
    <w:p>
      <w:pPr>
        <w:pStyle w:val="FirstParagraph"/>
      </w:pPr>
      <w:r>
        <w:t xml:space="preserve">In a fixed-effects meta-analysis, each weight is simply calculated as</w:t>
      </w:r>
    </w:p>
    <w:p>
      <w:pPr>
        <w:pStyle w:val="BodyText"/>
      </w:pPr>
      <w:bookmarkStart w:id="24" w:name="eq-fixed-weight"/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v</m:t>
              </m:r>
              <m:r>
                <m:t>a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5</m:t>
              </m:r>
            </m:e>
          </m:d>
        </m:oMath>
      </m:oMathPara>
      <w:bookmarkEnd w:id="24"/>
    </w:p>
    <w:p>
      <w:pPr>
        <w:pStyle w:val="FirstParagraph"/>
      </w:pPr>
      <w:r>
        <w:t xml:space="preserve">Therefore, by substituting</w:t>
      </w:r>
      <w:r>
        <w:t xml:space="preserve"> </w:t>
      </w:r>
      <w:hyperlink w:anchor="eq-fixed-weight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rearranged-theta-new">
        <w:r>
          <w:rPr>
            <w:rStyle w:val="Hyperlink"/>
          </w:rPr>
          <w:t xml:space="preserve">Equation 4</w:t>
        </w:r>
      </w:hyperlink>
      <w:r>
        <w:t xml:space="preserve">, we then get an equation for the contour threshold on the estimate-variance plane.</w:t>
      </w:r>
    </w:p>
    <w:bookmarkEnd w:id="25"/>
    <w:bookmarkStart w:id="30" w:name="two-new-studies"/>
    <w:p>
      <w:pPr>
        <w:pStyle w:val="Heading4"/>
      </w:pPr>
      <w:r>
        <w:t xml:space="preserve">Two new studies</w:t>
      </w:r>
    </w:p>
    <w:p>
      <w:pPr>
        <w:pStyle w:val="FirstParagraph"/>
      </w:pPr>
      <w:r>
        <w:t xml:space="preserve">When expanding from one new study to two new studies,</w:t>
      </w:r>
      <w:r>
        <w:t xml:space="preserve"> </w:t>
      </w:r>
      <w:hyperlink w:anchor="eq-updated-estimat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eq-updated-var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become</w:t>
      </w:r>
    </w:p>
    <w:p>
      <w:pPr>
        <w:pStyle w:val="BodyText"/>
      </w:pPr>
      <w:bookmarkStart w:id="26" w:name="eq-meta-theta-2studies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t>2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  <m:r>
                    <m:t>2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t>2</m:t>
                  </m:r>
                </m:sub>
              </m:sSub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6</m:t>
              </m:r>
            </m:e>
          </m:d>
        </m:oMath>
      </m:oMathPara>
      <w:bookmarkEnd w:id="26"/>
    </w:p>
    <w:p>
      <w:pPr>
        <w:pStyle w:val="FirstParagraph"/>
      </w:pPr>
      <w:bookmarkStart w:id="27" w:name="eq-meta-variance-2studies"/>
      <m:oMathPara>
        <m:oMathParaPr>
          <m:jc m:val="center"/>
        </m:oMathParaPr>
        <m:oMath>
          <m:r>
            <m:t>v</m:t>
          </m:r>
          <m:r>
            <m:t>a</m:t>
          </m:r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t>2</m:t>
                  </m:r>
                </m:sub>
              </m:sSub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7</m:t>
              </m:r>
            </m:e>
          </m:d>
        </m:oMath>
      </m:oMathPara>
      <w:bookmarkEnd w:id="27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  <m:r>
              <m:t>j</m:t>
            </m:r>
          </m:sub>
        </m:sSub>
      </m:oMath>
      <w:r>
        <w:t xml:space="preserve"> </w:t>
      </w:r>
      <w:r>
        <w:t xml:space="preserve">are the estimates and weights of new studies respectively, where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Let</w:t>
      </w:r>
    </w:p>
    <w:p>
      <w:pPr>
        <w:pStyle w:val="BodyText"/>
      </w:pPr>
      <w:bookmarkStart w:id="28" w:name="eq-weight-2studies"/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n</m:t>
              </m:r>
              <m:r>
                <m:t>e</m:t>
              </m:r>
              <m:r>
                <m:t>w</m:t>
              </m:r>
            </m:sub>
          </m:sSub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n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  <m:r>
                <m:t>2</m:t>
              </m:r>
            </m:sub>
          </m:sSub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8</m:t>
              </m:r>
            </m:e>
          </m:d>
        </m:oMath>
      </m:oMathPara>
      <w:bookmarkEnd w:id="28"/>
    </w:p>
    <w:p>
      <w:pPr>
        <w:pStyle w:val="FirstParagraph"/>
      </w:pPr>
      <w:bookmarkStart w:id="29" w:name="eq-theta-2studies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  <m:r>
                <m:t>e</m:t>
              </m:r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t>2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  <m:r>
                    <m:t>2</m:t>
                  </m:r>
                </m:sub>
              </m:sSub>
            </m:num>
            <m:den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t>2</m:t>
                  </m:r>
                </m:sub>
              </m:sSub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9</m:t>
              </m:r>
            </m:e>
          </m:d>
        </m:oMath>
      </m:oMathPara>
      <w:bookmarkEnd w:id="29"/>
    </w:p>
    <w:p>
      <w:pPr>
        <w:pStyle w:val="FirstParagraph"/>
      </w:pPr>
      <w:r>
        <w:t xml:space="preserve">Substituting</w:t>
      </w:r>
      <w:r>
        <w:t xml:space="preserve"> </w:t>
      </w:r>
      <w:hyperlink w:anchor="eq-weight-2studies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eq-theta-2studies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eq-meta-theta-2studies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eq-meta-variance-2studies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brings us back to equations</w:t>
      </w:r>
      <w:r>
        <w:t xml:space="preserve"> </w:t>
      </w:r>
      <w:hyperlink w:anchor="eq-updated-estimat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eq-updated-variance">
        <w:r>
          <w:rPr>
            <w:rStyle w:val="Hyperlink"/>
          </w:rPr>
          <w:t xml:space="preserve">Equation 3</w:t>
        </w:r>
      </w:hyperlink>
      <w:r>
        <w:t xml:space="preserve">. Therefore, everything else follows through as before, but with new definitions for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  <m:r>
              <m:t>e</m:t>
            </m:r>
            <m:r>
              <m:t>w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  <m:r>
              <m:t>e</m:t>
            </m:r>
            <m:r>
              <m:t>w</m:t>
            </m:r>
          </m:sub>
        </m:sSub>
      </m:oMath>
      <w:r>
        <w:t xml:space="preserve">.</w:t>
      </w:r>
    </w:p>
    <w:bookmarkEnd w:id="30"/>
    <w:bookmarkStart w:id="31" w:name="multiple-new-studies"/>
    <w:p>
      <w:pPr>
        <w:pStyle w:val="Heading4"/>
      </w:pPr>
      <w:r>
        <w:t xml:space="preserve">Multiple new studies</w:t>
      </w:r>
    </w:p>
    <w:p>
      <w:pPr>
        <w:pStyle w:val="FirstParagraph"/>
      </w:pPr>
      <w:r>
        <w:t xml:space="preserve">Where we are calculating the contour 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studies, the equations follow as if it was one new study, but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  <m:r>
              <m:t>e</m:t>
            </m:r>
            <m:r>
              <m:t>w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  <m:r>
              <m:t>e</m:t>
            </m:r>
            <m:r>
              <m:t>w</m:t>
            </m:r>
          </m:sub>
        </m:sSub>
      </m:oMath>
      <w:r>
        <w:t xml:space="preserve"> </w:t>
      </w:r>
      <w:r>
        <w:t xml:space="preserve">are 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n</m:t>
              </m:r>
              <m:r>
                <m:t>e</m:t>
              </m:r>
              <m:r>
                <m:t>w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t>j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  <m:r>
                <m:t>e</m:t>
              </m:r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t>j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j</m:t>
                      </m:r>
                    </m:sub>
                  </m:sSub>
                </m:e>
              </m:nary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t>j</m:t>
                      </m:r>
                    </m:sub>
                  </m:sSub>
                </m:e>
              </m:nary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  <m:r>
              <m:t>j</m:t>
            </m:r>
          </m:sub>
        </m:sSub>
      </m:oMath>
      <w:r>
        <w:t xml:space="preserve"> </w:t>
      </w:r>
      <w:r>
        <w:t xml:space="preserve">are the estimates and weights of the new studies respectively, 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</w:p>
    <w:bookmarkEnd w:id="31"/>
    <w:bookmarkEnd w:id="32"/>
    <w:bookmarkStart w:id="35" w:name="specific-confidence-interval-bounds"/>
    <w:p>
      <w:pPr>
        <w:pStyle w:val="Heading3"/>
      </w:pPr>
      <w:r>
        <w:t xml:space="preserve">Specific confidence interval bounds</w:t>
      </w:r>
    </w:p>
    <w:p>
      <w:pPr>
        <w:pStyle w:val="FirstParagraph"/>
      </w:pPr>
      <w:r>
        <w:t xml:space="preserve">Let’s suppose that instead of wanting a statistically significant pooled estimate, that the researchers are looking for the 95% CI bounds to be at a certain value (likely of clinical importance).</w:t>
      </w:r>
    </w:p>
    <w:p>
      <w:pPr>
        <w:pStyle w:val="BodyText"/>
      </w:pPr>
      <w:r>
        <w:t xml:space="preserve">With statistical significance, the contour equations are calculated from stating that the upper or lower bounds must touch the null value,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 In this scenario, the contour equations would be calculated from the following thresholds:</w:t>
      </w:r>
    </w:p>
    <w:p>
      <w:pPr>
        <w:pStyle w:val="BodyText"/>
      </w:pPr>
      <w:bookmarkStart w:id="33" w:name="eq-lower-bound"/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l</m:t>
              </m:r>
              <m:r>
                <m:t>o</m:t>
              </m:r>
              <m:r>
                <m:t>w</m:t>
              </m:r>
              <m:r>
                <m:t>e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sSup>
            <m:e>
              <m: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</m:e>
          </m:d>
          <m:rad>
            <m:radPr>
              <m:degHide m:val="on"/>
            </m:radPr>
            <m:deg/>
            <m:e>
              <m:r>
                <m:t>v</m:t>
              </m:r>
              <m:r>
                <m:t>a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</m:e>
          </m:rad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10</m:t>
              </m:r>
            </m:e>
          </m:d>
        </m:oMath>
      </m:oMathPara>
      <w:bookmarkEnd w:id="33"/>
    </w:p>
    <w:p>
      <w:pPr>
        <w:pStyle w:val="FirstParagraph"/>
      </w:pPr>
      <w:bookmarkStart w:id="34" w:name="eq-upper-bound"/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u</m:t>
              </m:r>
              <m:r>
                <m:t>p</m:t>
              </m:r>
              <m:r>
                <m:t>p</m:t>
              </m:r>
              <m:r>
                <m:t>e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+</m:t>
          </m:r>
          <m:sSup>
            <m:e>
              <m: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</m:e>
          </m:d>
          <m:rad>
            <m:radPr>
              <m:degHide m:val="on"/>
            </m:radPr>
            <m:deg/>
            <m:e>
              <m:r>
                <m:t>v</m:t>
              </m:r>
              <m:r>
                <m:t>a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</m:e>
          </m:rad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11</m:t>
              </m:r>
            </m:e>
          </m:d>
        </m:oMath>
      </m:oMathPara>
      <w:bookmarkEnd w:id="3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l</m:t>
            </m:r>
            <m:r>
              <m:t>o</m:t>
            </m:r>
            <m:r>
              <m:t>w</m:t>
            </m:r>
            <m:r>
              <m:t>e</m:t>
            </m:r>
            <m:r>
              <m:t>r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u</m:t>
            </m:r>
            <m:r>
              <m:t>p</m:t>
            </m:r>
            <m:r>
              <m:t>p</m:t>
            </m:r>
            <m:r>
              <m:t>e</m:t>
            </m:r>
            <m:r>
              <m:t>r</m:t>
            </m:r>
          </m:sub>
        </m:sSub>
      </m:oMath>
      <w:r>
        <w:t xml:space="preserve"> </w:t>
      </w:r>
      <w:r>
        <w:t xml:space="preserve">are the user-defined lower and upper 95% CI bounds of interest.</w:t>
      </w:r>
    </w:p>
    <w:p>
      <w:pPr>
        <w:pStyle w:val="BodyText"/>
      </w:pPr>
      <w:r>
        <w:t xml:space="preserve">Substituting</w:t>
      </w:r>
      <w:r>
        <w:t xml:space="preserve"> </w:t>
      </w:r>
      <w:hyperlink w:anchor="eq-updated-estimat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eq-updated-var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?@eq-low-bound</w:t>
      </w:r>
      <w:r>
        <w:t xml:space="preserve"> </w:t>
      </w:r>
      <w:r>
        <w:t xml:space="preserve">and</w:t>
      </w:r>
      <w:r>
        <w:t xml:space="preserve"> </w:t>
      </w:r>
      <w:hyperlink w:anchor="eq-upper-bound">
        <w:r>
          <w:rPr>
            <w:rStyle w:val="Hyperlink"/>
          </w:rPr>
          <w:t xml:space="preserve">Equation 11</w:t>
        </w:r>
      </w:hyperlink>
      <w:r>
        <w:t xml:space="preserve">, and rearranging gives the following expression(s)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  <m:r>
              <m:t>e</m:t>
            </m:r>
            <m:r>
              <m:t>w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  <m:r>
                <m:t>e</m:t>
              </m:r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t>e</m:t>
                  </m:r>
                  <m:r>
                    <m:t>w</m:t>
                  </m:r>
                </m:sub>
              </m:sSub>
            </m:den>
          </m:f>
          <m:r>
            <m:rPr>
              <m:sty m:val="p"/>
            </m:rPr>
            <m:t>{</m:t>
          </m:r>
          <m:sSub>
            <m:e>
              <m:r>
                <m:t>θ</m:t>
              </m:r>
            </m:e>
            <m:sub>
              <m:r>
                <m:t>l</m:t>
              </m:r>
              <m:r>
                <m:t>o</m:t>
              </m:r>
              <m:r>
                <m:t>w</m:t>
              </m:r>
              <m:r>
                <m:t>e</m:t>
              </m:r>
              <m:r>
                <m:t>r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t>e</m:t>
                  </m:r>
                  <m:r>
                    <m:t>w</m:t>
                  </m:r>
                </m:sub>
              </m:sSub>
            </m:e>
          </m:d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sSup>
            <m:e>
              <m: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</m:e>
          </m:d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t>e</m:t>
                  </m:r>
                  <m:r>
                    <m:t>w</m:t>
                  </m:r>
                </m:sub>
              </m:sSub>
            </m:e>
          </m:rad>
          <m:r>
            <m:rPr>
              <m:sty m:val="p"/>
            </m:rPr>
            <m:t>}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  <m:r>
                <m:t>e</m:t>
              </m:r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t>e</m:t>
                  </m:r>
                  <m:r>
                    <m:t>w</m:t>
                  </m:r>
                </m:sub>
              </m:sSub>
            </m:den>
          </m:f>
          <m:r>
            <m:rPr>
              <m:sty m:val="p"/>
            </m:rPr>
            <m:t>{</m:t>
          </m:r>
          <m:sSub>
            <m:e>
              <m:r>
                <m:t>θ</m:t>
              </m:r>
            </m:e>
            <m:sub>
              <m:r>
                <m:t>u</m:t>
              </m:r>
              <m:r>
                <m:t>p</m:t>
              </m:r>
              <m:r>
                <m:t>p</m:t>
              </m:r>
              <m:r>
                <m:t>e</m:t>
              </m:r>
              <m:r>
                <m:t>r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t>e</m:t>
                  </m:r>
                  <m:r>
                    <m:t>w</m:t>
                  </m:r>
                </m:sub>
              </m:sSub>
            </m:e>
          </m:d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−</m:t>
          </m:r>
          <m:sSup>
            <m:e>
              <m: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</m:e>
          </m:d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t>e</m:t>
                  </m:r>
                  <m:r>
                    <m:t>w</m:t>
                  </m:r>
                </m:sub>
              </m:sSub>
            </m:e>
          </m:rad>
          <m:r>
            <m:rPr>
              <m:sty m:val="p"/>
            </m:rPr>
            <m:t>}</m:t>
          </m:r>
        </m:oMath>
      </m:oMathPara>
    </w:p>
    <w:p>
      <w:pPr>
        <w:pStyle w:val="FirstParagraph"/>
      </w:pPr>
      <w:r>
        <w:t xml:space="preserve">Whilst in the fixed-effects framework, the extensions to multiple new studies is the same here as for statistical significance.</w:t>
      </w:r>
    </w:p>
    <w:bookmarkEnd w:id="35"/>
    <w:bookmarkEnd w:id="36"/>
    <w:bookmarkStart w:id="38" w:name="random-effects"/>
    <w:p>
      <w:pPr>
        <w:pStyle w:val="Heading2"/>
      </w:pPr>
      <w:r>
        <w:t xml:space="preserve">Random-effects</w:t>
      </w:r>
    </w:p>
    <w:p>
      <w:pPr>
        <w:pStyle w:val="FirstParagraph"/>
      </w:pPr>
      <w:r>
        <w:t xml:space="preserve">When working in the random-effects framework things get more complex as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is estimated from the studies in the meta-analysis, included the new studies.</w:t>
      </w:r>
    </w:p>
    <w:p>
      <w:pPr>
        <w:pStyle w:val="BodyText"/>
      </w:pPr>
      <w:r>
        <w:t xml:space="preserve">Let’s start again with only considering one new study and aiming for a meta-analysis with statistical significance at 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level.</w:t>
      </w:r>
    </w:p>
    <w:p>
      <w:pPr>
        <w:pStyle w:val="BodyText"/>
      </w:pPr>
      <w:r>
        <w:t xml:space="preserve">Under a random-effects framework, the weight for each study is instead calculated as</w:t>
      </w:r>
    </w:p>
    <w:p>
      <w:pPr>
        <w:pStyle w:val="BodyText"/>
      </w:pPr>
      <w:bookmarkStart w:id="37" w:name="eq-random-weight"/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v</m:t>
              </m:r>
              <m:r>
                <m:t>a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12</m:t>
              </m:r>
            </m:e>
          </m:d>
        </m:oMath>
      </m:oMathPara>
      <w:bookmarkEnd w:id="37"/>
    </w:p>
    <w:p>
      <w:pPr>
        <w:pStyle w:val="FirstParagraph"/>
      </w:pPr>
      <w:r>
        <w:t xml:space="preserve">Unfortunately,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, the between-study heterogeneity which is calculated from all studies, is too complicated to estimate by hand, and so researchers often use established estimators instead, such as the DerSimonian-Laird estimator or Restricted Maximum Likelihood.</w:t>
      </w:r>
    </w:p>
    <w:p>
      <w:pPr>
        <w:pStyle w:val="BodyText"/>
      </w:pPr>
      <w:r>
        <w:t xml:space="preserve">As such, an equation to form the contour thresholds cannot be derived as was done for the fixed-effects framework. Instead, the standard error-estimate plane is broken down into</w:t>
      </w:r>
      <w:r>
        <w:t xml:space="preserve"> </w:t>
      </w:r>
      <w:r>
        <w:t xml:space="preserve">‘pixels’</w:t>
      </w:r>
      <w:r>
        <w:t xml:space="preserve">, where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 be estimated at each pixel. For each pixel, the estimated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 is then plugged into the contour equations derived above, but using the weights calculated in</w:t>
      </w:r>
      <w:r>
        <w:t xml:space="preserve"> </w:t>
      </w:r>
      <w:hyperlink w:anchor="eq-random-weight">
        <w:r>
          <w:rPr>
            <w:rStyle w:val="Hyperlink"/>
          </w:rPr>
          <w:t xml:space="preserve">Equation 12</w:t>
        </w:r>
      </w:hyperlink>
      <w:r>
        <w:t xml:space="preserve">, and noted whether or not the threshold was crossed.</w:t>
      </w:r>
    </w:p>
    <w:p>
      <w:pPr>
        <w:pStyle w:val="BodyText"/>
      </w:pPr>
      <w:r>
        <w:t xml:space="preserve">The extensions for multiple new studies and clinical bounds then follow through.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Interpretation Tool</dc:title>
  <dc:creator/>
  <cp:keywords/>
  <dcterms:created xsi:type="dcterms:W3CDTF">2025-07-25T14:36:55Z</dcterms:created>
  <dcterms:modified xsi:type="dcterms:W3CDTF">2025-07-25T14:36:55Z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