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0404E" w14:textId="77777777" w:rsidR="00BC4721" w:rsidRDefault="00E728F1">
      <w:pPr>
        <w:pStyle w:val="Title"/>
      </w:pPr>
      <w:r>
        <w:t>Interpretation Tool</w:t>
      </w:r>
    </w:p>
    <w:p w14:paraId="74E0404F" w14:textId="77777777" w:rsidR="00BC4721" w:rsidRDefault="00E728F1">
      <w:pPr>
        <w:pStyle w:val="FirstParagraph"/>
      </w:pPr>
      <w:r>
        <w:t>This document is to go over the details of the interpretation tool part of the update framework, which is based on the work by Langan et. al.</w:t>
      </w:r>
    </w:p>
    <w:p w14:paraId="74E04050" w14:textId="77777777" w:rsidR="00BC4721" w:rsidRDefault="00E728F1">
      <w:pPr>
        <w:pStyle w:val="Heading1"/>
      </w:pPr>
      <w:bookmarkStart w:id="0" w:name="derivation-of-contours"/>
      <w:r>
        <w:t>Derivation of contours</w:t>
      </w:r>
    </w:p>
    <w:p w14:paraId="74E04051" w14:textId="77777777" w:rsidR="00BC4721" w:rsidRDefault="00E728F1">
      <w:pPr>
        <w:pStyle w:val="FirstParagraph"/>
      </w:pPr>
      <w:r>
        <w:t xml:space="preserve">This section will go over the derivation of forming the contours of the plot for different </w:t>
      </w:r>
      <w:r>
        <w:t>situations.</w:t>
      </w:r>
    </w:p>
    <w:p w14:paraId="74E04052" w14:textId="77777777" w:rsidR="00BC4721" w:rsidRDefault="00E728F1">
      <w:pPr>
        <w:pStyle w:val="Heading2"/>
      </w:pPr>
      <w:bookmarkStart w:id="1" w:name="fixed-effects"/>
      <w:r>
        <w:t>Fixed-effects</w:t>
      </w:r>
    </w:p>
    <w:p w14:paraId="74E04053" w14:textId="77777777" w:rsidR="00BC4721" w:rsidRDefault="00E728F1">
      <w:pPr>
        <w:pStyle w:val="FirstParagraph"/>
      </w:pPr>
      <w:r>
        <w:t xml:space="preserve">We are working within the fixed-effects framework initially, where the between-study heterogeneity, denoted by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is equal to zero.</w:t>
      </w:r>
    </w:p>
    <w:p w14:paraId="74E04054" w14:textId="77777777" w:rsidR="00BC4721" w:rsidRDefault="00E728F1">
      <w:pPr>
        <w:pStyle w:val="Heading3"/>
      </w:pPr>
      <w:bookmarkStart w:id="2" w:name="statistical-significance"/>
      <w:r>
        <w:t>Statistical significance</w:t>
      </w:r>
    </w:p>
    <w:p w14:paraId="74E04055" w14:textId="77777777" w:rsidR="00BC4721" w:rsidRDefault="00E728F1">
      <w:pPr>
        <w:pStyle w:val="FirstParagraph"/>
      </w:pPr>
      <w:r>
        <w:t xml:space="preserve">Lets assume we are interested in changing the statistical significance </w:t>
      </w:r>
      <w:r>
        <w:t>(i.e., the p-value).</w:t>
      </w:r>
    </w:p>
    <w:p w14:paraId="74E04056" w14:textId="77777777" w:rsidR="00BC4721" w:rsidRDefault="00E728F1">
      <w:pPr>
        <w:pStyle w:val="Heading4"/>
      </w:pPr>
      <w:bookmarkStart w:id="3" w:name="one-new-study"/>
      <w:r>
        <w:t>One new study</w:t>
      </w:r>
    </w:p>
    <w:p w14:paraId="74E04057" w14:textId="77777777" w:rsidR="00BC4721" w:rsidRDefault="00E728F1">
      <w:pPr>
        <w:pStyle w:val="FirstParagraph"/>
      </w:pPr>
      <w:r>
        <w:t>Let’s start with assuming that there is only one new study that will be added to the meta-analysis.</w:t>
      </w:r>
    </w:p>
    <w:p w14:paraId="74E04058" w14:textId="77777777" w:rsidR="00BC4721" w:rsidRDefault="00E728F1">
      <w:pPr>
        <w:pStyle w:val="BodyText"/>
      </w:pPr>
      <w:r>
        <w:t>The 95% confidence interval (CI) is denoted by</w:t>
      </w:r>
    </w:p>
    <w:bookmarkStart w:id="4" w:name="eq-ci"/>
    <w:p w14:paraId="74E04059" w14:textId="77777777" w:rsidR="00BC4721" w:rsidRDefault="00E728F1">
      <w:pPr>
        <w:pStyle w:val="BodyText"/>
      </w:pPr>
      <m:oMathPara>
        <m:oMathParaPr>
          <m:jc m:val="center"/>
        </m:oMathParaPr>
        <m:oMath>
          <m:acc>
            <m:accPr>
              <m:ctrlPr>
                <w:rPr>
                  <w:rFonts w:ascii="Cambria Math" w:hAnsi="Cambria Math"/>
                </w:rPr>
              </m:ctrlPr>
            </m:accPr>
            <m:e>
              <m:r>
                <w:rPr>
                  <w:rFonts w:ascii="Cambria Math" w:hAnsi="Cambria Math"/>
                </w:rPr>
                <m:t>θ</m:t>
              </m:r>
            </m:e>
          </m:acc>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α</m:t>
                  </m:r>
                </m:num>
                <m:den>
                  <m:r>
                    <w:rPr>
                      <w:rFonts w:ascii="Cambria Math" w:hAnsi="Cambria Math"/>
                    </w:rPr>
                    <m:t>2</m:t>
                  </m:r>
                </m:den>
              </m:f>
            </m:e>
          </m:d>
          <m:rad>
            <m:radPr>
              <m:degHide m:val="1"/>
              <m:ctrlPr>
                <w:rPr>
                  <w:rFonts w:ascii="Cambria Math" w:hAnsi="Cambria Math"/>
                </w:rPr>
              </m:ctrlPr>
            </m:radPr>
            <m:deg/>
            <m:e>
              <m:r>
                <w:rPr>
                  <w:rFonts w:ascii="Cambria Math" w:hAnsi="Cambria Math"/>
                </w:rPr>
                <m:t>var</m:t>
              </m:r>
              <m:d>
                <m:dPr>
                  <m:ctrlPr>
                    <w:rPr>
                      <w:rFonts w:ascii="Cambria Math" w:hAnsi="Cambria Math"/>
                    </w:rPr>
                  </m:ctrlPr>
                </m:dPr>
                <m:e>
                  <m:acc>
                    <m:accPr>
                      <m:ctrlPr>
                        <w:rPr>
                          <w:rFonts w:ascii="Cambria Math" w:hAnsi="Cambria Math"/>
                        </w:rPr>
                      </m:ctrlPr>
                    </m:accPr>
                    <m:e>
                      <m:r>
                        <w:rPr>
                          <w:rFonts w:ascii="Cambria Math" w:hAnsi="Cambria Math"/>
                        </w:rPr>
                        <m:t>θ</m:t>
                      </m:r>
                    </m:e>
                  </m:acc>
                </m:e>
              </m:d>
            </m:e>
          </m:rad>
          <m:r>
            <w:rPr>
              <w:rFonts w:ascii="Cambria Math" w:hAnsi="Cambria Math"/>
            </w:rPr>
            <m:t>  </m:t>
          </m:r>
          <m:d>
            <m:dPr>
              <m:ctrlPr>
                <w:rPr>
                  <w:rFonts w:ascii="Cambria Math" w:hAnsi="Cambria Math"/>
                </w:rPr>
              </m:ctrlPr>
            </m:dPr>
            <m:e>
              <m:r>
                <w:rPr>
                  <w:rFonts w:ascii="Cambria Math" w:hAnsi="Cambria Math"/>
                </w:rPr>
                <m:t>1</m:t>
              </m:r>
            </m:e>
          </m:d>
        </m:oMath>
      </m:oMathPara>
      <w:bookmarkEnd w:id="4"/>
    </w:p>
    <w:p w14:paraId="74E0405A" w14:textId="77777777" w:rsidR="00BC4721" w:rsidRDefault="00E728F1">
      <w:pPr>
        <w:pStyle w:val="FirstParagraph"/>
      </w:pPr>
      <w:r>
        <w:t xml:space="preserve">where </w:t>
      </w:r>
      <m:oMath>
        <m:acc>
          <m:accPr>
            <m:ctrlPr>
              <w:rPr>
                <w:rFonts w:ascii="Cambria Math" w:hAnsi="Cambria Math"/>
              </w:rPr>
            </m:ctrlPr>
          </m:accPr>
          <m:e>
            <m:r>
              <w:rPr>
                <w:rFonts w:ascii="Cambria Math" w:hAnsi="Cambria Math"/>
              </w:rPr>
              <m:t>θ</m:t>
            </m:r>
          </m:e>
        </m:acc>
      </m:oMath>
      <w:r>
        <w:t xml:space="preserve"> is the pooled effect estimate, </w:t>
      </w:r>
      <m:oMath>
        <m:r>
          <w:rPr>
            <w:rFonts w:ascii="Cambria Math" w:hAnsi="Cambria Math"/>
          </w:rPr>
          <m:t>α</m:t>
        </m:r>
      </m:oMath>
      <w:r>
        <w:t xml:space="preserve"> is the ty</w:t>
      </w:r>
      <w:r>
        <w:t xml:space="preserve">pe I error rate (normally set at 0.5), </w:t>
      </w:r>
      <m:oMath>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oMath>
      <w:r>
        <w:t xml:space="preserve"> is the inverse cumulative normal distribution with mean 0 and variance 1 (which ensures that </w:t>
      </w:r>
      <m:oMath>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2</m:t>
            </m:r>
          </m:e>
        </m:d>
      </m:oMath>
      <w:r>
        <w:t xml:space="preserve"> maps an </w:t>
      </w:r>
      <m:oMath>
        <m:r>
          <w:rPr>
            <w:rFonts w:ascii="Cambria Math" w:hAnsi="Cambria Math"/>
          </w:rPr>
          <m:t>α</m:t>
        </m:r>
      </m:oMath>
      <w:r>
        <w:t xml:space="preserve"> value of 0.05 to the value of 1.96). </w:t>
      </w:r>
      <m:oMath>
        <m:r>
          <w:rPr>
            <w:rFonts w:ascii="Cambria Math" w:hAnsi="Cambria Math"/>
          </w:rPr>
          <m:t>var</m:t>
        </m:r>
        <m:d>
          <m:dPr>
            <m:ctrlPr>
              <w:rPr>
                <w:rFonts w:ascii="Cambria Math" w:hAnsi="Cambria Math"/>
              </w:rPr>
            </m:ctrlPr>
          </m:dPr>
          <m:e>
            <m:acc>
              <m:accPr>
                <m:ctrlPr>
                  <w:rPr>
                    <w:rFonts w:ascii="Cambria Math" w:hAnsi="Cambria Math"/>
                  </w:rPr>
                </m:ctrlPr>
              </m:accPr>
              <m:e>
                <m:r>
                  <w:rPr>
                    <w:rFonts w:ascii="Cambria Math" w:hAnsi="Cambria Math"/>
                  </w:rPr>
                  <m:t>θ</m:t>
                </m:r>
              </m:e>
            </m:acc>
          </m:e>
        </m:d>
      </m:oMath>
      <w:r>
        <w:t xml:space="preserve"> is the variance of the pooled effect estimate.</w:t>
      </w:r>
    </w:p>
    <w:p w14:paraId="74E0405B" w14:textId="77777777" w:rsidR="00BC4721" w:rsidRDefault="00E728F1">
      <w:pPr>
        <w:pStyle w:val="BodyText"/>
      </w:pPr>
      <w:r>
        <w:t>To cre</w:t>
      </w:r>
      <w:r>
        <w:t xml:space="preserve">ate a threshold for statistical significance (specified by </w:t>
      </w:r>
      <m:oMath>
        <m:r>
          <w:rPr>
            <w:rFonts w:ascii="Cambria Math" w:hAnsi="Cambria Math"/>
          </w:rPr>
          <m:t>α</m:t>
        </m:r>
      </m:oMath>
      <w:r>
        <w:t xml:space="preserve">), we can specify that the lower or upper bound of the 95% CI needs to touch the null value, denoted by </w:t>
      </w:r>
      <m:oMath>
        <m:sSub>
          <m:sSubPr>
            <m:ctrlPr>
              <w:rPr>
                <w:rFonts w:ascii="Cambria Math" w:hAnsi="Cambria Math"/>
              </w:rPr>
            </m:ctrlPr>
          </m:sSubPr>
          <m:e>
            <m:r>
              <w:rPr>
                <w:rFonts w:ascii="Cambria Math" w:hAnsi="Cambria Math"/>
              </w:rPr>
              <m:t>θ</m:t>
            </m:r>
          </m:e>
          <m:sub>
            <m:r>
              <w:rPr>
                <w:rFonts w:ascii="Cambria Math" w:hAnsi="Cambria Math"/>
              </w:rPr>
              <m:t>0</m:t>
            </m:r>
          </m:sub>
        </m:sSub>
      </m:oMath>
      <w:r>
        <w:t>.</w:t>
      </w:r>
    </w:p>
    <w:p w14:paraId="74E0405C" w14:textId="77777777" w:rsidR="00BC4721" w:rsidRDefault="00E728F1">
      <w:pPr>
        <w:pStyle w:val="BodyText"/>
      </w:pPr>
      <w:r>
        <w:t xml:space="preserve">Let’s assume that there is a new study with (unknown) effect estimate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new</m:t>
            </m:r>
          </m:sub>
        </m:sSub>
      </m:oMath>
      <w:r>
        <w:t xml:space="preserve"> , varia</w:t>
      </w:r>
      <w:r>
        <w:t xml:space="preserve">nce </w:t>
      </w:r>
      <m:oMath>
        <m:r>
          <w:rPr>
            <w:rFonts w:ascii="Cambria Math" w:hAnsi="Cambria Math"/>
          </w: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new</m:t>
                </m:r>
              </m:sub>
            </m:sSub>
          </m:e>
        </m:d>
      </m:oMath>
      <w:r>
        <w:t xml:space="preserve">, and weight </w:t>
      </w:r>
      <m:oMath>
        <m:sSub>
          <m:sSubPr>
            <m:ctrlPr>
              <w:rPr>
                <w:rFonts w:ascii="Cambria Math" w:hAnsi="Cambria Math"/>
              </w:rPr>
            </m:ctrlPr>
          </m:sSubPr>
          <m:e>
            <m:r>
              <w:rPr>
                <w:rFonts w:ascii="Cambria Math" w:hAnsi="Cambria Math"/>
              </w:rPr>
              <m:t>w</m:t>
            </m:r>
          </m:e>
          <m:sub>
            <m:r>
              <w:rPr>
                <w:rFonts w:ascii="Cambria Math" w:hAnsi="Cambria Math"/>
              </w:rPr>
              <m:t>new</m:t>
            </m:r>
          </m:sub>
        </m:sSub>
      </m:oMath>
      <w:r>
        <w:t>. Then once this new study is added to the meta-analysis, the updated results will be as follows:</w:t>
      </w:r>
    </w:p>
    <w:bookmarkStart w:id="5" w:name="eq-updated-estimate"/>
    <w:p w14:paraId="74E0405D" w14:textId="77777777" w:rsidR="00BC4721" w:rsidRDefault="00E728F1">
      <w:pPr>
        <w:pStyle w:val="BodyText"/>
      </w:pPr>
      <m:oMathPara>
        <m:oMathParaPr>
          <m:jc m:val="center"/>
        </m:oMathParaPr>
        <m:oMath>
          <m:acc>
            <m:accPr>
              <m:ctrlPr>
                <w:rPr>
                  <w:rFonts w:ascii="Cambria Math" w:hAnsi="Cambria Math"/>
                </w:rPr>
              </m:ctrlPr>
            </m:accPr>
            <m:e>
              <m:r>
                <w:rPr>
                  <w:rFonts w:ascii="Cambria Math" w:hAnsi="Cambria Math"/>
                </w:rPr>
                <m:t>θ</m:t>
              </m:r>
            </m:e>
          </m:acc>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new</m:t>
                  </m:r>
                </m:sub>
              </m:sSub>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new</m:t>
                  </m:r>
                </m:sub>
              </m:sSub>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new</m:t>
                  </m:r>
                </m:sub>
              </m:sSub>
            </m:den>
          </m:f>
          <m:r>
            <w:rPr>
              <w:rFonts w:ascii="Cambria Math" w:hAnsi="Cambria Math"/>
            </w:rPr>
            <m:t>  </m:t>
          </m:r>
          <m:d>
            <m:dPr>
              <m:ctrlPr>
                <w:rPr>
                  <w:rFonts w:ascii="Cambria Math" w:hAnsi="Cambria Math"/>
                </w:rPr>
              </m:ctrlPr>
            </m:dPr>
            <m:e>
              <m:r>
                <w:rPr>
                  <w:rFonts w:ascii="Cambria Math" w:hAnsi="Cambria Math"/>
                </w:rPr>
                <m:t>2</m:t>
              </m:r>
            </m:e>
          </m:d>
        </m:oMath>
      </m:oMathPara>
      <w:bookmarkEnd w:id="5"/>
    </w:p>
    <w:p w14:paraId="74E0405E" w14:textId="77777777" w:rsidR="00BC4721" w:rsidRDefault="00E728F1">
      <w:pPr>
        <w:pStyle w:val="FirstParagraph"/>
      </w:pPr>
      <w:bookmarkStart w:id="6" w:name="eq-updated-variance"/>
      <m:oMathPara>
        <m:oMathParaPr>
          <m:jc m:val="center"/>
        </m:oMathParaPr>
        <m:oMath>
          <m:r>
            <w:rPr>
              <w:rFonts w:ascii="Cambria Math" w:hAnsi="Cambria Math"/>
            </w:rPr>
            <m:t>var</m:t>
          </m:r>
          <m:d>
            <m:dPr>
              <m:ctrlPr>
                <w:rPr>
                  <w:rFonts w:ascii="Cambria Math" w:hAnsi="Cambria Math"/>
                </w:rPr>
              </m:ctrlPr>
            </m:dPr>
            <m:e>
              <m:acc>
                <m:accPr>
                  <m:ctrlPr>
                    <w:rPr>
                      <w:rFonts w:ascii="Cambria Math" w:hAnsi="Cambria Math"/>
                    </w:rPr>
                  </m:ctrlPr>
                </m:accPr>
                <m:e>
                  <m:r>
                    <w:rPr>
                      <w:rFonts w:ascii="Cambria Math" w:hAnsi="Cambria Math"/>
                    </w:rPr>
                    <m:t>θ</m:t>
                  </m:r>
                </m:e>
              </m:acc>
            </m:e>
          </m:d>
          <m:r>
            <m:rPr>
              <m:sty m:val="p"/>
            </m:rPr>
            <w:rPr>
              <w:rFonts w:ascii="Cambria Math" w:hAnsi="Cambria Math"/>
            </w:rPr>
            <m:t>=</m:t>
          </m:r>
          <m:f>
            <m:fPr>
              <m:ctrlPr>
                <w:rPr>
                  <w:rFonts w:ascii="Cambria Math" w:hAnsi="Cambria Math"/>
                </w:rPr>
              </m:ctrlPr>
            </m:fPr>
            <m:num>
              <m:r>
                <w:rPr>
                  <w:rFonts w:ascii="Cambria Math" w:hAnsi="Cambria Math"/>
                </w:rPr>
                <m:t>1</m:t>
              </m:r>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new</m:t>
                  </m:r>
                </m:sub>
              </m:sSub>
            </m:den>
          </m:f>
          <m:r>
            <w:rPr>
              <w:rFonts w:ascii="Cambria Math" w:hAnsi="Cambria Math"/>
            </w:rPr>
            <m:t>  </m:t>
          </m:r>
          <m:d>
            <m:dPr>
              <m:ctrlPr>
                <w:rPr>
                  <w:rFonts w:ascii="Cambria Math" w:hAnsi="Cambria Math"/>
                </w:rPr>
              </m:ctrlPr>
            </m:dPr>
            <m:e>
              <m:r>
                <w:rPr>
                  <w:rFonts w:ascii="Cambria Math" w:hAnsi="Cambria Math"/>
                </w:rPr>
                <m:t>3</m:t>
              </m:r>
            </m:e>
          </m:d>
        </m:oMath>
      </m:oMathPara>
      <w:bookmarkEnd w:id="6"/>
    </w:p>
    <w:p w14:paraId="74E0405F" w14:textId="77777777" w:rsidR="00BC4721" w:rsidRDefault="00E728F1">
      <w:pPr>
        <w:pStyle w:val="FirstParagraph"/>
      </w:pPr>
      <w:r>
        <w:lastRenderedPageBreak/>
        <w:t xml:space="preserve">where </w:t>
      </w:r>
      <m:oMath>
        <m:r>
          <w:rPr>
            <w:rFonts w:ascii="Cambria Math" w:hAnsi="Cambria Math"/>
          </w:rPr>
          <m:t>n</m:t>
        </m:r>
      </m:oMath>
      <w:r>
        <w:t xml:space="preserve"> is the number of stu</w:t>
      </w:r>
      <w:r>
        <w:t>dies in the original meta-analysis.</w:t>
      </w:r>
    </w:p>
    <w:p w14:paraId="74E04060" w14:textId="77777777" w:rsidR="00BC4721" w:rsidRDefault="00E728F1">
      <w:pPr>
        <w:pStyle w:val="BodyText"/>
      </w:pPr>
      <w:r>
        <w:t xml:space="preserve">By substituting </w:t>
      </w:r>
      <w:hyperlink w:anchor="eq-updated-estimate">
        <w:r>
          <w:rPr>
            <w:rStyle w:val="Hyperlink"/>
          </w:rPr>
          <w:t>Equation 2</w:t>
        </w:r>
      </w:hyperlink>
      <w:r>
        <w:t xml:space="preserve"> and </w:t>
      </w:r>
      <w:hyperlink w:anchor="eq-updated-variance">
        <w:r>
          <w:rPr>
            <w:rStyle w:val="Hyperlink"/>
          </w:rPr>
          <w:t>Equation 3</w:t>
        </w:r>
      </w:hyperlink>
      <w:r>
        <w:t xml:space="preserve"> into </w:t>
      </w:r>
      <w:hyperlink w:anchor="eq-ci">
        <w:r>
          <w:rPr>
            <w:rStyle w:val="Hyperlink"/>
          </w:rPr>
          <w:t>Equation 1</w:t>
        </w:r>
      </w:hyperlink>
      <w:r>
        <w:t xml:space="preserve">, and specifying that the upper or lower bound equals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we can get an expression for </w:t>
      </w:r>
      <m:oMath>
        <m:sSub>
          <m:sSubPr>
            <m:ctrlPr>
              <w:rPr>
                <w:rFonts w:ascii="Cambria Math" w:hAnsi="Cambria Math"/>
              </w:rPr>
            </m:ctrlPr>
          </m:sSubPr>
          <m:e>
            <m:r>
              <w:rPr>
                <w:rFonts w:ascii="Cambria Math" w:hAnsi="Cambria Math"/>
              </w:rPr>
              <m:t>θ</m:t>
            </m:r>
          </m:e>
          <m:sub>
            <m:r>
              <w:rPr>
                <w:rFonts w:ascii="Cambria Math" w:hAnsi="Cambria Math"/>
              </w:rPr>
              <m:t>new</m:t>
            </m:r>
          </m:sub>
        </m:sSub>
      </m:oMath>
      <w:r>
        <w:t xml:space="preserve"> in terms of other quantities:</w:t>
      </w:r>
    </w:p>
    <w:bookmarkStart w:id="7" w:name="eq-rearranged-theta-new"/>
    <w:p w14:paraId="74E04061" w14:textId="77777777" w:rsidR="00BC4721" w:rsidRDefault="00E728F1">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new</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w</m:t>
                  </m:r>
                </m:e>
                <m:sub>
                  <m:r>
                    <w:rPr>
                      <w:rFonts w:ascii="Cambria Math" w:hAnsi="Cambria Math"/>
                    </w:rPr>
                    <m:t>new</m:t>
                  </m:r>
                </m:sub>
              </m:sSub>
            </m:den>
          </m:f>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new</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t>
                  </m:r>
                </m:sub>
              </m:sSub>
            </m:e>
          </m:nary>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α</m:t>
                  </m:r>
                </m:num>
                <m:den>
                  <m:r>
                    <w:rPr>
                      <w:rFonts w:ascii="Cambria Math" w:hAnsi="Cambria Math"/>
                    </w:rPr>
                    <m:t>2</m:t>
                  </m:r>
                </m:den>
              </m:f>
            </m:e>
          </m:d>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new</m:t>
                  </m:r>
                </m:sub>
              </m:sSub>
            </m:e>
          </m:ra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bookmarkEnd w:id="7"/>
    </w:p>
    <w:p w14:paraId="74E04062" w14:textId="77777777" w:rsidR="00BC4721" w:rsidRDefault="00E728F1">
      <w:pPr>
        <w:pStyle w:val="FirstParagraph"/>
      </w:pPr>
      <w:r>
        <w:t>In a fixed-effects meta-analysis, each we</w:t>
      </w:r>
      <w:r>
        <w:t>ight is simply calculated as</w:t>
      </w:r>
    </w:p>
    <w:bookmarkStart w:id="8" w:name="eq-fixed-weight"/>
    <w:p w14:paraId="74E04063" w14:textId="77777777" w:rsidR="00BC4721" w:rsidRDefault="00E728F1">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t>
                      </m:r>
                    </m:sub>
                  </m:sSub>
                </m:e>
              </m:d>
            </m:den>
          </m:f>
          <m:r>
            <w:rPr>
              <w:rFonts w:ascii="Cambria Math" w:hAnsi="Cambria Math"/>
            </w:rPr>
            <m:t>  </m:t>
          </m:r>
          <m:d>
            <m:dPr>
              <m:ctrlPr>
                <w:rPr>
                  <w:rFonts w:ascii="Cambria Math" w:hAnsi="Cambria Math"/>
                </w:rPr>
              </m:ctrlPr>
            </m:dPr>
            <m:e>
              <m:r>
                <w:rPr>
                  <w:rFonts w:ascii="Cambria Math" w:hAnsi="Cambria Math"/>
                </w:rPr>
                <m:t>5</m:t>
              </m:r>
            </m:e>
          </m:d>
        </m:oMath>
      </m:oMathPara>
      <w:bookmarkEnd w:id="8"/>
    </w:p>
    <w:p w14:paraId="74E04064" w14:textId="77777777" w:rsidR="00BC4721" w:rsidRDefault="00E728F1">
      <w:pPr>
        <w:pStyle w:val="FirstParagraph"/>
      </w:pPr>
      <w:r>
        <w:t xml:space="preserve">Therefore, by substituting </w:t>
      </w:r>
      <w:hyperlink w:anchor="eq-fixed-weight">
        <w:r>
          <w:rPr>
            <w:rStyle w:val="Hyperlink"/>
          </w:rPr>
          <w:t>Equation 5</w:t>
        </w:r>
      </w:hyperlink>
      <w:r>
        <w:t xml:space="preserve"> into </w:t>
      </w:r>
      <w:hyperlink w:anchor="eq-rearranged-theta-new">
        <w:r>
          <w:rPr>
            <w:rStyle w:val="Hyperlink"/>
          </w:rPr>
          <w:t>Equation 4</w:t>
        </w:r>
      </w:hyperlink>
      <w:r>
        <w:t>, we then get an equation for the contour threshold on the estimate-va</w:t>
      </w:r>
      <w:r>
        <w:t>riance plane.</w:t>
      </w:r>
    </w:p>
    <w:p w14:paraId="74E04065" w14:textId="77777777" w:rsidR="00BC4721" w:rsidRDefault="00E728F1">
      <w:pPr>
        <w:pStyle w:val="Heading4"/>
      </w:pPr>
      <w:bookmarkStart w:id="9" w:name="two-new-studies"/>
      <w:bookmarkEnd w:id="3"/>
      <w:r>
        <w:t>Two new studies</w:t>
      </w:r>
    </w:p>
    <w:p w14:paraId="74E04066" w14:textId="77777777" w:rsidR="00BC4721" w:rsidRDefault="00E728F1">
      <w:pPr>
        <w:pStyle w:val="FirstParagraph"/>
      </w:pPr>
      <w:r>
        <w:t xml:space="preserve">When expanding from one new study to two new studies, </w:t>
      </w:r>
      <w:hyperlink w:anchor="eq-updated-estimate">
        <w:r>
          <w:rPr>
            <w:rStyle w:val="Hyperlink"/>
          </w:rPr>
          <w:t>Equation 2</w:t>
        </w:r>
      </w:hyperlink>
      <w:r>
        <w:t xml:space="preserve"> and </w:t>
      </w:r>
      <w:hyperlink w:anchor="eq-updated-variance">
        <w:r>
          <w:rPr>
            <w:rStyle w:val="Hyperlink"/>
          </w:rPr>
          <w:t>Equation 3</w:t>
        </w:r>
      </w:hyperlink>
      <w:r>
        <w:t xml:space="preserve"> become</w:t>
      </w:r>
    </w:p>
    <w:bookmarkStart w:id="10" w:name="eq-meta-theta-2studies"/>
    <w:p w14:paraId="74E04067" w14:textId="77777777" w:rsidR="00BC4721" w:rsidRDefault="00E728F1">
      <w:pPr>
        <w:pStyle w:val="BodyText"/>
      </w:pPr>
      <m:oMathPara>
        <m:oMathParaPr>
          <m:jc m:val="center"/>
        </m:oMathParaPr>
        <m:oMath>
          <m:acc>
            <m:accPr>
              <m:ctrlPr>
                <w:rPr>
                  <w:rFonts w:ascii="Cambria Math" w:hAnsi="Cambria Math"/>
                </w:rPr>
              </m:ctrlPr>
            </m:accPr>
            <m:e>
              <m:r>
                <w:rPr>
                  <w:rFonts w:ascii="Cambria Math" w:hAnsi="Cambria Math"/>
                </w:rPr>
                <m:t>θ</m:t>
              </m:r>
            </m:e>
          </m:acc>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r>
                    <w:rPr>
                      <w:rFonts w:ascii="Cambria Math" w:hAnsi="Cambria Math"/>
                    </w:rPr>
                    <m:t>1</m:t>
                  </m:r>
                </m:sub>
              </m:sSub>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r>
                    <w:rPr>
                      <w:rFonts w:ascii="Cambria Math" w:hAnsi="Cambria Math"/>
                    </w:rPr>
                    <m:t>2</m:t>
                  </m:r>
                </m:sub>
              </m:sSub>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m:t>
                  </m:r>
                  <m:r>
                    <w:rPr>
                      <w:rFonts w:ascii="Cambria Math" w:hAnsi="Cambria Math"/>
                    </w:rPr>
                    <m:t>2</m:t>
                  </m:r>
                </m:sub>
              </m:sSub>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r>
                    <w:rPr>
                      <w:rFonts w:ascii="Cambria Math" w:hAnsi="Cambria Math"/>
                    </w:rPr>
                    <m:t>2</m:t>
                  </m:r>
                </m:sub>
              </m:sSub>
            </m:den>
          </m:f>
          <m:r>
            <w:rPr>
              <w:rFonts w:ascii="Cambria Math" w:hAnsi="Cambria Math"/>
            </w:rPr>
            <m:t>  </m:t>
          </m:r>
          <m:d>
            <m:dPr>
              <m:ctrlPr>
                <w:rPr>
                  <w:rFonts w:ascii="Cambria Math" w:hAnsi="Cambria Math"/>
                </w:rPr>
              </m:ctrlPr>
            </m:dPr>
            <m:e>
              <m:r>
                <w:rPr>
                  <w:rFonts w:ascii="Cambria Math" w:hAnsi="Cambria Math"/>
                </w:rPr>
                <m:t>6</m:t>
              </m:r>
            </m:e>
          </m:d>
        </m:oMath>
      </m:oMathPara>
      <w:bookmarkEnd w:id="10"/>
    </w:p>
    <w:p w14:paraId="74E04068" w14:textId="77777777" w:rsidR="00BC4721" w:rsidRDefault="00E728F1">
      <w:pPr>
        <w:pStyle w:val="FirstParagraph"/>
      </w:pPr>
      <w:bookmarkStart w:id="11" w:name="eq-meta-variance-2studies"/>
      <m:oMathPara>
        <m:oMathParaPr>
          <m:jc m:val="center"/>
        </m:oMathParaPr>
        <m:oMath>
          <m:r>
            <w:rPr>
              <w:rFonts w:ascii="Cambria Math" w:hAnsi="Cambria Math"/>
            </w:rPr>
            <m:t>var</m:t>
          </m:r>
          <m:d>
            <m:dPr>
              <m:ctrlPr>
                <w:rPr>
                  <w:rFonts w:ascii="Cambria Math" w:hAnsi="Cambria Math"/>
                </w:rPr>
              </m:ctrlPr>
            </m:dPr>
            <m:e>
              <m:acc>
                <m:accPr>
                  <m:ctrlPr>
                    <w:rPr>
                      <w:rFonts w:ascii="Cambria Math" w:hAnsi="Cambria Math"/>
                    </w:rPr>
                  </m:ctrlPr>
                </m:accPr>
                <m:e>
                  <m:r>
                    <w:rPr>
                      <w:rFonts w:ascii="Cambria Math" w:hAnsi="Cambria Math"/>
                    </w:rPr>
                    <m:t>θ</m:t>
                  </m:r>
                </m:e>
              </m:acc>
            </m:e>
          </m:d>
          <m:r>
            <m:rPr>
              <m:sty m:val="p"/>
            </m:rPr>
            <w:rPr>
              <w:rFonts w:ascii="Cambria Math" w:hAnsi="Cambria Math"/>
            </w:rPr>
            <m:t>=</m:t>
          </m:r>
          <m:f>
            <m:fPr>
              <m:ctrlPr>
                <w:rPr>
                  <w:rFonts w:ascii="Cambria Math" w:hAnsi="Cambria Math"/>
                </w:rPr>
              </m:ctrlPr>
            </m:fPr>
            <m:num>
              <m:r>
                <w:rPr>
                  <w:rFonts w:ascii="Cambria Math" w:hAnsi="Cambria Math"/>
                </w:rPr>
                <m:t>1</m:t>
              </m:r>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r>
                    <w:rPr>
                      <w:rFonts w:ascii="Cambria Math" w:hAnsi="Cambria Math"/>
                    </w:rPr>
                    <m:t>2</m:t>
                  </m:r>
                </m:sub>
              </m:sSub>
            </m:den>
          </m:f>
          <m:r>
            <w:rPr>
              <w:rFonts w:ascii="Cambria Math" w:hAnsi="Cambria Math"/>
            </w:rPr>
            <m:t>  </m:t>
          </m:r>
          <m:d>
            <m:dPr>
              <m:ctrlPr>
                <w:rPr>
                  <w:rFonts w:ascii="Cambria Math" w:hAnsi="Cambria Math"/>
                </w:rPr>
              </m:ctrlPr>
            </m:dPr>
            <m:e>
              <m:r>
                <w:rPr>
                  <w:rFonts w:ascii="Cambria Math" w:hAnsi="Cambria Math"/>
                </w:rPr>
                <m:t>7</m:t>
              </m:r>
            </m:e>
          </m:d>
        </m:oMath>
      </m:oMathPara>
      <w:bookmarkEnd w:id="11"/>
    </w:p>
    <w:p w14:paraId="74E04069" w14:textId="77777777" w:rsidR="00BC4721" w:rsidRDefault="00E728F1">
      <w:pPr>
        <w:pStyle w:val="FirstParagraph"/>
      </w:pPr>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nj</m:t>
            </m:r>
          </m:sub>
        </m:sSub>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nj</m:t>
            </m:r>
          </m:sub>
        </m:sSub>
      </m:oMath>
      <w:r>
        <w:t xml:space="preserve"> are the estimates and weights of new studies respectively, where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w:t>
      </w:r>
    </w:p>
    <w:p w14:paraId="74E0406A" w14:textId="77777777" w:rsidR="00BC4721" w:rsidRDefault="00E728F1">
      <w:pPr>
        <w:pStyle w:val="BodyText"/>
      </w:pPr>
      <w:r>
        <w:t>Let</w:t>
      </w:r>
    </w:p>
    <w:bookmarkStart w:id="12" w:name="eq-weight-2studies"/>
    <w:p w14:paraId="74E0406B" w14:textId="77777777" w:rsidR="00BC4721" w:rsidRDefault="00E728F1">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r>
                <w:rPr>
                  <w:rFonts w:ascii="Cambria Math" w:hAnsi="Cambria Math"/>
                </w:rPr>
                <m:t>2</m:t>
              </m:r>
            </m:sub>
          </m:sSub>
          <m:r>
            <w:rPr>
              <w:rFonts w:ascii="Cambria Math" w:hAnsi="Cambria Math"/>
            </w:rPr>
            <m:t>  </m:t>
          </m:r>
          <m:d>
            <m:dPr>
              <m:ctrlPr>
                <w:rPr>
                  <w:rFonts w:ascii="Cambria Math" w:hAnsi="Cambria Math"/>
                </w:rPr>
              </m:ctrlPr>
            </m:dPr>
            <m:e>
              <m:r>
                <w:rPr>
                  <w:rFonts w:ascii="Cambria Math" w:hAnsi="Cambria Math"/>
                </w:rPr>
                <m:t>8</m:t>
              </m:r>
            </m:e>
          </m:d>
        </m:oMath>
      </m:oMathPara>
      <w:bookmarkEnd w:id="12"/>
    </w:p>
    <w:bookmarkStart w:id="13" w:name="eq-theta-2studies"/>
    <w:p w14:paraId="74E0406C" w14:textId="77777777" w:rsidR="00BC4721" w:rsidRDefault="00E728F1">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new</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n</m:t>
                  </m:r>
                  <m:r>
                    <w:rPr>
                      <w:rFonts w:ascii="Cambria Math" w:hAnsi="Cambria Math"/>
                    </w:rPr>
                    <m:t>1</m:t>
                  </m:r>
                </m:sub>
              </m:sSub>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r>
                    <w:rPr>
                      <w:rFonts w:ascii="Cambria Math" w:hAnsi="Cambria Math"/>
                    </w:rPr>
                    <m:t>2</m:t>
                  </m:r>
                </m:sub>
              </m:sSub>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m:t>
                  </m:r>
                  <m:r>
                    <w:rPr>
                      <w:rFonts w:ascii="Cambria Math" w:hAnsi="Cambria Math"/>
                    </w:rPr>
                    <m:t>2</m:t>
                  </m:r>
                </m:sub>
              </m:sSub>
            </m:num>
            <m:den>
              <m:sSub>
                <m:sSubPr>
                  <m:ctrlPr>
                    <w:rPr>
                      <w:rFonts w:ascii="Cambria Math" w:hAnsi="Cambria Math"/>
                    </w:rPr>
                  </m:ctrlPr>
                </m:sSubPr>
                <m:e>
                  <m:r>
                    <w:rPr>
                      <w:rFonts w:ascii="Cambria Math" w:hAnsi="Cambria Math"/>
                    </w:rPr>
                    <m:t>w</m:t>
                  </m:r>
                </m:e>
                <m:sub>
                  <m:r>
                    <w:rPr>
                      <w:rFonts w:ascii="Cambria Math" w:hAnsi="Cambria Math"/>
                    </w:rPr>
                    <m:t>n</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r>
                    <w:rPr>
                      <w:rFonts w:ascii="Cambria Math" w:hAnsi="Cambria Math"/>
                    </w:rPr>
                    <m:t>2</m:t>
                  </m:r>
                </m:sub>
              </m:sSub>
            </m:den>
          </m:f>
          <m:r>
            <w:rPr>
              <w:rFonts w:ascii="Cambria Math" w:hAnsi="Cambria Math"/>
            </w:rPr>
            <m:t>  </m:t>
          </m:r>
          <m:d>
            <m:dPr>
              <m:ctrlPr>
                <w:rPr>
                  <w:rFonts w:ascii="Cambria Math" w:hAnsi="Cambria Math"/>
                </w:rPr>
              </m:ctrlPr>
            </m:dPr>
            <m:e>
              <m:r>
                <w:rPr>
                  <w:rFonts w:ascii="Cambria Math" w:hAnsi="Cambria Math"/>
                </w:rPr>
                <m:t>9</m:t>
              </m:r>
            </m:e>
          </m:d>
        </m:oMath>
      </m:oMathPara>
      <w:bookmarkEnd w:id="13"/>
    </w:p>
    <w:p w14:paraId="74E0406D" w14:textId="77777777" w:rsidR="00BC4721" w:rsidRDefault="00E728F1">
      <w:pPr>
        <w:pStyle w:val="FirstParagraph"/>
      </w:pPr>
      <w:r>
        <w:t xml:space="preserve">Substituting </w:t>
      </w:r>
      <w:hyperlink w:anchor="eq-weight-2studies">
        <w:r>
          <w:rPr>
            <w:rStyle w:val="Hyperlink"/>
          </w:rPr>
          <w:t>Equation 8</w:t>
        </w:r>
      </w:hyperlink>
      <w:r>
        <w:t xml:space="preserve"> and </w:t>
      </w:r>
      <w:hyperlink w:anchor="eq-theta-2studies">
        <w:r>
          <w:rPr>
            <w:rStyle w:val="Hyperlink"/>
          </w:rPr>
          <w:t>Equation 9</w:t>
        </w:r>
      </w:hyperlink>
      <w:r>
        <w:t xml:space="preserve"> into </w:t>
      </w:r>
      <w:hyperlink w:anchor="eq-meta-theta-2studies">
        <w:r>
          <w:rPr>
            <w:rStyle w:val="Hyperlink"/>
          </w:rPr>
          <w:t>Equation 6</w:t>
        </w:r>
      </w:hyperlink>
      <w:r>
        <w:t xml:space="preserve"> and </w:t>
      </w:r>
      <w:hyperlink w:anchor="eq-meta-variance-2studies">
        <w:r>
          <w:rPr>
            <w:rStyle w:val="Hyperlink"/>
          </w:rPr>
          <w:t>Equation 7</w:t>
        </w:r>
      </w:hyperlink>
      <w:r>
        <w:t xml:space="preserve"> brings us back to equations</w:t>
      </w:r>
      <w:r>
        <w:t xml:space="preserve"> </w:t>
      </w:r>
      <w:hyperlink w:anchor="eq-updated-estimate">
        <w:r>
          <w:rPr>
            <w:rStyle w:val="Hyperlink"/>
          </w:rPr>
          <w:t>Equation 2</w:t>
        </w:r>
      </w:hyperlink>
      <w:r>
        <w:t xml:space="preserve"> and </w:t>
      </w:r>
      <w:hyperlink w:anchor="eq-updated-variance">
        <w:r>
          <w:rPr>
            <w:rStyle w:val="Hyperlink"/>
          </w:rPr>
          <w:t>Equation 3</w:t>
        </w:r>
      </w:hyperlink>
      <w:r>
        <w:t xml:space="preserve">. Therefore, everything else follows through as before, but with new definitions for </w:t>
      </w:r>
      <m:oMath>
        <m:sSub>
          <m:sSubPr>
            <m:ctrlPr>
              <w:rPr>
                <w:rFonts w:ascii="Cambria Math" w:hAnsi="Cambria Math"/>
              </w:rPr>
            </m:ctrlPr>
          </m:sSubPr>
          <m:e>
            <m:r>
              <w:rPr>
                <w:rFonts w:ascii="Cambria Math" w:hAnsi="Cambria Math"/>
              </w:rPr>
              <m:t>w</m:t>
            </m:r>
          </m:e>
          <m:sub>
            <m:r>
              <w:rPr>
                <w:rFonts w:ascii="Cambria Math" w:hAnsi="Cambria Math"/>
              </w:rPr>
              <m:t>new</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new</m:t>
            </m:r>
          </m:sub>
        </m:sSub>
      </m:oMath>
      <w:r>
        <w:t>.</w:t>
      </w:r>
    </w:p>
    <w:p w14:paraId="74E0406E" w14:textId="77777777" w:rsidR="00BC4721" w:rsidRDefault="00E728F1">
      <w:pPr>
        <w:pStyle w:val="Heading4"/>
      </w:pPr>
      <w:bookmarkStart w:id="14" w:name="multiple-new-studies"/>
      <w:bookmarkEnd w:id="9"/>
      <w:r>
        <w:t>Multiple new studies</w:t>
      </w:r>
    </w:p>
    <w:p w14:paraId="74E0406F" w14:textId="77777777" w:rsidR="00BC4721" w:rsidRDefault="00E728F1">
      <w:pPr>
        <w:pStyle w:val="FirstParagraph"/>
      </w:pPr>
      <w:r>
        <w:t>Where we are calc</w:t>
      </w:r>
      <w:r>
        <w:t xml:space="preserve">ulating the contour to </w:t>
      </w:r>
      <m:oMath>
        <m:r>
          <w:rPr>
            <w:rFonts w:ascii="Cambria Math" w:hAnsi="Cambria Math"/>
          </w:rPr>
          <m:t>m</m:t>
        </m:r>
      </m:oMath>
      <w:r>
        <w:t xml:space="preserve"> new studies, the equations follow as if it was one new study, but </w:t>
      </w:r>
      <m:oMath>
        <m:sSub>
          <m:sSubPr>
            <m:ctrlPr>
              <w:rPr>
                <w:rFonts w:ascii="Cambria Math" w:hAnsi="Cambria Math"/>
              </w:rPr>
            </m:ctrlPr>
          </m:sSubPr>
          <m:e>
            <m:r>
              <w:rPr>
                <w:rFonts w:ascii="Cambria Math" w:hAnsi="Cambria Math"/>
              </w:rPr>
              <m:t>w</m:t>
            </m:r>
          </m:e>
          <m:sub>
            <m:r>
              <w:rPr>
                <w:rFonts w:ascii="Cambria Math" w:hAnsi="Cambria Math"/>
              </w:rPr>
              <m:t>new</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new</m:t>
            </m:r>
          </m:sub>
        </m:sSub>
      </m:oMath>
      <w:r>
        <w:t xml:space="preserve"> are defined as</w:t>
      </w:r>
    </w:p>
    <w:p w14:paraId="74E04070" w14:textId="77777777" w:rsidR="00BC4721" w:rsidRDefault="00E728F1">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new</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nj</m:t>
                  </m:r>
                </m:sub>
              </m:sSub>
            </m:e>
          </m:nary>
        </m:oMath>
      </m:oMathPara>
    </w:p>
    <w:p w14:paraId="74E04071" w14:textId="77777777" w:rsidR="00BC4721" w:rsidRDefault="00E728F1">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new</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nj</m:t>
                      </m:r>
                    </m:sub>
                  </m:sSub>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nj</m:t>
                      </m:r>
                    </m:sub>
                  </m:sSub>
                </m:e>
              </m:nary>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nj</m:t>
                      </m:r>
                    </m:sub>
                  </m:sSub>
                </m:e>
              </m:nary>
            </m:den>
          </m:f>
        </m:oMath>
      </m:oMathPara>
    </w:p>
    <w:p w14:paraId="74E04072" w14:textId="77777777" w:rsidR="00BC4721" w:rsidRDefault="00E728F1">
      <w:pPr>
        <w:pStyle w:val="FirstParagraph"/>
      </w:pPr>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nj</m:t>
            </m:r>
          </m:sub>
        </m:sSub>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nj</m:t>
            </m:r>
          </m:sub>
        </m:sSub>
      </m:oMath>
      <w:r>
        <w:t xml:space="preserve"> </w:t>
      </w:r>
      <w:r>
        <w:t xml:space="preserve">are the estimates and weights of the new studies respectively, for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oMath>
      <w:r>
        <w:t>.</w:t>
      </w:r>
    </w:p>
    <w:p w14:paraId="74E04073" w14:textId="77777777" w:rsidR="00BC4721" w:rsidRDefault="00E728F1">
      <w:pPr>
        <w:pStyle w:val="Heading3"/>
      </w:pPr>
      <w:bookmarkStart w:id="15" w:name="specific-confidence-interval-bounds"/>
      <w:bookmarkEnd w:id="14"/>
      <w:bookmarkEnd w:id="2"/>
      <w:r>
        <w:t>Specific confidence interval bounds</w:t>
      </w:r>
    </w:p>
    <w:p w14:paraId="74E04074" w14:textId="77777777" w:rsidR="00BC4721" w:rsidRDefault="00E728F1">
      <w:pPr>
        <w:pStyle w:val="FirstParagraph"/>
      </w:pPr>
      <w:r>
        <w:t xml:space="preserve">Let’s suppose that instead of wanting a statistically significant pooled estimate, that the researchers are looking for the 95% CI bounds </w:t>
      </w:r>
      <w:r>
        <w:t>to be at a certain value (likely of clinical importance).</w:t>
      </w:r>
    </w:p>
    <w:p w14:paraId="74E04075" w14:textId="77777777" w:rsidR="00BC4721" w:rsidRDefault="00E728F1">
      <w:pPr>
        <w:pStyle w:val="BodyText"/>
      </w:pPr>
      <w:r>
        <w:t xml:space="preserve">With statistical significance, the contour equations are calculated from stating that the upper or lower bounds must touch the null value,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In this scenario, the contour equations would be calcu</w:t>
      </w:r>
      <w:r>
        <w:t>lated from the following thresholds:</w:t>
      </w:r>
    </w:p>
    <w:bookmarkStart w:id="16" w:name="eq-lower-bound"/>
    <w:p w14:paraId="74E04076" w14:textId="77777777" w:rsidR="00BC4721" w:rsidRDefault="00E728F1">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lower</m:t>
              </m:r>
            </m:sub>
          </m:sSub>
          <m:r>
            <m:rPr>
              <m:sty m:val="p"/>
            </m:rPr>
            <w:rPr>
              <w:rFonts w:ascii="Cambria Math" w:hAnsi="Cambria Math"/>
            </w:rPr>
            <m:t>=</m:t>
          </m:r>
          <m:acc>
            <m:accPr>
              <m:ctrlPr>
                <w:rPr>
                  <w:rFonts w:ascii="Cambria Math" w:hAnsi="Cambria Math"/>
                </w:rPr>
              </m:ctrlPr>
            </m:accPr>
            <m:e>
              <m:r>
                <w:rPr>
                  <w:rFonts w:ascii="Cambria Math" w:hAnsi="Cambria Math"/>
                </w:rPr>
                <m:t>θ</m:t>
              </m:r>
            </m:e>
          </m:acc>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α</m:t>
                  </m:r>
                </m:num>
                <m:den>
                  <m:r>
                    <w:rPr>
                      <w:rFonts w:ascii="Cambria Math" w:hAnsi="Cambria Math"/>
                    </w:rPr>
                    <m:t>2</m:t>
                  </m:r>
                </m:den>
              </m:f>
            </m:e>
          </m:d>
          <m:rad>
            <m:radPr>
              <m:degHide m:val="1"/>
              <m:ctrlPr>
                <w:rPr>
                  <w:rFonts w:ascii="Cambria Math" w:hAnsi="Cambria Math"/>
                </w:rPr>
              </m:ctrlPr>
            </m:radPr>
            <m:deg/>
            <m:e>
              <m:r>
                <w:rPr>
                  <w:rFonts w:ascii="Cambria Math" w:hAnsi="Cambria Math"/>
                </w:rPr>
                <m:t>var</m:t>
              </m:r>
              <m:d>
                <m:dPr>
                  <m:ctrlPr>
                    <w:rPr>
                      <w:rFonts w:ascii="Cambria Math" w:hAnsi="Cambria Math"/>
                    </w:rPr>
                  </m:ctrlPr>
                </m:dPr>
                <m:e>
                  <m:acc>
                    <m:accPr>
                      <m:ctrlPr>
                        <w:rPr>
                          <w:rFonts w:ascii="Cambria Math" w:hAnsi="Cambria Math"/>
                        </w:rPr>
                      </m:ctrlPr>
                    </m:accPr>
                    <m:e>
                      <m:r>
                        <w:rPr>
                          <w:rFonts w:ascii="Cambria Math" w:hAnsi="Cambria Math"/>
                        </w:rPr>
                        <m:t>θ</m:t>
                      </m:r>
                    </m:e>
                  </m:acc>
                </m:e>
              </m:d>
            </m:e>
          </m:rad>
          <m:r>
            <w:rPr>
              <w:rFonts w:ascii="Cambria Math" w:hAnsi="Cambria Math"/>
            </w:rPr>
            <m:t>  </m:t>
          </m:r>
          <m:d>
            <m:dPr>
              <m:ctrlPr>
                <w:rPr>
                  <w:rFonts w:ascii="Cambria Math" w:hAnsi="Cambria Math"/>
                </w:rPr>
              </m:ctrlPr>
            </m:dPr>
            <m:e>
              <m:r>
                <w:rPr>
                  <w:rFonts w:ascii="Cambria Math" w:hAnsi="Cambria Math"/>
                </w:rPr>
                <m:t>10</m:t>
              </m:r>
            </m:e>
          </m:d>
        </m:oMath>
      </m:oMathPara>
      <w:bookmarkEnd w:id="16"/>
    </w:p>
    <w:bookmarkStart w:id="17" w:name="eq-upper-bound"/>
    <w:p w14:paraId="74E04077" w14:textId="77777777" w:rsidR="00BC4721" w:rsidRDefault="00E728F1">
      <w:pPr>
        <w:pStyle w:val="FirstParagraph"/>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upper</m:t>
              </m:r>
            </m:sub>
          </m:sSub>
          <m:r>
            <m:rPr>
              <m:sty m:val="p"/>
            </m:rPr>
            <w:rPr>
              <w:rFonts w:ascii="Cambria Math" w:hAnsi="Cambria Math"/>
            </w:rPr>
            <m:t>=</m:t>
          </m:r>
          <m:acc>
            <m:accPr>
              <m:ctrlPr>
                <w:rPr>
                  <w:rFonts w:ascii="Cambria Math" w:hAnsi="Cambria Math"/>
                </w:rPr>
              </m:ctrlPr>
            </m:accPr>
            <m:e>
              <m:r>
                <w:rPr>
                  <w:rFonts w:ascii="Cambria Math" w:hAnsi="Cambria Math"/>
                </w:rPr>
                <m:t>θ</m:t>
              </m:r>
            </m:e>
          </m:acc>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α</m:t>
                  </m:r>
                </m:num>
                <m:den>
                  <m:r>
                    <w:rPr>
                      <w:rFonts w:ascii="Cambria Math" w:hAnsi="Cambria Math"/>
                    </w:rPr>
                    <m:t>2</m:t>
                  </m:r>
                </m:den>
              </m:f>
            </m:e>
          </m:d>
          <m:rad>
            <m:radPr>
              <m:degHide m:val="1"/>
              <m:ctrlPr>
                <w:rPr>
                  <w:rFonts w:ascii="Cambria Math" w:hAnsi="Cambria Math"/>
                </w:rPr>
              </m:ctrlPr>
            </m:radPr>
            <m:deg/>
            <m:e>
              <m:r>
                <w:rPr>
                  <w:rFonts w:ascii="Cambria Math" w:hAnsi="Cambria Math"/>
                </w:rPr>
                <m:t>var</m:t>
              </m:r>
              <m:d>
                <m:dPr>
                  <m:ctrlPr>
                    <w:rPr>
                      <w:rFonts w:ascii="Cambria Math" w:hAnsi="Cambria Math"/>
                    </w:rPr>
                  </m:ctrlPr>
                </m:dPr>
                <m:e>
                  <m:acc>
                    <m:accPr>
                      <m:ctrlPr>
                        <w:rPr>
                          <w:rFonts w:ascii="Cambria Math" w:hAnsi="Cambria Math"/>
                        </w:rPr>
                      </m:ctrlPr>
                    </m:accPr>
                    <m:e>
                      <m:r>
                        <w:rPr>
                          <w:rFonts w:ascii="Cambria Math" w:hAnsi="Cambria Math"/>
                        </w:rPr>
                        <m:t>θ</m:t>
                      </m:r>
                    </m:e>
                  </m:acc>
                </m:e>
              </m:d>
            </m:e>
          </m:rad>
          <m:r>
            <w:rPr>
              <w:rFonts w:ascii="Cambria Math" w:hAnsi="Cambria Math"/>
            </w:rPr>
            <m:t>  </m:t>
          </m:r>
          <m:d>
            <m:dPr>
              <m:ctrlPr>
                <w:rPr>
                  <w:rFonts w:ascii="Cambria Math" w:hAnsi="Cambria Math"/>
                </w:rPr>
              </m:ctrlPr>
            </m:dPr>
            <m:e>
              <m:r>
                <w:rPr>
                  <w:rFonts w:ascii="Cambria Math" w:hAnsi="Cambria Math"/>
                </w:rPr>
                <m:t>11</m:t>
              </m:r>
            </m:e>
          </m:d>
        </m:oMath>
      </m:oMathPara>
      <w:bookmarkEnd w:id="17"/>
    </w:p>
    <w:p w14:paraId="74E04078" w14:textId="77777777" w:rsidR="00BC4721" w:rsidRDefault="00E728F1">
      <w:pPr>
        <w:pStyle w:val="FirstParagraph"/>
      </w:pPr>
      <w:r>
        <w:t xml:space="preserve">where </w:t>
      </w:r>
      <m:oMath>
        <m:sSub>
          <m:sSubPr>
            <m:ctrlPr>
              <w:rPr>
                <w:rFonts w:ascii="Cambria Math" w:hAnsi="Cambria Math"/>
              </w:rPr>
            </m:ctrlPr>
          </m:sSubPr>
          <m:e>
            <m:r>
              <w:rPr>
                <w:rFonts w:ascii="Cambria Math" w:hAnsi="Cambria Math"/>
              </w:rPr>
              <m:t>θ</m:t>
            </m:r>
          </m:e>
          <m:sub>
            <m:r>
              <w:rPr>
                <w:rFonts w:ascii="Cambria Math" w:hAnsi="Cambria Math"/>
              </w:rPr>
              <m:t>lower</m:t>
            </m:r>
          </m:sub>
        </m:sSub>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upper</m:t>
            </m:r>
          </m:sub>
        </m:sSub>
      </m:oMath>
      <w:r>
        <w:t xml:space="preserve"> are the user-defined lower and upper 95% CI bounds of interest.</w:t>
      </w:r>
    </w:p>
    <w:p w14:paraId="74E04079" w14:textId="77777777" w:rsidR="00BC4721" w:rsidRDefault="00E728F1">
      <w:pPr>
        <w:pStyle w:val="BodyText"/>
      </w:pPr>
      <w:r>
        <w:t xml:space="preserve">Substituting </w:t>
      </w:r>
      <w:hyperlink w:anchor="eq-updated-estimate">
        <w:r>
          <w:rPr>
            <w:rStyle w:val="Hyperlink"/>
          </w:rPr>
          <w:t>Equation 2</w:t>
        </w:r>
      </w:hyperlink>
      <w:r>
        <w:t xml:space="preserve"> and </w:t>
      </w:r>
      <w:hyperlink w:anchor="eq-updated-variance">
        <w:r>
          <w:rPr>
            <w:rStyle w:val="Hyperlink"/>
          </w:rPr>
          <w:t>Equation 3</w:t>
        </w:r>
      </w:hyperlink>
      <w:r>
        <w:t xml:space="preserve"> into </w:t>
      </w:r>
      <w:hyperlink w:anchor="eq-lower-bound">
        <w:r>
          <w:rPr>
            <w:rStyle w:val="Hyperlink"/>
          </w:rPr>
          <w:t>Equation 10</w:t>
        </w:r>
      </w:hyperlink>
      <w:r>
        <w:t xml:space="preserve"> and </w:t>
      </w:r>
      <w:hyperlink w:anchor="eq-upper-bound">
        <w:r>
          <w:rPr>
            <w:rStyle w:val="Hyperlink"/>
          </w:rPr>
          <w:t>Equation 11</w:t>
        </w:r>
      </w:hyperlink>
      <w:r>
        <w:t xml:space="preserve">, and rearranging gives the following expression(s) for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new</m:t>
            </m:r>
          </m:sub>
        </m:sSub>
      </m:oMath>
      <w:r>
        <w:t>.</w:t>
      </w:r>
    </w:p>
    <w:p w14:paraId="74E0407A" w14:textId="77777777" w:rsidR="00BC4721" w:rsidRDefault="00E728F1">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new</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w</m:t>
                  </m:r>
                </m:e>
                <m:sub>
                  <m:r>
                    <w:rPr>
                      <w:rFonts w:ascii="Cambria Math" w:hAnsi="Cambria Math"/>
                    </w:rPr>
                    <m:t>new</m:t>
                  </m:r>
                </m:sub>
              </m:sSub>
            </m:den>
          </m:f>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lower</m:t>
              </m:r>
            </m:sub>
          </m:sSub>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new</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t>
                  </m:r>
                </m:sub>
              </m:sSub>
            </m:e>
          </m:nary>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α</m:t>
                  </m:r>
                </m:num>
                <m:den>
                  <m:r>
                    <w:rPr>
                      <w:rFonts w:ascii="Cambria Math" w:hAnsi="Cambria Math"/>
                    </w:rPr>
                    <m:t>2</m:t>
                  </m:r>
                </m:den>
              </m:f>
            </m:e>
          </m:d>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new</m:t>
                  </m:r>
                </m:sub>
              </m:sSub>
            </m:e>
          </m:rad>
          <m:r>
            <m:rPr>
              <m:sty m:val="p"/>
            </m:rPr>
            <w:rPr>
              <w:rFonts w:ascii="Cambria Math" w:hAnsi="Cambria Math"/>
            </w:rPr>
            <m:t>}</m:t>
          </m:r>
        </m:oMath>
      </m:oMathPara>
    </w:p>
    <w:p w14:paraId="74E0407B" w14:textId="77777777" w:rsidR="00BC4721" w:rsidRDefault="00E728F1">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new</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w</m:t>
                  </m:r>
                </m:e>
                <m:sub>
                  <m:r>
                    <w:rPr>
                      <w:rFonts w:ascii="Cambria Math" w:hAnsi="Cambria Math"/>
                    </w:rPr>
                    <m:t>new</m:t>
                  </m:r>
                </m:sub>
              </m:sSub>
            </m:den>
          </m:f>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upper</m:t>
              </m:r>
            </m:sub>
          </m:sSub>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new</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t>
                  </m:r>
                </m:sub>
              </m:sSub>
            </m:e>
          </m:nary>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α</m:t>
                  </m:r>
                </m:num>
                <m:den>
                  <m:r>
                    <w:rPr>
                      <w:rFonts w:ascii="Cambria Math" w:hAnsi="Cambria Math"/>
                    </w:rPr>
                    <m:t>2</m:t>
                  </m:r>
                </m:den>
              </m:f>
            </m:e>
          </m:d>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new</m:t>
                  </m:r>
                </m:sub>
              </m:sSub>
            </m:e>
          </m:rad>
          <m:r>
            <m:rPr>
              <m:sty m:val="p"/>
            </m:rPr>
            <w:rPr>
              <w:rFonts w:ascii="Cambria Math" w:hAnsi="Cambria Math"/>
            </w:rPr>
            <m:t>}</m:t>
          </m:r>
        </m:oMath>
      </m:oMathPara>
    </w:p>
    <w:p w14:paraId="74E0407C" w14:textId="77777777" w:rsidR="00BC4721" w:rsidRDefault="00E728F1">
      <w:pPr>
        <w:pStyle w:val="FirstParagraph"/>
      </w:pPr>
      <w:r>
        <w:t>Whilst in the fixed-effects framework, the extensions to multiple new studies is the same here as for statistical significance.</w:t>
      </w:r>
    </w:p>
    <w:p w14:paraId="74E0407D" w14:textId="77777777" w:rsidR="00BC4721" w:rsidRDefault="00E728F1">
      <w:pPr>
        <w:pStyle w:val="Heading2"/>
      </w:pPr>
      <w:bookmarkStart w:id="18" w:name="random-effects"/>
      <w:bookmarkEnd w:id="15"/>
      <w:bookmarkEnd w:id="1"/>
      <w:r>
        <w:t>Random-effects</w:t>
      </w:r>
    </w:p>
    <w:p w14:paraId="74E0407E" w14:textId="77777777" w:rsidR="00BC4721" w:rsidRDefault="00E728F1">
      <w:pPr>
        <w:pStyle w:val="FirstParagraph"/>
      </w:pPr>
      <w:r>
        <w:t xml:space="preserve">When working in the random-effects framework things get more complex as </w:t>
      </w:r>
      <m:oMath>
        <m:sSup>
          <m:sSupPr>
            <m:ctrlPr>
              <w:rPr>
                <w:rFonts w:ascii="Cambria Math" w:hAnsi="Cambria Math"/>
              </w:rPr>
            </m:ctrlPr>
          </m:sSupPr>
          <m:e>
            <m:r>
              <w:rPr>
                <w:rFonts w:ascii="Cambria Math" w:hAnsi="Cambria Math"/>
              </w:rPr>
              <m:t>τ</m:t>
            </m:r>
          </m:e>
          <m:sup>
            <m:r>
              <w:rPr>
                <w:rFonts w:ascii="Cambria Math" w:hAnsi="Cambria Math"/>
              </w:rPr>
              <m:t>2</m:t>
            </m:r>
          </m:sup>
        </m:sSup>
        <m:r>
          <m:rPr>
            <m:sty m:val="p"/>
          </m:rPr>
          <w:rPr>
            <w:rFonts w:ascii="Cambria Math" w:hAnsi="Cambria Math"/>
          </w:rPr>
          <m:t>≠</m:t>
        </m:r>
        <m:r>
          <w:rPr>
            <w:rFonts w:ascii="Cambria Math" w:hAnsi="Cambria Math"/>
          </w:rPr>
          <m:t>0</m:t>
        </m:r>
      </m:oMath>
      <w:r>
        <w:t xml:space="preserve"> and is estimated from the studies i</w:t>
      </w:r>
      <w:r>
        <w:t>n the meta-analysis, including the new studies.</w:t>
      </w:r>
    </w:p>
    <w:p w14:paraId="74E0407F" w14:textId="77777777" w:rsidR="00BC4721" w:rsidRDefault="00E728F1">
      <w:pPr>
        <w:pStyle w:val="BodyText"/>
      </w:pPr>
      <w:r>
        <w:t xml:space="preserve">Let’s start again with only considering one new study and aiming for a meta-analysis with statistical significance at the </w:t>
      </w:r>
      <m:oMath>
        <m:r>
          <w:rPr>
            <w:rFonts w:ascii="Cambria Math" w:hAnsi="Cambria Math"/>
          </w:rPr>
          <m:t>α</m:t>
        </m:r>
        <m:r>
          <m:rPr>
            <m:sty m:val="p"/>
          </m:rPr>
          <w:rPr>
            <w:rFonts w:ascii="Cambria Math" w:hAnsi="Cambria Math"/>
          </w:rPr>
          <m:t>=</m:t>
        </m:r>
        <m:r>
          <w:rPr>
            <w:rFonts w:ascii="Cambria Math" w:hAnsi="Cambria Math"/>
          </w:rPr>
          <m:t>0.05</m:t>
        </m:r>
      </m:oMath>
      <w:r>
        <w:t xml:space="preserve"> level.</w:t>
      </w:r>
    </w:p>
    <w:p w14:paraId="74E04080" w14:textId="77777777" w:rsidR="00BC4721" w:rsidRDefault="00E728F1">
      <w:pPr>
        <w:pStyle w:val="BodyText"/>
      </w:pPr>
      <w:r>
        <w:t xml:space="preserve">Under a random-effects framework, the weight for each study is instead </w:t>
      </w:r>
      <w:r>
        <w:t>calculated as</w:t>
      </w:r>
    </w:p>
    <w:bookmarkStart w:id="19" w:name="eq-random-weight"/>
    <w:p w14:paraId="74E04081" w14:textId="77777777" w:rsidR="00BC4721" w:rsidRDefault="00E728F1">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t>
                      </m:r>
                    </m:sub>
                  </m:sSub>
                </m:e>
              </m:d>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den>
          </m:f>
          <m:r>
            <w:rPr>
              <w:rFonts w:ascii="Cambria Math" w:hAnsi="Cambria Math"/>
            </w:rPr>
            <m:t>  </m:t>
          </m:r>
          <m:d>
            <m:dPr>
              <m:ctrlPr>
                <w:rPr>
                  <w:rFonts w:ascii="Cambria Math" w:hAnsi="Cambria Math"/>
                </w:rPr>
              </m:ctrlPr>
            </m:dPr>
            <m:e>
              <m:r>
                <w:rPr>
                  <w:rFonts w:ascii="Cambria Math" w:hAnsi="Cambria Math"/>
                </w:rPr>
                <m:t>12</m:t>
              </m:r>
            </m:e>
          </m:d>
        </m:oMath>
      </m:oMathPara>
      <w:bookmarkEnd w:id="19"/>
    </w:p>
    <w:p w14:paraId="74E04082" w14:textId="77777777" w:rsidR="00BC4721" w:rsidRDefault="00E728F1">
      <w:pPr>
        <w:pStyle w:val="FirstParagraph"/>
      </w:pPr>
      <w:r>
        <w:t xml:space="preserve">Unfortunately,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the between-study heterogeneity which is calculated from all studies, is too complicated to estimate by hand, and so researchers often use established estimators instead, such as the DerSimonian-La</w:t>
      </w:r>
      <w:r>
        <w:t>ird estimator or Restricted Maximum Likelihood.</w:t>
      </w:r>
    </w:p>
    <w:p w14:paraId="74E04083" w14:textId="77777777" w:rsidR="00BC4721" w:rsidRDefault="00E728F1">
      <w:pPr>
        <w:pStyle w:val="BodyText"/>
      </w:pPr>
      <w:r>
        <w:t>As such, an equation to form the contour thresholds cannot be derived as was done for the fixed-effects framework. Instead, as per Langan et. al., the standard error-estimate plane is broken down into ‘pixels</w:t>
      </w:r>
      <w:r>
        <w:t xml:space="preserve">’, where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is estimated at each pixel (calculated from the original studies as well as the new study represented by the pixel). For each pixel,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value,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new</m:t>
            </m:r>
          </m:sub>
        </m:sSub>
      </m:oMath>
      <w:r>
        <w:t xml:space="preserve">, and </w:t>
      </w:r>
      <m:oMath>
        <m:r>
          <w:rPr>
            <w:rFonts w:ascii="Cambria Math" w:hAnsi="Cambria Math"/>
          </w: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new</m:t>
                </m:r>
              </m:sub>
            </m:sSub>
          </m:e>
        </m:d>
      </m:oMath>
      <w:r>
        <w:t xml:space="preserve"> are plugged into the meta-analysis equations ( </w:t>
      </w:r>
      <w:hyperlink w:anchor="eq-updated-estimate">
        <w:r>
          <w:rPr>
            <w:rStyle w:val="Hyperlink"/>
          </w:rPr>
          <w:t>Equation 2</w:t>
        </w:r>
      </w:hyperlink>
      <w:r>
        <w:t xml:space="preserve"> and </w:t>
      </w:r>
      <w:hyperlink w:anchor="eq-updated-variance">
        <w:r>
          <w:rPr>
            <w:rStyle w:val="Hyperlink"/>
          </w:rPr>
          <w:t>Equation 3</w:t>
        </w:r>
      </w:hyperlink>
      <w:r>
        <w:t xml:space="preserve">), but using the weights calculated in </w:t>
      </w:r>
      <w:hyperlink w:anchor="eq-random-weight">
        <w:r>
          <w:rPr>
            <w:rStyle w:val="Hyperlink"/>
          </w:rPr>
          <w:t>Equation 12</w:t>
        </w:r>
      </w:hyperlink>
      <w:r>
        <w:t>, and noted whether or not the threshold was crossed (i.e. whether 95% CI was one</w:t>
      </w:r>
      <w:r>
        <w:t xml:space="preserve"> side of null effect). The result at each pixel is coloured according to whether the threshold was met. This easily extends to the clinical bound thresholds as well as the statistical significance.</w:t>
      </w:r>
    </w:p>
    <w:p w14:paraId="74E04084" w14:textId="77777777" w:rsidR="00BC4721" w:rsidRDefault="00E728F1">
      <w:pPr>
        <w:pStyle w:val="Heading3"/>
      </w:pPr>
      <w:bookmarkStart w:id="20" w:name="multiple-new-studies-1"/>
      <w:r>
        <w:t>Multiple new studies</w:t>
      </w:r>
    </w:p>
    <w:p w14:paraId="74E04085" w14:textId="77777777" w:rsidR="00BC4721" w:rsidRDefault="00E728F1">
      <w:pPr>
        <w:pStyle w:val="FirstParagraph"/>
      </w:pPr>
      <w:r>
        <w:t>Under the fixed-effects model, the we</w:t>
      </w:r>
      <w:r>
        <w:t>ighted sum of the new studies became the point that visually represented whether the updated meta-analysis was in a certain zone (as created by the contours). This worked because the lack of between-study heterogeneity simplified the maths to weighted aver</w:t>
      </w:r>
      <w:r>
        <w:t xml:space="preserve">ages (see </w:t>
      </w:r>
      <w:hyperlink w:anchor="multiple-new-studies">
        <w:r>
          <w:rPr>
            <w:rStyle w:val="Hyperlink"/>
          </w:rPr>
          <w:t>Multiple new studies</w:t>
        </w:r>
      </w:hyperlink>
      <w:r>
        <w:t>).</w:t>
      </w:r>
    </w:p>
    <w:p w14:paraId="74E04086" w14:textId="77777777" w:rsidR="00BC4721" w:rsidRDefault="00E728F1">
      <w:pPr>
        <w:pStyle w:val="BodyText"/>
      </w:pPr>
      <w:r>
        <w:t>Under the random-effects model, we have to take the estimate-variance plane ‘pixel-by-pixel’</w:t>
      </w:r>
      <w:r>
        <w:t>. When there was one new study, this was simple as the pixel had one set of possible values ‘attached’ to it that were easily obtained. When considering multiple new studies, the idea of using the ‘average’ of the new studies doesn’t work, as we cannot kno</w:t>
      </w:r>
      <w:r>
        <w:t xml:space="preserve">w from what new studies created the ‘average’ represented by the pixel. Furthermore, there would be no way of estimating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without estimates of the new studies represented by the ‘average’. For a single pixel representing the new studies ‘average’, witho</w:t>
      </w:r>
      <w:r>
        <w:t xml:space="preserve">ut the new studies data, there could be multiple values of </w:t>
      </w:r>
      <m:oMath>
        <m:sSup>
          <m:sSupPr>
            <m:ctrlPr>
              <w:rPr>
                <w:rFonts w:ascii="Cambria Math" w:hAnsi="Cambria Math"/>
              </w:rPr>
            </m:ctrlPr>
          </m:sSupPr>
          <m:e>
            <m:r>
              <w:rPr>
                <w:rFonts w:ascii="Cambria Math" w:hAnsi="Cambria Math"/>
              </w:rPr>
              <m:t>τ</m:t>
            </m:r>
          </m:e>
          <m:sup>
            <m:r>
              <w:rPr>
                <w:rFonts w:ascii="Cambria Math" w:hAnsi="Cambria Math"/>
              </w:rPr>
              <m:t>2</m:t>
            </m:r>
          </m:sup>
        </m:sSup>
      </m:oMath>
      <w:r>
        <w:t>.</w:t>
      </w:r>
    </w:p>
    <w:p w14:paraId="74E04087" w14:textId="3336DDA7" w:rsidR="00BC4721" w:rsidRDefault="00E728F1">
      <w:pPr>
        <w:pStyle w:val="BodyText"/>
      </w:pPr>
      <w:r>
        <w:rPr>
          <w:b/>
          <w:bCs/>
        </w:rPr>
        <w:t>We have to assume a constant</w:t>
      </w:r>
      <w:r>
        <w:t xml:space="preserve"> </w:t>
      </w:r>
      <m:oMath>
        <m:sSup>
          <m:sSupPr>
            <m:ctrlPr>
              <w:rPr>
                <w:rFonts w:ascii="Cambria Math" w:hAnsi="Cambria Math"/>
                <w:i/>
              </w:rPr>
            </m:ctrlPr>
          </m:sSupPr>
          <m:e>
            <m:r>
              <w:rPr>
                <w:rFonts w:ascii="Cambria Math" w:hAnsi="Cambria Math"/>
              </w:rPr>
              <m:t>τ</m:t>
            </m:r>
          </m:e>
          <m:sup>
            <m:r>
              <w:rPr>
                <w:rFonts w:ascii="Cambria Math" w:hAnsi="Cambria Math"/>
              </w:rPr>
              <m:t>2</m:t>
            </m:r>
          </m:sup>
        </m:sSup>
      </m:oMath>
      <w:r>
        <w:t xml:space="preserve"> </w:t>
      </w:r>
      <w:r>
        <w:rPr>
          <w:b/>
          <w:bCs/>
        </w:rPr>
        <w:t>across all pixels in the plane.</w:t>
      </w:r>
    </w:p>
    <w:p w14:paraId="74E04088" w14:textId="77777777" w:rsidR="00BC4721" w:rsidRDefault="00E728F1">
      <w:pPr>
        <w:pStyle w:val="BodyText"/>
      </w:pPr>
      <w:r>
        <w:t xml:space="preserve">The estimated between-study heterogeneity from the updated meta-analysis is proposed as the common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across all pixels. Whils</w:t>
      </w:r>
      <w:r>
        <w:t>t this may be a strong assumption as you get to more ‘extreme’ pixels/values, the new studies ‘average’ would at least sit in the correct section of the plot (as per the fixed-effects).</w:t>
      </w:r>
    </w:p>
    <w:p w14:paraId="74E04089" w14:textId="77777777" w:rsidR="00BC4721" w:rsidRDefault="00E728F1">
      <w:pPr>
        <w:pStyle w:val="BodyText"/>
      </w:pPr>
      <w:r>
        <w:t>The new studies ‘average’ that would be plotted (in addition to all th</w:t>
      </w:r>
      <w:r>
        <w:t>e new studies) would be calculated as</w:t>
      </w:r>
    </w:p>
    <w:p w14:paraId="74E0408A" w14:textId="77777777" w:rsidR="00BC4721" w:rsidRDefault="00E728F1">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acc>
                <m:accPr>
                  <m:chr m:val="‾"/>
                  <m:ctrlPr>
                    <w:rPr>
                      <w:rFonts w:ascii="Cambria Math" w:hAnsi="Cambria Math"/>
                    </w:rPr>
                  </m:ctrlPr>
                </m:accPr>
                <m:e>
                  <m:r>
                    <w:rPr>
                      <w:rFonts w:ascii="Cambria Math" w:hAnsi="Cambria Math"/>
                    </w:rPr>
                    <m:t>new</m:t>
                  </m:r>
                </m:e>
              </m:acc>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nj</m:t>
                          </m:r>
                        </m:sub>
                      </m:sSub>
                    </m:num>
                    <m:den>
                      <m:r>
                        <w:rPr>
                          <w:rFonts w:ascii="Cambria Math" w:hAnsi="Cambria Math"/>
                        </w: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nj</m:t>
                              </m:r>
                            </m:sub>
                          </m:sSub>
                        </m:e>
                      </m:d>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den>
                  </m:f>
                </m:e>
              </m:nary>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f>
                    <m:fPr>
                      <m:ctrlPr>
                        <w:rPr>
                          <w:rFonts w:ascii="Cambria Math" w:hAnsi="Cambria Math"/>
                        </w:rPr>
                      </m:ctrlPr>
                    </m:fPr>
                    <m:num>
                      <m:r>
                        <w:rPr>
                          <w:rFonts w:ascii="Cambria Math" w:hAnsi="Cambria Math"/>
                        </w:rPr>
                        <m:t>1</m:t>
                      </m:r>
                    </m:num>
                    <m:den>
                      <m:r>
                        <w:rPr>
                          <w:rFonts w:ascii="Cambria Math" w:hAnsi="Cambria Math"/>
                        </w: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nj</m:t>
                              </m:r>
                            </m:sub>
                          </m:sSub>
                        </m:e>
                      </m:d>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den>
                  </m:f>
                </m:e>
              </m:nary>
            </m:den>
          </m:f>
        </m:oMath>
      </m:oMathPara>
    </w:p>
    <w:p w14:paraId="74E0408B" w14:textId="77777777" w:rsidR="00BC4721" w:rsidRDefault="00E728F1">
      <w:pPr>
        <w:pStyle w:val="FirstParagraph"/>
      </w:pPr>
      <m:oMathPara>
        <m:oMathParaPr>
          <m:jc m:val="center"/>
        </m:oMathParaPr>
        <m:oMath>
          <m:r>
            <w:rPr>
              <w:rFonts w:ascii="Cambria Math" w:hAnsi="Cambria Math"/>
            </w: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acc>
                    <m:accPr>
                      <m:chr m:val="‾"/>
                      <m:ctrlPr>
                        <w:rPr>
                          <w:rFonts w:ascii="Cambria Math" w:hAnsi="Cambria Math"/>
                        </w:rPr>
                      </m:ctrlPr>
                    </m:accPr>
                    <m:e>
                      <m:r>
                        <w:rPr>
                          <w:rFonts w:ascii="Cambria Math" w:hAnsi="Cambria Math"/>
                        </w:rPr>
                        <m:t>new</m:t>
                      </m:r>
                    </m:e>
                  </m:acc>
                </m:sub>
              </m:sSub>
            </m:e>
          </m:d>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f>
                <m:fPr>
                  <m:ctrlPr>
                    <w:rPr>
                      <w:rFonts w:ascii="Cambria Math" w:hAnsi="Cambria Math"/>
                    </w:rPr>
                  </m:ctrlPr>
                </m:fPr>
                <m:num>
                  <m:r>
                    <w:rPr>
                      <w:rFonts w:ascii="Cambria Math" w:hAnsi="Cambria Math"/>
                    </w:rPr>
                    <m:t>1</m:t>
                  </m:r>
                </m:num>
                <m:den>
                  <m:r>
                    <w:rPr>
                      <w:rFonts w:ascii="Cambria Math" w:hAnsi="Cambria Math"/>
                    </w: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nj</m:t>
                          </m:r>
                        </m:sub>
                      </m:sSub>
                    </m:e>
                  </m:d>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den>
              </m:f>
            </m:e>
          </m:nary>
        </m:oMath>
      </m:oMathPara>
    </w:p>
    <w:p w14:paraId="74E0408C" w14:textId="77777777" w:rsidR="00BC4721" w:rsidRDefault="00E728F1">
      <w:pPr>
        <w:pStyle w:val="FirstParagraph"/>
      </w:pPr>
      <w:r>
        <w:t xml:space="preserve">where </w:t>
      </w:r>
      <m:oMath>
        <m:r>
          <w:rPr>
            <w:rFonts w:ascii="Cambria Math" w:hAnsi="Cambria Math"/>
          </w:rPr>
          <m:t>m</m:t>
        </m:r>
      </m:oMath>
      <w:r>
        <w:t xml:space="preserve"> is the number of new studies and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nj</m:t>
            </m:r>
          </m:sub>
        </m:sSub>
      </m:oMath>
      <w:r>
        <w:t xml:space="preserve"> is the jth new study where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oMath>
      <w:r>
        <w:t>.</w:t>
      </w:r>
    </w:p>
    <w:p w14:paraId="74E0408D" w14:textId="77777777" w:rsidR="00BC4721" w:rsidRDefault="00E728F1">
      <w:pPr>
        <w:pStyle w:val="BodyText"/>
      </w:pPr>
      <w:r>
        <w:t>Then for each pixel, the up</w:t>
      </w:r>
      <w:r>
        <w:t xml:space="preserve">dated pooled effect estimate and associated 95% confidence interval is calculated using equations </w:t>
      </w:r>
      <w:hyperlink w:anchor="eq-updated-estimate">
        <w:r>
          <w:rPr>
            <w:rStyle w:val="Hyperlink"/>
          </w:rPr>
          <w:t>Equation 2</w:t>
        </w:r>
      </w:hyperlink>
      <w:r>
        <w:t xml:space="preserve">, </w:t>
      </w:r>
      <w:hyperlink w:anchor="eq-updated-variance">
        <w:r>
          <w:rPr>
            <w:rStyle w:val="Hyperlink"/>
          </w:rPr>
          <w:t>Equation 3</w:t>
        </w:r>
      </w:hyperlink>
      <w:r>
        <w:t xml:space="preserve"> and </w:t>
      </w:r>
      <w:hyperlink w:anchor="eq-random-weight">
        <w:r>
          <w:rPr>
            <w:rStyle w:val="Hyperlink"/>
          </w:rPr>
          <w:t>Equation</w:t>
        </w:r>
        <w:r>
          <w:rPr>
            <w:rStyle w:val="Hyperlink"/>
          </w:rPr>
          <w:t> 12</w:t>
        </w:r>
      </w:hyperlink>
      <w:r>
        <w:t xml:space="preserve">, where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is the value from the updated meta-analysis from adding known new studies. As per the scenario with one new study, each pixel is coloured according to whether the specified threshold was met.</w:t>
      </w:r>
    </w:p>
    <w:p w14:paraId="74E0408E" w14:textId="77777777" w:rsidR="00BC4721" w:rsidRDefault="00E728F1">
      <w:pPr>
        <w:pStyle w:val="BodyText"/>
      </w:pPr>
      <w:r>
        <w:t>A potential extension, depending on time and reso</w:t>
      </w:r>
      <w:r>
        <w:t xml:space="preserve">urces, could be to estimate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at each pixel by simulating </w:t>
      </w:r>
      <m:oMath>
        <m:r>
          <w:rPr>
            <w:rFonts w:ascii="Cambria Math" w:hAnsi="Cambria Math"/>
          </w:rPr>
          <m:t>m</m:t>
        </m:r>
      </m:oMath>
      <w:r>
        <w:t xml:space="preserve"> new studies. This decision depends on the balance between computational resource and improving the approximation of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In the current scenario, I feel that the assumption above is satisfactor</w:t>
      </w:r>
      <w:r>
        <w:t>y - but this may change depending on how the plot’s use is extended.</w:t>
      </w:r>
    </w:p>
    <w:bookmarkEnd w:id="20"/>
    <w:bookmarkEnd w:id="18"/>
    <w:bookmarkEnd w:id="0"/>
    <w:sectPr w:rsidR="00BC472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41E5B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BC4721"/>
    <w:rsid w:val="00BC4721"/>
    <w:rsid w:val="00E72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0404E"/>
  <w15:docId w15:val="{50482EE9-4FA7-4496-ACBD-7DCBB243F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1450</Words>
  <Characters>8267</Characters>
  <Application>Microsoft Office Word</Application>
  <DocSecurity>0</DocSecurity>
  <Lines>68</Lines>
  <Paragraphs>19</Paragraphs>
  <ScaleCrop>false</ScaleCrop>
  <Company/>
  <LinksUpToDate>false</LinksUpToDate>
  <CharactersWithSpaces>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Interpretation Tool</dc:title>
  <dc:creator/>
  <cp:keywords/>
  <cp:lastModifiedBy>Nevill, Clareece R.</cp:lastModifiedBy>
  <cp:revision>2</cp:revision>
  <dcterms:created xsi:type="dcterms:W3CDTF">2025-08-27T14:47:00Z</dcterms:created>
  <dcterms:modified xsi:type="dcterms:W3CDTF">2025-08-27T14:50:00Z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