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70.png" ContentType="image/png"/>
  <Override PartName="/word/media/rId62.png" ContentType="image/png"/>
  <Override PartName="/word/media/rId52.png" ContentType="image/png"/>
  <Override PartName="/word/media/rId35.png" ContentType="image/png"/>
  <Override PartName="/word/media/rId40.png" ContentType="image/png"/>
  <Override PartName="/word/media/rId87.png" ContentType="image/png"/>
  <Override PartName="/word/media/rId91.png" ContentType="image/png"/>
  <Override PartName="/word/media/rId95.png" ContentType="image/png"/>
  <Override PartName="/word/media/rId77.png" ContentType="image/png"/>
  <Override PartName="/word/media/rId30.png" ContentType="image/png"/>
  <Override PartName="/word/media/rId101.png" ContentType="image/png"/>
  <Override PartName="/word/media/rId104.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Interpretation Tool</w:t>
      </w:r>
    </w:p>
    <w:p>
      <w:pPr>
        <w:pStyle w:val="FirstParagraph"/>
      </w:pPr>
      <w:r>
        <w:t xml:space="preserve">This document is to go over the details of the interpretation tool part of the update framework, which is based on the work by Langan et. al.</w:t>
      </w:r>
      <w:r>
        <w:rPr>
          <w:vertAlign w:val="superscript"/>
        </w:rPr>
        <w:t xml:space="preserve">1</w:t>
      </w:r>
    </w:p>
    <w:bookmarkStart w:id="46" w:name="extended-langan-plot"/>
    <w:p>
      <w:pPr>
        <w:pStyle w:val="Heading1"/>
      </w:pPr>
      <w:r>
        <w:t xml:space="preserve">1. Extended Langan plot</w:t>
      </w:r>
    </w:p>
    <w:p>
      <w:pPr>
        <w:pStyle w:val="FirstParagraph"/>
      </w:pPr>
      <w:r>
        <w:t xml:space="preserve">The key element of the interpretation tool is that it will add any newly found studies and run an</w:t>
      </w:r>
      <w:r>
        <w:t xml:space="preserve"> </w:t>
      </w:r>
      <w:r>
        <w:t xml:space="preserve">‘updated’</w:t>
      </w:r>
      <w:r>
        <w:t xml:space="preserve"> </w:t>
      </w:r>
      <w:r>
        <w:t xml:space="preserve">meta-analysis and let the user know whether or not the new result gives a change in desired effect.</w:t>
      </w:r>
    </w:p>
    <w:p>
      <w:pPr>
        <w:pStyle w:val="BodyText"/>
      </w:pPr>
      <w:r>
        <w:t xml:space="preserve">To help users understand this impact of the new results, and the likelihood of further studies impacting the meta-analysis, the tool will also have a visual aid which is extended from the work by Langan et. al.</w:t>
      </w:r>
      <w:r>
        <w:rPr>
          <w:vertAlign w:val="superscript"/>
        </w:rPr>
        <w:t xml:space="preserve">1</w:t>
      </w:r>
    </w:p>
    <w:p>
      <w:pPr>
        <w:pStyle w:val="BodyText"/>
      </w:pPr>
      <w:r>
        <w:t xml:space="preserve">This section will introduce and describe the plot, the following section (</w:t>
      </w:r>
      <w:hyperlink w:anchor="sec-derivation-of-contours">
        <w:r>
          <w:rPr>
            <w:rStyle w:val="Hyperlink"/>
          </w:rPr>
          <w:t xml:space="preserve">Chapter 2</w:t>
        </w:r>
      </w:hyperlink>
      <w:r>
        <w:t xml:space="preserve">) will go into more detail regarding how certain elements are calculated.</w:t>
      </w:r>
    </w:p>
    <w:bookmarkStart w:id="24" w:name="basic-elements"/>
    <w:p>
      <w:pPr>
        <w:pStyle w:val="Heading2"/>
      </w:pPr>
      <w:r>
        <w:t xml:space="preserve">1.1 Basic elements</w:t>
      </w:r>
    </w:p>
    <w:p>
      <w:pPr>
        <w:pStyle w:val="FirstParagraph"/>
      </w:pPr>
      <w:r>
        <w:t xml:space="preserve">The</w:t>
      </w:r>
      <w:r>
        <w:t xml:space="preserve"> </w:t>
      </w:r>
      <w:r>
        <w:t xml:space="preserve">‘basic’</w:t>
      </w:r>
      <w:r>
        <w:t xml:space="preserve"> </w:t>
      </w:r>
      <w:r>
        <w:t xml:space="preserve">plot, which is taken from Langan et. al.</w:t>
      </w:r>
      <w:r>
        <w:rPr>
          <w:vertAlign w:val="superscript"/>
        </w:rPr>
        <w:t xml:space="preserve">1</w:t>
      </w:r>
      <w:r>
        <w:t xml:space="preserve"> </w:t>
      </w:r>
      <w:r>
        <w:t xml:space="preserve">is based on the standard error - effect estimate plane, which is often seen when assessing publication bias. The plot then has the following elements:</w:t>
      </w:r>
    </w:p>
    <w:p>
      <w:pPr>
        <w:numPr>
          <w:ilvl w:val="0"/>
          <w:numId w:val="1001"/>
        </w:numPr>
      </w:pPr>
      <w:r>
        <w:t xml:space="preserve">Points representing studies already in the latest meta-analysis</w:t>
      </w:r>
    </w:p>
    <w:p>
      <w:pPr>
        <w:numPr>
          <w:ilvl w:val="0"/>
          <w:numId w:val="1001"/>
        </w:numPr>
      </w:pPr>
      <w:r>
        <w:t xml:space="preserve">A line indicating a null effect (i.e., 1 for ratios, and 0 for differences)</w:t>
      </w:r>
    </w:p>
    <w:p>
      <w:pPr>
        <w:numPr>
          <w:ilvl w:val="0"/>
          <w:numId w:val="1001"/>
        </w:numPr>
      </w:pPr>
      <w:r>
        <w:t xml:space="preserve">A summary diamond representing the pooled effect of the latest meta-analysis. This is centred at the pooled effect estimate and has width representing the 95% (unless otherwise specified by the user) confidence interval.</w:t>
      </w:r>
    </w:p>
    <w:p>
      <w:pPr>
        <w:numPr>
          <w:ilvl w:val="0"/>
          <w:numId w:val="1001"/>
        </w:numPr>
      </w:pPr>
      <w:r>
        <w:t xml:space="preserve">Contour regions. These indicate the types of new studies (i.e., effect estimate and standard error) that would lead to the meta-analysis reaching a certain conclusion (e.g., statistical significance) as a result of its inclusion.</w:t>
      </w:r>
    </w:p>
    <w:p>
      <w:pPr>
        <w:pStyle w:val="FirstParagraph"/>
      </w:pPr>
      <w:r>
        <w:t xml:space="preserve">In the example below (</w:t>
      </w:r>
      <w:hyperlink w:anchor="fig-base-example">
        <w:r>
          <w:rPr>
            <w:rStyle w:val="Hyperlink"/>
          </w:rPr>
          <w:t xml:space="preserve">Figure 1.1</w:t>
        </w:r>
      </w:hyperlink>
      <w:r>
        <w:t xml:space="preserve">), one can see:</w:t>
      </w:r>
    </w:p>
    <w:p>
      <w:pPr>
        <w:numPr>
          <w:ilvl w:val="0"/>
          <w:numId w:val="1002"/>
        </w:numPr>
      </w:pPr>
      <w:r>
        <w:t xml:space="preserve">The existing meta-analysis is made up of 6 studies.</w:t>
      </w:r>
    </w:p>
    <w:p>
      <w:pPr>
        <w:numPr>
          <w:ilvl w:val="0"/>
          <w:numId w:val="1002"/>
        </w:numPr>
      </w:pPr>
      <w:r>
        <w:t xml:space="preserve">The existing meta-analysis indicates a negative risk ratio, but not a statistically significant result (as the diamond crosses the line of no effect).</w:t>
      </w:r>
    </w:p>
    <w:p>
      <w:pPr>
        <w:numPr>
          <w:ilvl w:val="0"/>
          <w:numId w:val="1002"/>
        </w:numPr>
      </w:pPr>
      <w:r>
        <w:t xml:space="preserve">Regions where a new study, once included, would lead to a statistically significant result for a negative risk ratio (medium gray) and a positive risk ratio (dark gray).</w:t>
      </w:r>
    </w:p>
    <w:tbl>
      <w:tblPr>
        <w:tblStyle w:val="Table"/>
        <w:tblW w:type="pct" w:w="5000"/>
        <w:tblLayout w:type="fixed"/>
        <w:tblLook w:firstRow="0" w:lastRow="0" w:firstColumn="0" w:lastColumn="0" w:noHBand="0" w:noVBand="0" w:val="0000"/>
      </w:tblPr>
      <w:tblGrid>
        <w:gridCol w:w="7920"/>
      </w:tblGrid>
      <w:tr>
        <w:tc>
          <w:tcPr/>
          <w:bookmarkStart w:id="23" w:name="fig-base-example"/>
          <w:p>
            <w:pPr>
              <w:pStyle w:val="Compact"/>
              <w:jc w:val="center"/>
            </w:pPr>
            <w:r>
              <w:drawing>
                <wp:inline>
                  <wp:extent cx="5334000" cy="2133600"/>
                  <wp:effectExtent b="0" l="0" r="0" t="0"/>
                  <wp:docPr descr="" title="" id="21" name="Picture"/>
                  <a:graphic>
                    <a:graphicData uri="http://schemas.openxmlformats.org/drawingml/2006/picture">
                      <pic:pic>
                        <pic:nvPicPr>
                          <pic:cNvPr descr="Interpretation-tool_files/figure-docx/fig-base-example-1.png" id="22" name="Picture"/>
                          <pic:cNvPicPr>
                            <a:picLocks noChangeArrowheads="1" noChangeAspect="1"/>
                          </pic:cNvPicPr>
                        </pic:nvPicPr>
                        <pic:blipFill>
                          <a:blip r:embed="rId20"/>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Basic version of Langan plot</w:t>
            </w:r>
          </w:p>
          <w:bookmarkEnd w:id="23"/>
        </w:tc>
      </w:tr>
    </w:tbl>
    <w:bookmarkEnd w:id="24"/>
    <w:bookmarkStart w:id="45" w:name="extensions"/>
    <w:p>
      <w:pPr>
        <w:pStyle w:val="Heading2"/>
      </w:pPr>
      <w:r>
        <w:t xml:space="preserve">1.2 Extensions</w:t>
      </w:r>
    </w:p>
    <w:p>
      <w:pPr>
        <w:pStyle w:val="FirstParagraph"/>
      </w:pPr>
      <w:r>
        <w:t xml:space="preserve">This work has extended the basic plot developed by Langan et. al.</w:t>
      </w:r>
      <w:r>
        <w:rPr>
          <w:vertAlign w:val="superscript"/>
        </w:rPr>
        <w:t xml:space="preserve">1</w:t>
      </w:r>
      <w:r>
        <w:t xml:space="preserve"> </w:t>
      </w:r>
      <w:r>
        <w:t xml:space="preserve">in various ways to tailor it towards the aim of this interpretation tool.</w:t>
      </w:r>
    </w:p>
    <w:bookmarkStart w:id="29" w:name="clinical-significance"/>
    <w:p>
      <w:pPr>
        <w:pStyle w:val="Heading3"/>
      </w:pPr>
      <w:r>
        <w:t xml:space="preserve">1.2.1 Clinical significance</w:t>
      </w:r>
    </w:p>
    <w:p>
      <w:pPr>
        <w:pStyle w:val="FirstParagraph"/>
      </w:pPr>
      <w:r>
        <w:t xml:space="preserve">Instead of considering statistical significance (which in this tool the user can also specify (e.g., set type I error rate to 10% rather than the standard 5%)), the tool and visual aid can also consider a user-specified clinical significance. To do this, the user simply enters one of the following:</w:t>
      </w:r>
    </w:p>
    <w:p>
      <w:pPr>
        <w:numPr>
          <w:ilvl w:val="0"/>
          <w:numId w:val="1003"/>
        </w:numPr>
      </w:pPr>
      <w:r>
        <w:t xml:space="preserve">A threshold for which the upper bound of the confidence interval needs to be smaller than (i.e., the entire confidence interval (represented by the diamond) needs to be to the left of the threshold value).</w:t>
      </w:r>
    </w:p>
    <w:p>
      <w:pPr>
        <w:numPr>
          <w:ilvl w:val="0"/>
          <w:numId w:val="1003"/>
        </w:numPr>
      </w:pPr>
      <w:r>
        <w:t xml:space="preserve">A threshold for which the lower bound of the confidence interval needs to be bigger than (i.e. the entire confidence interval (represented by the diamond) needs to be to the right of the threshold value).</w:t>
      </w:r>
    </w:p>
    <w:p>
      <w:pPr>
        <w:pStyle w:val="FirstParagraph"/>
      </w:pPr>
      <w:r>
        <w:t xml:space="preserve">To visually make this assessment, instead of having the threshold value line at the line of null effect, it sits at the value specified by the user.</w:t>
      </w:r>
    </w:p>
    <w:p>
      <w:pPr>
        <w:pStyle w:val="BodyText"/>
      </w:pPr>
      <w:r>
        <w:t xml:space="preserve">In</w:t>
      </w:r>
      <w:r>
        <w:t xml:space="preserve"> </w:t>
      </w:r>
      <w:hyperlink w:anchor="fig-clinical-example">
        <w:r>
          <w:rPr>
            <w:rStyle w:val="Hyperlink"/>
          </w:rPr>
          <w:t xml:space="preserve">Figure 1.2</w:t>
        </w:r>
      </w:hyperlink>
      <w:r>
        <w:t xml:space="preserve"> </w:t>
      </w:r>
      <w:r>
        <w:t xml:space="preserve">below, we can see that the threshold value is set at RR of 0.9, and the user wants the pooled effect estimate to be significantly lower than that value - which is not the case here.</w:t>
      </w:r>
    </w:p>
    <w:p>
      <w:pPr>
        <w:pStyle w:val="BodyText"/>
      </w:pPr>
      <w:r>
        <w:t xml:space="preserve">One can also see that in these scenarios there is only one contour region (rather than two) as we’re only interested in one</w:t>
      </w:r>
      <w:r>
        <w:t xml:space="preserve"> </w:t>
      </w:r>
      <w:r>
        <w:t xml:space="preserve">‘direction’</w:t>
      </w:r>
      <w:r>
        <w:t xml:space="preserve">. Specifically, before we were interested in whether the effect was statistically significant in either direction (e.g., risk ratio greater than 1 or less than 1), but when considering clinical significance, one is only interested in one direction (e.g., risk ratio less than 0.9).</w:t>
      </w:r>
    </w:p>
    <w:p>
      <w:pPr>
        <w:pStyle w:val="BodyText"/>
      </w:pPr>
      <w:r>
        <w:t xml:space="preserve">The user specifies this setting by specifying</w:t>
      </w:r>
      <w:r>
        <w:t xml:space="preserve"> </w:t>
      </w:r>
      <w:r>
        <w:rPr>
          <w:rStyle w:val="VerbatimChar"/>
        </w:rPr>
        <w:t xml:space="preserve">upper = 0.9</w:t>
      </w:r>
      <w:r>
        <w:t xml:space="preserve"> </w:t>
      </w:r>
      <w:r>
        <w:t xml:space="preserve">as the threshold is with respect to the upper bound of the confidence interval.</w:t>
      </w:r>
    </w:p>
    <w:tbl>
      <w:tblPr>
        <w:tblStyle w:val="Table"/>
        <w:tblW w:type="pct" w:w="5000"/>
        <w:tblLayout w:type="fixed"/>
        <w:tblLook w:firstRow="0" w:lastRow="0" w:firstColumn="0" w:lastColumn="0" w:noHBand="0" w:noVBand="0" w:val="0000"/>
      </w:tblPr>
      <w:tblGrid>
        <w:gridCol w:w="7920"/>
      </w:tblGrid>
      <w:tr>
        <w:tc>
          <w:tcPr/>
          <w:bookmarkStart w:id="28" w:name="fig-clinical-example"/>
          <w:p>
            <w:pPr>
              <w:pStyle w:val="Compact"/>
              <w:jc w:val="center"/>
            </w:pPr>
            <w:r>
              <w:drawing>
                <wp:inline>
                  <wp:extent cx="5334000" cy="2133600"/>
                  <wp:effectExtent b="0" l="0" r="0" t="0"/>
                  <wp:docPr descr="" title="" id="26" name="Picture"/>
                  <a:graphic>
                    <a:graphicData uri="http://schemas.openxmlformats.org/drawingml/2006/picture">
                      <pic:pic>
                        <pic:nvPicPr>
                          <pic:cNvPr descr="Interpretation-tool_files/figure-docx/fig-clinical-example-1.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Extension to Langan plot by considering clinical significance</w:t>
            </w:r>
          </w:p>
          <w:bookmarkEnd w:id="28"/>
        </w:tc>
      </w:tr>
    </w:tbl>
    <w:bookmarkEnd w:id="29"/>
    <w:bookmarkStart w:id="34" w:name="new-studies-are-known"/>
    <w:p>
      <w:pPr>
        <w:pStyle w:val="Heading3"/>
      </w:pPr>
      <w:r>
        <w:t xml:space="preserve">1.2.2 New studies are known</w:t>
      </w:r>
    </w:p>
    <w:p>
      <w:pPr>
        <w:pStyle w:val="FirstParagraph"/>
      </w:pPr>
      <w:r>
        <w:t xml:space="preserve">The normal scenario for using this plot is for considering a hypothetical new study (as described by Langan et. al.</w:t>
      </w:r>
      <w:r>
        <w:rPr>
          <w:vertAlign w:val="superscript"/>
        </w:rPr>
        <w:t xml:space="preserve">1</w:t>
      </w:r>
      <w:r>
        <w:t xml:space="preserve">, and utilised in the MetaImpact app</w:t>
      </w:r>
      <w:r>
        <w:rPr>
          <w:vertAlign w:val="superscript"/>
        </w:rPr>
        <w:t xml:space="preserve">2</w:t>
      </w:r>
      <w:r>
        <w:t xml:space="preserve">). However, when we’re considering updating a living systematic review, reviewers need help knowing whether the new studies that have been found through regular searches would lead to a significant change in the review as a consequence of their inclusion. In other words, where this interpretation tools fits into the update pathway leads to the new studies no longer being hypothetical when utilising this plot.</w:t>
      </w:r>
    </w:p>
    <w:p>
      <w:pPr>
        <w:pStyle w:val="BodyText"/>
      </w:pPr>
      <w:r>
        <w:t xml:space="preserve">As such, we can add the new studies onto the plot. In this section, we’ll focus on one new additional study,</w:t>
      </w:r>
      <w:r>
        <w:t xml:space="preserve"> </w:t>
      </w:r>
      <w:hyperlink w:anchor="sec-multiple-new-studies-plot">
        <w:r>
          <w:rPr>
            <w:rStyle w:val="Hyperlink"/>
          </w:rPr>
          <w:t xml:space="preserve">Section 1.2.3</w:t>
        </w:r>
      </w:hyperlink>
      <w:r>
        <w:t xml:space="preserve"> </w:t>
      </w:r>
      <w:r>
        <w:t xml:space="preserve">will consider multiple new studies. Whichever contour region the new study sits in should correspond to the outcome of the meta-analysis with its inclusion. For example, in</w:t>
      </w:r>
      <w:r>
        <w:t xml:space="preserve"> </w:t>
      </w:r>
      <w:hyperlink w:anchor="fig-studies-known-example">
        <w:r>
          <w:rPr>
            <w:rStyle w:val="Hyperlink"/>
          </w:rPr>
          <w:t xml:space="preserve">Figure 1.3</w:t>
        </w:r>
      </w:hyperlink>
      <w:r>
        <w:t xml:space="preserve"> </w:t>
      </w:r>
      <w:r>
        <w:t xml:space="preserve">the new study (light blue point) is sitting in the medium gray region, which corresponds with the updated meta-analysis producing a statistically significant result (RR &lt; 1).</w:t>
      </w:r>
    </w:p>
    <w:p>
      <w:pPr>
        <w:pStyle w:val="BodyText"/>
      </w:pPr>
      <w:r>
        <w:t xml:space="preserve">How do we know that the updated meta-analysis produced a statistically significant result? Well this has also been added to the plot. A light blue diamond represents the pooled results from conducting a meta-analysis including the new study. In the example below, we see that the entire diamond (where width represents the confidence interval) sits to the left of the threshold line (line of null effect) - indicating statistical significance.</w:t>
      </w:r>
    </w:p>
    <w:p>
      <w:pPr>
        <w:pStyle w:val="BodyText"/>
      </w:pPr>
      <w:r>
        <w:t xml:space="preserve">In this way, the plot contains two visual features to determine whether the updated meta-analysis meets the desired outcome:</w:t>
      </w:r>
    </w:p>
    <w:p>
      <w:pPr>
        <w:numPr>
          <w:ilvl w:val="0"/>
          <w:numId w:val="1004"/>
        </w:numPr>
      </w:pPr>
      <w:r>
        <w:t xml:space="preserve">Which contour regions the new study sits within</w:t>
      </w:r>
    </w:p>
    <w:p>
      <w:pPr>
        <w:numPr>
          <w:ilvl w:val="0"/>
          <w:numId w:val="1004"/>
        </w:numPr>
      </w:pPr>
      <w:r>
        <w:t xml:space="preserve">The position of the updated summary diamond with respect to the threshold line.</w:t>
      </w:r>
    </w:p>
    <w:tbl>
      <w:tblPr>
        <w:tblStyle w:val="Table"/>
        <w:tblW w:type="pct" w:w="5000"/>
        <w:tblLayout w:type="fixed"/>
        <w:tblLook w:firstRow="0" w:lastRow="0" w:firstColumn="0" w:lastColumn="0" w:noHBand="0" w:noVBand="0" w:val="0000"/>
      </w:tblPr>
      <w:tblGrid>
        <w:gridCol w:w="7920"/>
      </w:tblGrid>
      <w:tr>
        <w:tc>
          <w:tcPr/>
          <w:bookmarkStart w:id="33" w:name="fig-studies-known-example"/>
          <w:p>
            <w:pPr>
              <w:pStyle w:val="Compact"/>
              <w:jc w:val="center"/>
            </w:pPr>
            <w:r>
              <w:drawing>
                <wp:inline>
                  <wp:extent cx="5334000" cy="2133600"/>
                  <wp:effectExtent b="0" l="0" r="0" t="0"/>
                  <wp:docPr descr="" title="" id="31" name="Picture"/>
                  <a:graphic>
                    <a:graphicData uri="http://schemas.openxmlformats.org/drawingml/2006/picture">
                      <pic:pic>
                        <pic:nvPicPr>
                          <pic:cNvPr descr="Interpretation-tool_files/figure-docx/fig-studies-known-example-1.png" id="32"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Extension to Langan plot incorporating that new study is known</w:t>
            </w:r>
          </w:p>
          <w:bookmarkEnd w:id="33"/>
        </w:tc>
      </w:tr>
    </w:tbl>
    <w:bookmarkEnd w:id="34"/>
    <w:bookmarkStart w:id="39" w:name="sec-multiple-new-studies-plot"/>
    <w:p>
      <w:pPr>
        <w:pStyle w:val="Heading3"/>
      </w:pPr>
      <w:r>
        <w:t xml:space="preserve">1.2.3 Multiple new studies</w:t>
      </w:r>
    </w:p>
    <w:p>
      <w:pPr>
        <w:pStyle w:val="FirstParagraph"/>
      </w:pPr>
      <w:r>
        <w:t xml:space="preserve">This plot was originally designed for considering one new study, however, in living systematic reviews, we will likely want to consider multiple new studies (i.e., multiple studies that have been found through regular searching, but not yet incorporated into the analysis).</w:t>
      </w:r>
      <w:r>
        <w:t xml:space="preserve"> </w:t>
      </w:r>
      <w:hyperlink w:anchor="sec-multiple-new-studies-random">
        <w:r>
          <w:rPr>
            <w:rStyle w:val="Hyperlink"/>
          </w:rPr>
          <w:t xml:space="preserve">Section 2.2.1</w:t>
        </w:r>
      </w:hyperlink>
      <w:r>
        <w:t xml:space="preserve"> </w:t>
      </w:r>
      <w:r>
        <w:t xml:space="preserve">will discuss how the contour derivations were extended to multiple studies, whilst this section will briefly talk about how multiple studies are viewed in the plot.</w:t>
      </w:r>
    </w:p>
    <w:p>
      <w:pPr>
        <w:pStyle w:val="BodyText"/>
      </w:pPr>
      <w:r>
        <w:t xml:space="preserve">All new studies are included in the plot the same way as with one new study - as light blue points. However, as the plot is only two-dimensional, we need a method for visualising the single impact of including all these new studies. As such, we need to also add a point that represents the</w:t>
      </w:r>
      <w:r>
        <w:t xml:space="preserve"> </w:t>
      </w:r>
      <w:r>
        <w:t xml:space="preserve">‘average’</w:t>
      </w:r>
      <w:r>
        <w:t xml:space="preserve"> </w:t>
      </w:r>
      <w:r>
        <w:t xml:space="preserve">new study or the</w:t>
      </w:r>
      <w:r>
        <w:t xml:space="preserve"> </w:t>
      </w:r>
      <w:r>
        <w:t xml:space="preserve">‘average’</w:t>
      </w:r>
      <w:r>
        <w:t xml:space="preserve"> </w:t>
      </w:r>
      <w:r>
        <w:t xml:space="preserve">contribution from the new studies. How the</w:t>
      </w:r>
      <w:r>
        <w:t xml:space="preserve"> </w:t>
      </w:r>
      <w:r>
        <w:t xml:space="preserve">‘average’</w:t>
      </w:r>
      <w:r>
        <w:t xml:space="preserve"> </w:t>
      </w:r>
      <w:r>
        <w:t xml:space="preserve">point is calculated in a the later section already mentioned. Visually, it is represented by a light blue triangle. To aid the view to see that each individual new study is incorporated by this</w:t>
      </w:r>
      <w:r>
        <w:t xml:space="preserve"> </w:t>
      </w:r>
      <w:r>
        <w:t xml:space="preserve">‘average’</w:t>
      </w:r>
      <w:r>
        <w:t xml:space="preserve"> </w:t>
      </w:r>
      <w:r>
        <w:t xml:space="preserve">study, dashed lines are added connected each point to the triangle.</w:t>
      </w:r>
    </w:p>
    <w:p>
      <w:pPr>
        <w:pStyle w:val="BodyText"/>
      </w:pPr>
      <w:r>
        <w:t xml:space="preserve">In</w:t>
      </w:r>
      <w:r>
        <w:t xml:space="preserve"> </w:t>
      </w:r>
      <w:hyperlink w:anchor="fig-multiple-studies-example">
        <w:r>
          <w:rPr>
            <w:rStyle w:val="Hyperlink"/>
          </w:rPr>
          <w:t xml:space="preserve">Figure 1.4</w:t>
        </w:r>
      </w:hyperlink>
      <w:r>
        <w:t xml:space="preserve"> </w:t>
      </w:r>
      <w:r>
        <w:t xml:space="preserve">below, one can see that whilst not every new study was within the light gray contour region, the</w:t>
      </w:r>
      <w:r>
        <w:t xml:space="preserve"> </w:t>
      </w:r>
      <w:r>
        <w:t xml:space="preserve">‘average’</w:t>
      </w:r>
      <w:r>
        <w:t xml:space="preserve"> </w:t>
      </w:r>
      <w:r>
        <w:t xml:space="preserve">study was, and that lines up with the updated meta-analysis becoming statistically significant.</w:t>
      </w:r>
    </w:p>
    <w:tbl>
      <w:tblPr>
        <w:tblStyle w:val="Table"/>
        <w:tblW w:type="pct" w:w="5000"/>
        <w:tblLayout w:type="fixed"/>
        <w:tblLook w:firstRow="0" w:lastRow="0" w:firstColumn="0" w:lastColumn="0" w:noHBand="0" w:noVBand="0" w:val="0000"/>
      </w:tblPr>
      <w:tblGrid>
        <w:gridCol w:w="7920"/>
      </w:tblGrid>
      <w:tr>
        <w:tc>
          <w:tcPr/>
          <w:bookmarkStart w:id="38" w:name="fig-multiple-studies-example"/>
          <w:p>
            <w:pPr>
              <w:pStyle w:val="Compact"/>
              <w:jc w:val="center"/>
            </w:pPr>
            <w:r>
              <w:drawing>
                <wp:inline>
                  <wp:extent cx="5334000" cy="2133600"/>
                  <wp:effectExtent b="0" l="0" r="0" t="0"/>
                  <wp:docPr descr="" title="" id="36" name="Picture"/>
                  <a:graphic>
                    <a:graphicData uri="http://schemas.openxmlformats.org/drawingml/2006/picture">
                      <pic:pic>
                        <pic:nvPicPr>
                          <pic:cNvPr descr="Interpretation-tool_files/figure-docx/fig-multiple-studies-example-1.png" id="37"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Extension to Langan plot incorporating multiple new studies</w:t>
            </w:r>
          </w:p>
          <w:bookmarkEnd w:id="38"/>
        </w:tc>
      </w:tr>
    </w:tbl>
    <w:bookmarkEnd w:id="39"/>
    <w:bookmarkStart w:id="44" w:name="random-effects-and-tau2"/>
    <w:p>
      <w:pPr>
        <w:pStyle w:val="Heading3"/>
      </w:pPr>
      <w:r>
        <w:t xml:space="preserve">1.2.4 Random effects and</w:t>
      </w:r>
      <w:r>
        <w:t xml:space="preserve"> </w:t>
      </w:r>
      <m:oMath>
        <m:sSup>
          <m:e>
            <m:r>
              <m:t>τ</m:t>
            </m:r>
          </m:e>
          <m:sup>
            <m:r>
              <m:t>2</m:t>
            </m:r>
          </m:sup>
        </m:sSup>
      </m:oMath>
    </w:p>
    <w:p>
      <w:pPr>
        <w:pStyle w:val="FirstParagraph"/>
      </w:pPr>
      <w:r>
        <w:t xml:space="preserve">Under a fixed-effects framework, the between-study heterogeneity parameter</w:t>
      </w:r>
      <w:r>
        <w:t xml:space="preserve"> </w:t>
      </w:r>
      <m:oMath>
        <m:sSup>
          <m:e>
            <m:r>
              <m:t>τ</m:t>
            </m:r>
          </m:e>
          <m:sup>
            <m:r>
              <m:t>2</m:t>
            </m:r>
          </m:sup>
        </m:sSup>
      </m:oMath>
      <w:r>
        <w:t xml:space="preserve"> </w:t>
      </w:r>
      <w:r>
        <w:t xml:space="preserve">is set to zero; under a random-effects framework it is estimated from the data. If the users are wanting to use a random-effects model, the plot will then display the estimated value of</w:t>
      </w:r>
      <w:r>
        <w:t xml:space="preserve"> </w:t>
      </w:r>
      <m:oMath>
        <m:sSup>
          <m:e>
            <m:r>
              <m:t>τ</m:t>
            </m:r>
          </m:e>
          <m:sup>
            <m:r>
              <m:t>2</m:t>
            </m:r>
          </m:sup>
        </m:sSup>
      </m:oMath>
      <w:r>
        <w:t xml:space="preserve">. This is additionally useful as the value will likely change when the analysis included the new study(ies), and so the reviewers should know how it has changed (see example plot below).</w:t>
      </w:r>
    </w:p>
    <w:p>
      <w:pPr>
        <w:pStyle w:val="BodyText"/>
      </w:pPr>
      <w:r>
        <w:t xml:space="preserve">Creating the contour regions cannot be done with with an equation defining the contours due to the fact that</w:t>
      </w:r>
      <w:r>
        <w:t xml:space="preserve"> </w:t>
      </w:r>
      <m:oMath>
        <m:sSup>
          <m:e>
            <m:r>
              <m:t>τ</m:t>
            </m:r>
          </m:e>
          <m:sup>
            <m:r>
              <m:t>2</m:t>
            </m:r>
          </m:sup>
        </m:sSup>
      </m:oMath>
      <w:r>
        <w:t xml:space="preserve"> </w:t>
      </w:r>
      <w:r>
        <w:t xml:space="preserve">depends on the studies (further details in the</w:t>
      </w:r>
      <w:r>
        <w:t xml:space="preserve"> </w:t>
      </w:r>
      <w:hyperlink w:anchor="sec-random-effects">
        <w:r>
          <w:rPr>
            <w:rStyle w:val="Hyperlink"/>
          </w:rPr>
          <w:t xml:space="preserve">Section 2.2</w:t>
        </w:r>
      </w:hyperlink>
      <w:r>
        <w:t xml:space="preserve">). As the estimated value of</w:t>
      </w:r>
      <w:r>
        <w:t xml:space="preserve"> </w:t>
      </w:r>
      <m:oMath>
        <m:sSup>
          <m:e>
            <m:r>
              <m:t>τ</m:t>
            </m:r>
          </m:e>
          <m:sup>
            <m:r>
              <m:t>2</m:t>
            </m:r>
          </m:sup>
        </m:sSup>
      </m:oMath>
      <w:r>
        <w:t xml:space="preserve"> </w:t>
      </w:r>
      <w:r>
        <w:t xml:space="preserve">in the updated meta-analysis directly feeds into the contour region creations (details in</w:t>
      </w:r>
      <w:r>
        <w:t xml:space="preserve"> </w:t>
      </w:r>
      <w:hyperlink w:anchor="sec-multiple-new-studies-random">
        <w:r>
          <w:rPr>
            <w:rStyle w:val="Hyperlink"/>
          </w:rPr>
          <w:t xml:space="preserve">Section 2.2.1</w:t>
        </w:r>
      </w:hyperlink>
      <w:r>
        <w:t xml:space="preserve">), it is even more important for the reviewer to be aware of how it changed when including the new studies. In</w:t>
      </w:r>
      <w:r>
        <w:t xml:space="preserve"> </w:t>
      </w:r>
      <w:hyperlink w:anchor="fig-random-example">
        <w:r>
          <w:rPr>
            <w:rStyle w:val="Hyperlink"/>
          </w:rPr>
          <w:t xml:space="preserve">Figure 1.5</w:t>
        </w:r>
      </w:hyperlink>
      <w:r>
        <w:t xml:space="preserve"> </w:t>
      </w:r>
      <w:r>
        <w:t xml:space="preserve">below one can see how the new study increased the between-study heterogeneity, and that if a study of more extreme results (i.e., smaller RR) was included instead, the between-study heterogeneity estimate would be so large that its influence on the weighting of the studies would lead to the pooled effect not being statistically significant.</w:t>
      </w:r>
    </w:p>
    <w:p>
      <w:pPr>
        <w:pStyle w:val="BodyText"/>
      </w:pPr>
      <w:r>
        <w:t xml:space="preserve">Generally, the new study point, or</w:t>
      </w:r>
      <w:r>
        <w:t xml:space="preserve"> </w:t>
      </w:r>
      <w:r>
        <w:t xml:space="preserve">‘average’</w:t>
      </w:r>
      <w:r>
        <w:t xml:space="preserve"> </w:t>
      </w:r>
      <w:r>
        <w:t xml:space="preserve">new study contribution point on the plot represents the contribution of the new study(ies), with other areas of the contour regions representing the same of hypothetical study(ies). However, when considering multiple new studies under a random-effects framework, this interpretation is slightly different in that the</w:t>
      </w:r>
      <w:r>
        <w:t xml:space="preserve"> </w:t>
      </w:r>
      <w:r>
        <w:t xml:space="preserve">‘average’</w:t>
      </w:r>
      <w:r>
        <w:t xml:space="preserve"> </w:t>
      </w:r>
      <w:r>
        <w:t xml:space="preserve">point already takes into account the estimated between-study heterogeneity. As such, the contour regions behave a little</w:t>
      </w:r>
      <w:r>
        <w:t xml:space="preserve"> </w:t>
      </w:r>
      <w:r>
        <w:t xml:space="preserve">‘unexpectedly’</w:t>
      </w:r>
      <w:r>
        <w:t xml:space="preserve">. More details on this key distinction is discussed in</w:t>
      </w:r>
      <w:r>
        <w:t xml:space="preserve"> </w:t>
      </w:r>
      <w:hyperlink w:anchor="sec-multiple-new-studies-random">
        <w:r>
          <w:rPr>
            <w:rStyle w:val="Hyperlink"/>
          </w:rPr>
          <w:t xml:space="preserve">Section 2.2.1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random-example"/>
          <w:p>
            <w:pPr>
              <w:pStyle w:val="Compact"/>
              <w:jc w:val="center"/>
            </w:pPr>
            <w:r>
              <w:drawing>
                <wp:inline>
                  <wp:extent cx="5334000" cy="2133600"/>
                  <wp:effectExtent b="0" l="0" r="0" t="0"/>
                  <wp:docPr descr="" title="" id="41" name="Picture"/>
                  <a:graphic>
                    <a:graphicData uri="http://schemas.openxmlformats.org/drawingml/2006/picture">
                      <pic:pic>
                        <pic:nvPicPr>
                          <pic:cNvPr descr="Interpretation-tool_files/figure-docx/fig-random-example-1.png" id="42"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Extension to Langan plot presenting between-study heterogeneity</w:t>
            </w:r>
          </w:p>
          <w:bookmarkEnd w:id="43"/>
        </w:tc>
      </w:tr>
    </w:tbl>
    <w:bookmarkEnd w:id="44"/>
    <w:bookmarkEnd w:id="45"/>
    <w:bookmarkEnd w:id="46"/>
    <w:bookmarkStart w:id="114" w:name="sec-derivation-of-contours"/>
    <w:p>
      <w:pPr>
        <w:pStyle w:val="Heading1"/>
      </w:pPr>
      <w:r>
        <w:t xml:space="preserve">2. Derivation of contours</w:t>
      </w:r>
    </w:p>
    <w:p>
      <w:pPr>
        <w:pStyle w:val="FirstParagraph"/>
      </w:pPr>
      <w:r>
        <w:t xml:space="preserve">This section will go over the derivation of forming the contours of the plot for different situations.</w:t>
      </w:r>
    </w:p>
    <w:bookmarkStart w:id="75" w:name="fixed-effects"/>
    <w:p>
      <w:pPr>
        <w:pStyle w:val="Heading2"/>
      </w:pPr>
      <w:r>
        <w:t xml:space="preserve">2.1 Fixed-effects</w:t>
      </w:r>
    </w:p>
    <w:p>
      <w:pPr>
        <w:pStyle w:val="FirstParagraph"/>
      </w:pPr>
      <w:r>
        <w:t xml:space="preserve">We are working within the fixed-effects framework initially, where the between-study heterogeneity, denoted by</w:t>
      </w:r>
      <w:r>
        <w:t xml:space="preserve"> </w:t>
      </w:r>
      <m:oMath>
        <m:sSup>
          <m:e>
            <m:r>
              <m:t>τ</m:t>
            </m:r>
          </m:e>
          <m:sup>
            <m:r>
              <m:t>2</m:t>
            </m:r>
          </m:sup>
        </m:sSup>
      </m:oMath>
      <w:r>
        <w:t xml:space="preserve">, is equal to zero.</w:t>
      </w:r>
    </w:p>
    <w:bookmarkStart w:id="67" w:name="statistical-significance"/>
    <w:p>
      <w:pPr>
        <w:pStyle w:val="Heading3"/>
      </w:pPr>
      <w:r>
        <w:t xml:space="preserve">2.1.1 Statistical significance</w:t>
      </w:r>
    </w:p>
    <w:p>
      <w:pPr>
        <w:pStyle w:val="FirstParagraph"/>
      </w:pPr>
      <w:r>
        <w:t xml:space="preserve">Lets assume we are interested in changing the statistical significance (i.e., the p-value).</w:t>
      </w:r>
    </w:p>
    <w:bookmarkStart w:id="56" w:name="one-new-study"/>
    <w:p>
      <w:pPr>
        <w:pStyle w:val="Heading4"/>
      </w:pPr>
      <w:r>
        <w:t xml:space="preserve">2.1.1.1 One new study</w:t>
      </w:r>
    </w:p>
    <w:p>
      <w:pPr>
        <w:pStyle w:val="FirstParagraph"/>
      </w:pPr>
      <w:r>
        <w:t xml:space="preserve">Let’s start with assuming that there is only one new study that will be added to the meta-analysis.</w:t>
      </w:r>
    </w:p>
    <w:p>
      <w:pPr>
        <w:pStyle w:val="BodyText"/>
      </w:pPr>
      <w:r>
        <w:t xml:space="preserve">The 95% confidence interval (CI) is denoted by</w:t>
      </w:r>
    </w:p>
    <w:p>
      <w:pPr>
        <w:pStyle w:val="BodyText"/>
      </w:pPr>
      <w:bookmarkStart w:id="47" w:name="eq-ci"/>
      <m:oMathPara>
        <m:oMathParaPr>
          <m:jc m:val="center"/>
        </m:oMathParaPr>
        <m:oMath>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2.1</m:t>
              </m:r>
            </m:e>
          </m:d>
        </m:oMath>
      </m:oMathPara>
      <w:bookmarkEnd w:id="47"/>
    </w:p>
    <w:p>
      <w:pPr>
        <w:pStyle w:val="FirstParagraph"/>
      </w:pPr>
      <w:r>
        <w:t xml:space="preserve">where</w:t>
      </w:r>
      <w:r>
        <w:t xml:space="preserve"> </w:t>
      </w:r>
      <m:oMath>
        <m:acc>
          <m:accPr>
            <m:chr m:val="̂"/>
          </m:accPr>
          <m:e>
            <m:r>
              <m:t>θ</m:t>
            </m:r>
          </m:e>
        </m:acc>
      </m:oMath>
      <w:r>
        <w:t xml:space="preserve"> </w:t>
      </w:r>
      <w:r>
        <w:t xml:space="preserve">is the pooled effect estimate,</w:t>
      </w:r>
      <w:r>
        <w:t xml:space="preserve"> </w:t>
      </w:r>
      <m:oMath>
        <m:r>
          <m:t>α</m:t>
        </m:r>
      </m:oMath>
      <w:r>
        <w:t xml:space="preserve"> </w:t>
      </w:r>
      <w:r>
        <w:t xml:space="preserve">is the type I error rate (normally set at 0.05),</w:t>
      </w:r>
      <w:r>
        <w:t xml:space="preserve"> </w:t>
      </w:r>
      <m:oMath>
        <m:sSup>
          <m:e>
            <m:r>
              <m:t>Φ</m:t>
            </m:r>
          </m:e>
          <m:sup>
            <m:r>
              <m:rPr>
                <m:sty m:val="p"/>
              </m:rPr>
              <m:t>−</m:t>
            </m:r>
            <m:r>
              <m:t>1</m:t>
            </m:r>
          </m:sup>
        </m:sSup>
      </m:oMath>
      <w:r>
        <w:t xml:space="preserve"> </w:t>
      </w:r>
      <w:r>
        <w:t xml:space="preserve">is the inverse cumulative normal distribution with mean 0 and variance 1 (which ensures that</w:t>
      </w:r>
      <w:r>
        <w:t xml:space="preserve"> </w:t>
      </w:r>
      <m:oMath>
        <m:sSup>
          <m:e>
            <m:r>
              <m:t>Φ</m:t>
            </m:r>
          </m:e>
          <m:sup>
            <m:r>
              <m:rPr>
                <m:sty m:val="p"/>
              </m:rPr>
              <m:t>−</m:t>
            </m:r>
            <m:r>
              <m:t>1</m:t>
            </m:r>
          </m:sup>
        </m:sSup>
        <m:d>
          <m:dPr>
            <m:begChr m:val="("/>
            <m:endChr m:val=")"/>
            <m:sepChr m:val=""/>
            <m:grow/>
          </m:dPr>
          <m:e>
            <m:r>
              <m:t>α</m:t>
            </m:r>
            <m:r>
              <m:rPr>
                <m:sty m:val="p"/>
              </m:rPr>
              <m:t>/</m:t>
            </m:r>
            <m:r>
              <m:t>2</m:t>
            </m:r>
          </m:e>
        </m:d>
      </m:oMath>
      <w:r>
        <w:t xml:space="preserve"> </w:t>
      </w:r>
      <w:r>
        <w:t xml:space="preserve">maps an</w:t>
      </w:r>
      <w:r>
        <w:t xml:space="preserve"> </w:t>
      </w:r>
      <m:oMath>
        <m:r>
          <m:t>α</m:t>
        </m:r>
      </m:oMath>
      <w:r>
        <w:t xml:space="preserve"> </w:t>
      </w:r>
      <w:r>
        <w:t xml:space="preserve">value of 0.05 to the value of 1.96).</w:t>
      </w:r>
      <w:r>
        <w:t xml:space="preserve"> </w:t>
      </w:r>
      <m:oMath>
        <m:r>
          <m:t>v</m:t>
        </m:r>
        <m:r>
          <m:t>a</m:t>
        </m:r>
        <m:r>
          <m:t>r</m:t>
        </m:r>
        <m:d>
          <m:dPr>
            <m:begChr m:val="("/>
            <m:endChr m:val=")"/>
            <m:sepChr m:val=""/>
            <m:grow/>
          </m:dPr>
          <m:e>
            <m:acc>
              <m:accPr>
                <m:chr m:val="̂"/>
              </m:accPr>
              <m:e>
                <m:r>
                  <m:t>θ</m:t>
                </m:r>
              </m:e>
            </m:acc>
          </m:e>
        </m:d>
      </m:oMath>
      <w:r>
        <w:t xml:space="preserve"> </w:t>
      </w:r>
      <w:r>
        <w:t xml:space="preserve">is the variance of the pooled effect estimate.</w:t>
      </w:r>
    </w:p>
    <w:p>
      <w:pPr>
        <w:pStyle w:val="BodyText"/>
      </w:pPr>
      <w:r>
        <w:t xml:space="preserve">To create a threshold for statistical significance (specified by</w:t>
      </w:r>
      <w:r>
        <w:t xml:space="preserve"> </w:t>
      </w:r>
      <m:oMath>
        <m:r>
          <m:t>α</m:t>
        </m:r>
      </m:oMath>
      <w:r>
        <w:t xml:space="preserve">), we can specify that the lower or upper bound of the 95% CI needs to touch the null value, denoted by</w:t>
      </w:r>
      <w:r>
        <w:t xml:space="preserve"> </w:t>
      </w:r>
      <m:oMath>
        <m:sSub>
          <m:e>
            <m:r>
              <m:t>θ</m:t>
            </m:r>
          </m:e>
          <m:sub>
            <m:r>
              <m:t>0</m:t>
            </m:r>
          </m:sub>
        </m:sSub>
      </m:oMath>
      <w:r>
        <w:t xml:space="preserve">.</w:t>
      </w:r>
    </w:p>
    <w:p>
      <w:pPr>
        <w:pStyle w:val="BodyText"/>
      </w:pPr>
      <w:r>
        <w:t xml:space="preserve">Let’s assume that there is a new study with (unknown) effect estimate</w:t>
      </w:r>
      <w:r>
        <w:t xml:space="preserve"> </w:t>
      </w:r>
      <m:oMath>
        <m:sSub>
          <m:e>
            <m:acc>
              <m:accPr>
                <m:chr m:val="̂"/>
              </m:accPr>
              <m:e>
                <m:r>
                  <m:t>θ</m:t>
                </m:r>
              </m:e>
            </m:acc>
          </m:e>
          <m:sub>
            <m:r>
              <m:t>n</m:t>
            </m:r>
            <m:r>
              <m:t>e</m:t>
            </m:r>
            <m:r>
              <m:t>w</m:t>
            </m:r>
          </m:sub>
        </m:sSub>
      </m:oMath>
      <w:r>
        <w:t xml:space="preserve"> </w:t>
      </w:r>
      <w:r>
        <w:t xml:space="preserve">, variance</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and weight</w:t>
      </w:r>
      <w:r>
        <w:t xml:space="preserve"> </w:t>
      </w:r>
      <m:oMath>
        <m:sSub>
          <m:e>
            <m:r>
              <m:t>w</m:t>
            </m:r>
          </m:e>
          <m:sub>
            <m:r>
              <m:t>n</m:t>
            </m:r>
            <m:r>
              <m:t>e</m:t>
            </m:r>
            <m:r>
              <m:t>w</m:t>
            </m:r>
          </m:sub>
        </m:sSub>
      </m:oMath>
      <w:r>
        <w:t xml:space="preserve">. Then once this new study is added to the meta-analysis, the updated results will be as follows:</w:t>
      </w:r>
    </w:p>
    <w:p>
      <w:pPr>
        <w:pStyle w:val="BodyText"/>
      </w:pPr>
      <w:bookmarkStart w:id="48" w:name="eq-updated-estimate"/>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b>
                <m:e>
                  <m:r>
                    <m:t>w</m:t>
                  </m:r>
                </m:e>
                <m:sub>
                  <m:r>
                    <m:t>n</m:t>
                  </m:r>
                  <m:r>
                    <m:t>e</m:t>
                  </m:r>
                  <m:r>
                    <m:t>w</m:t>
                  </m:r>
                </m:sub>
              </m:sSub>
              <m:sSub>
                <m:e>
                  <m:acc>
                    <m:accPr>
                      <m:chr m:val="̂"/>
                    </m:accPr>
                    <m:e>
                      <m:r>
                        <m:t>θ</m:t>
                      </m:r>
                    </m:e>
                  </m:acc>
                </m:e>
                <m:sub>
                  <m:r>
                    <m:t>n</m:t>
                  </m:r>
                  <m:r>
                    <m:t>e</m:t>
                  </m:r>
                  <m:r>
                    <m:t>w</m:t>
                  </m:r>
                </m:sub>
              </m:sSub>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r>
            <m:t>  </m:t>
          </m:r>
          <m:d>
            <m:dPr>
              <m:begChr m:val="("/>
              <m:endChr m:val=")"/>
              <m:sepChr m:val=""/>
              <m:grow/>
            </m:dPr>
            <m:e>
              <m:r>
                <m:t>2.2</m:t>
              </m:r>
            </m:e>
          </m:d>
        </m:oMath>
      </m:oMathPara>
      <w:bookmarkEnd w:id="48"/>
    </w:p>
    <w:p>
      <w:pPr>
        <w:pStyle w:val="FirstParagraph"/>
      </w:pPr>
      <w:bookmarkStart w:id="49" w:name="eq-updated-variance"/>
      <m:oMathPara>
        <m:oMathParaPr>
          <m:jc m:val="center"/>
        </m:oMathParaPr>
        <m:oMath>
          <m:r>
            <m:t>v</m:t>
          </m:r>
          <m:r>
            <m:t>a</m:t>
          </m:r>
          <m:r>
            <m:t>r</m:t>
          </m:r>
          <m:d>
            <m:dPr>
              <m:begChr m:val="("/>
              <m:endChr m:val=")"/>
              <m:sepChr m:val=""/>
              <m:grow/>
            </m:dPr>
            <m:e>
              <m:acc>
                <m:accPr>
                  <m:chr m:val="̂"/>
                </m:accPr>
                <m:e>
                  <m:r>
                    <m:t>θ</m:t>
                  </m:r>
                </m:e>
              </m:acc>
            </m:e>
          </m:d>
          <m:r>
            <m:rPr>
              <m:sty m:val="p"/>
            </m:rPr>
            <m:t>=</m:t>
          </m:r>
          <m:f>
            <m:fPr>
              <m:type m:val="bar"/>
            </m:fPr>
            <m:num>
              <m:r>
                <m:t>1</m:t>
              </m:r>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r>
            <m:t>  </m:t>
          </m:r>
          <m:d>
            <m:dPr>
              <m:begChr m:val="("/>
              <m:endChr m:val=")"/>
              <m:sepChr m:val=""/>
              <m:grow/>
            </m:dPr>
            <m:e>
              <m:r>
                <m:t>2.3</m:t>
              </m:r>
            </m:e>
          </m:d>
        </m:oMath>
      </m:oMathPara>
      <w:bookmarkEnd w:id="49"/>
    </w:p>
    <w:p>
      <w:pPr>
        <w:pStyle w:val="FirstParagraph"/>
      </w:pPr>
      <w:r>
        <w:t xml:space="preserve">where</w:t>
      </w:r>
      <w:r>
        <w:t xml:space="preserve"> </w:t>
      </w:r>
      <m:oMath>
        <m:r>
          <m:t>n</m:t>
        </m:r>
      </m:oMath>
      <w:r>
        <w:t xml:space="preserve"> </w:t>
      </w:r>
      <w:r>
        <w:t xml:space="preserve">is the number of studies in the original meta-analysis.</w:t>
      </w:r>
    </w:p>
    <w:p>
      <w:pPr>
        <w:pStyle w:val="BodyText"/>
      </w:pPr>
      <w:r>
        <w:t xml:space="preserve">By substituting</w:t>
      </w:r>
      <w:r>
        <w:t xml:space="preserve"> </w:t>
      </w:r>
      <w:hyperlink w:anchor="eq-updated-estimate">
        <w:r>
          <w:rPr>
            <w:rStyle w:val="Hyperlink"/>
          </w:rPr>
          <w:t xml:space="preserve">Equation 2.2</w:t>
        </w:r>
      </w:hyperlink>
      <w:r>
        <w:t xml:space="preserve"> </w:t>
      </w:r>
      <w:r>
        <w:t xml:space="preserve">and</w:t>
      </w:r>
      <w:r>
        <w:t xml:space="preserve"> </w:t>
      </w:r>
      <w:hyperlink w:anchor="eq-updated-variance">
        <w:r>
          <w:rPr>
            <w:rStyle w:val="Hyperlink"/>
          </w:rPr>
          <w:t xml:space="preserve">Equation 2.3</w:t>
        </w:r>
      </w:hyperlink>
      <w:r>
        <w:t xml:space="preserve"> </w:t>
      </w:r>
      <w:r>
        <w:t xml:space="preserve">into</w:t>
      </w:r>
      <w:r>
        <w:t xml:space="preserve"> </w:t>
      </w:r>
      <w:hyperlink w:anchor="eq-ci">
        <w:r>
          <w:rPr>
            <w:rStyle w:val="Hyperlink"/>
          </w:rPr>
          <w:t xml:space="preserve">Equation 2.1</w:t>
        </w:r>
      </w:hyperlink>
      <w:r>
        <w:t xml:space="preserve">, and specifying that the upper or lower bound equals</w:t>
      </w:r>
      <w:r>
        <w:t xml:space="preserve"> </w:t>
      </w:r>
      <m:oMath>
        <m:sSub>
          <m:e>
            <m:r>
              <m:t>θ</m:t>
            </m:r>
          </m:e>
          <m:sub>
            <m:r>
              <m:t>0</m:t>
            </m:r>
          </m:sub>
        </m:sSub>
      </m:oMath>
      <w:r>
        <w:t xml:space="preserve">, we can get an expression for</w:t>
      </w:r>
      <w:r>
        <w:t xml:space="preserve"> </w:t>
      </w:r>
      <m:oMath>
        <m:sSub>
          <m:e>
            <m:r>
              <m:t>θ</m:t>
            </m:r>
          </m:e>
          <m:sub>
            <m:r>
              <m:t>n</m:t>
            </m:r>
            <m:r>
              <m:t>e</m:t>
            </m:r>
            <m:r>
              <m:t>w</m:t>
            </m:r>
          </m:sub>
        </m:sSub>
      </m:oMath>
      <w:r>
        <w:t xml:space="preserve"> </w:t>
      </w:r>
      <w:r>
        <w:t xml:space="preserve">in terms of other quantities:</w:t>
      </w:r>
    </w:p>
    <w:p>
      <w:pPr>
        <w:pStyle w:val="BodyText"/>
      </w:pPr>
      <w:bookmarkStart w:id="50" w:name="eq-rearranged-theta-new"/>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0</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r>
            <m:t>  </m:t>
          </m:r>
          <m:d>
            <m:dPr>
              <m:begChr m:val="("/>
              <m:endChr m:val=")"/>
              <m:sepChr m:val=""/>
              <m:grow/>
            </m:dPr>
            <m:e>
              <m:r>
                <m:t>2.4</m:t>
              </m:r>
            </m:e>
          </m:d>
        </m:oMath>
      </m:oMathPara>
      <w:bookmarkEnd w:id="50"/>
    </w:p>
    <w:p>
      <w:pPr>
        <w:pStyle w:val="FirstParagraph"/>
      </w:pPr>
      <w:r>
        <w:t xml:space="preserve">In a fixed-effects meta-analysis, each weight is simply calculated as</w:t>
      </w:r>
    </w:p>
    <w:p>
      <w:pPr>
        <w:pStyle w:val="BodyText"/>
      </w:pPr>
      <w:bookmarkStart w:id="51" w:name="eq-fixed-weight"/>
      <m:oMathPara>
        <m:oMathParaPr>
          <m:jc m:val="center"/>
        </m:oMathParaPr>
        <m:oMath>
          <m:sSub>
            <m:e>
              <m:r>
                <m:t>w</m:t>
              </m:r>
            </m:e>
            <m:sub>
              <m:r>
                <m:t>i</m:t>
              </m:r>
            </m:sub>
          </m:sSub>
          <m:r>
            <m:rPr>
              <m:sty m:val="p"/>
            </m:rPr>
            <m:t>=</m:t>
          </m:r>
          <m:f>
            <m:fPr>
              <m:type m:val="bar"/>
            </m:fPr>
            <m:num>
              <m:r>
                <m:t>1</m:t>
              </m:r>
            </m:num>
            <m:den>
              <m:r>
                <m:t>v</m:t>
              </m:r>
              <m:r>
                <m:t>a</m:t>
              </m:r>
              <m:r>
                <m:t>r</m:t>
              </m:r>
              <m:d>
                <m:dPr>
                  <m:begChr m:val="("/>
                  <m:endChr m:val=")"/>
                  <m:sepChr m:val=""/>
                  <m:grow/>
                </m:dPr>
                <m:e>
                  <m:sSub>
                    <m:e>
                      <m:acc>
                        <m:accPr>
                          <m:chr m:val="̂"/>
                        </m:accPr>
                        <m:e>
                          <m:r>
                            <m:t>θ</m:t>
                          </m:r>
                        </m:e>
                      </m:acc>
                    </m:e>
                    <m:sub>
                      <m:r>
                        <m:t>i</m:t>
                      </m:r>
                    </m:sub>
                  </m:sSub>
                </m:e>
              </m:d>
            </m:den>
          </m:f>
          <m:r>
            <m:t>  </m:t>
          </m:r>
          <m:d>
            <m:dPr>
              <m:begChr m:val="("/>
              <m:endChr m:val=")"/>
              <m:sepChr m:val=""/>
              <m:grow/>
            </m:dPr>
            <m:e>
              <m:r>
                <m:t>2.5</m:t>
              </m:r>
            </m:e>
          </m:d>
        </m:oMath>
      </m:oMathPara>
      <w:bookmarkEnd w:id="51"/>
    </w:p>
    <w:p>
      <w:pPr>
        <w:pStyle w:val="FirstParagraph"/>
      </w:pPr>
      <w:r>
        <w:t xml:space="preserve">Therefore, by substituting</w:t>
      </w:r>
      <w:r>
        <w:t xml:space="preserve"> </w:t>
      </w:r>
      <w:hyperlink w:anchor="eq-fixed-weight">
        <w:r>
          <w:rPr>
            <w:rStyle w:val="Hyperlink"/>
          </w:rPr>
          <w:t xml:space="preserve">Equation 2.5</w:t>
        </w:r>
      </w:hyperlink>
      <w:r>
        <w:t xml:space="preserve"> </w:t>
      </w:r>
      <w:r>
        <w:t xml:space="preserve">into</w:t>
      </w:r>
      <w:r>
        <w:t xml:space="preserve"> </w:t>
      </w:r>
      <w:hyperlink w:anchor="eq-rearranged-theta-new">
        <w:r>
          <w:rPr>
            <w:rStyle w:val="Hyperlink"/>
          </w:rPr>
          <w:t xml:space="preserve">Equation 2.4</w:t>
        </w:r>
      </w:hyperlink>
      <w:r>
        <w:t xml:space="preserve">, we then get an equation for the contour threshold on the estimate-variance plane.</w:t>
      </w:r>
    </w:p>
    <w:p>
      <w:pPr>
        <w:pStyle w:val="BodyText"/>
      </w:pPr>
      <w:hyperlink w:anchor="fig-fixed-single-example">
        <w:r>
          <w:rPr>
            <w:rStyle w:val="Hyperlink"/>
          </w:rPr>
          <w:t xml:space="preserve">Figure 2.1</w:t>
        </w:r>
      </w:hyperlink>
      <w:r>
        <w:t xml:space="preserve"> </w:t>
      </w:r>
      <w:r>
        <w:t xml:space="preserve">gives an example of the plot under a fixed-effects framework with a single new study.</w:t>
      </w:r>
    </w:p>
    <w:p>
      <w:pPr>
        <w:pStyle w:val="SourceCode"/>
      </w:pPr>
      <w:r>
        <w:rPr>
          <w:rStyle w:val="VerbatimChar"/>
        </w:rPr>
        <w:t xml:space="preserve">[1] "Addition of new study will give a statistically significant (alpha = 0.05) pooled estimate"</w:t>
      </w:r>
    </w:p>
    <w:tbl>
      <w:tblPr>
        <w:tblStyle w:val="Table"/>
        <w:tblW w:type="pct" w:w="5000"/>
        <w:tblLayout w:type="fixed"/>
        <w:tblLook w:firstRow="0" w:lastRow="0" w:firstColumn="0" w:lastColumn="0" w:noHBand="0" w:noVBand="0" w:val="0000"/>
      </w:tblPr>
      <w:tblGrid>
        <w:gridCol w:w="7920"/>
      </w:tblGrid>
      <w:tr>
        <w:tc>
          <w:tcPr/>
          <w:bookmarkStart w:id="55" w:name="fig-fixed-single-example"/>
          <w:p>
            <w:pPr>
              <w:pStyle w:val="Compact"/>
              <w:jc w:val="center"/>
            </w:pPr>
            <w:r>
              <w:drawing>
                <wp:inline>
                  <wp:extent cx="5334000" cy="2133600"/>
                  <wp:effectExtent b="0" l="0" r="0" t="0"/>
                  <wp:docPr descr="" title="" id="53" name="Picture"/>
                  <a:graphic>
                    <a:graphicData uri="http://schemas.openxmlformats.org/drawingml/2006/picture">
                      <pic:pic>
                        <pic:nvPicPr>
                          <pic:cNvPr descr="Interpretation-tool_files/figure-docx/fig-fixed-single-example-1.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Example Langan plot under a fixed-effects framework with a single new study</w:t>
            </w:r>
          </w:p>
          <w:bookmarkEnd w:id="55"/>
        </w:tc>
      </w:tr>
    </w:tbl>
    <w:bookmarkEnd w:id="56"/>
    <w:bookmarkStart w:id="61" w:name="two-new-studies"/>
    <w:p>
      <w:pPr>
        <w:pStyle w:val="Heading4"/>
      </w:pPr>
      <w:r>
        <w:t xml:space="preserve">2.1.1.2 Two new studies</w:t>
      </w:r>
    </w:p>
    <w:p>
      <w:pPr>
        <w:pStyle w:val="FirstParagraph"/>
      </w:pPr>
      <w:r>
        <w:t xml:space="preserve">When expanding from one new study to two new studies,</w:t>
      </w:r>
      <w:r>
        <w:t xml:space="preserve"> </w:t>
      </w:r>
      <w:hyperlink w:anchor="eq-updated-estimate">
        <w:r>
          <w:rPr>
            <w:rStyle w:val="Hyperlink"/>
          </w:rPr>
          <w:t xml:space="preserve">Equation 2.2</w:t>
        </w:r>
      </w:hyperlink>
      <w:r>
        <w:t xml:space="preserve"> </w:t>
      </w:r>
      <w:r>
        <w:t xml:space="preserve">and</w:t>
      </w:r>
      <w:r>
        <w:t xml:space="preserve"> </w:t>
      </w:r>
      <w:hyperlink w:anchor="eq-updated-variance">
        <w:r>
          <w:rPr>
            <w:rStyle w:val="Hyperlink"/>
          </w:rPr>
          <w:t xml:space="preserve">Equation 2.3</w:t>
        </w:r>
      </w:hyperlink>
      <w:r>
        <w:t xml:space="preserve"> </w:t>
      </w:r>
      <w:r>
        <w:t xml:space="preserve">become</w:t>
      </w:r>
    </w:p>
    <w:p>
      <w:pPr>
        <w:pStyle w:val="BodyText"/>
      </w:pPr>
      <w:bookmarkStart w:id="57" w:name="eq-meta-theta-2studies"/>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b>
                <m:e>
                  <m:r>
                    <m:t>w</m:t>
                  </m:r>
                </m:e>
                <m:sub>
                  <m:r>
                    <m:t>n</m:t>
                  </m:r>
                  <m:r>
                    <m:t>1</m:t>
                  </m:r>
                </m:sub>
              </m:sSub>
              <m:sSub>
                <m:e>
                  <m:acc>
                    <m:accPr>
                      <m:chr m:val="̂"/>
                    </m:accPr>
                    <m:e>
                      <m:r>
                        <m:t>θ</m:t>
                      </m:r>
                    </m:e>
                  </m:acc>
                </m:e>
                <m:sub>
                  <m:r>
                    <m:t>n</m:t>
                  </m:r>
                  <m:r>
                    <m:t>1</m:t>
                  </m:r>
                </m:sub>
              </m:sSub>
              <m:r>
                <m:rPr>
                  <m:sty m:val="p"/>
                </m:rPr>
                <m:t>+</m:t>
              </m:r>
              <m:sSub>
                <m:e>
                  <m:r>
                    <m:t>w</m:t>
                  </m:r>
                </m:e>
                <m:sub>
                  <m:r>
                    <m:t>n</m:t>
                  </m:r>
                  <m:r>
                    <m:t>2</m:t>
                  </m:r>
                </m:sub>
              </m:sSub>
              <m:sSub>
                <m:e>
                  <m:acc>
                    <m:accPr>
                      <m:chr m:val="̂"/>
                    </m:accPr>
                    <m:e>
                      <m:r>
                        <m:t>θ</m:t>
                      </m:r>
                    </m:e>
                  </m:acc>
                </m:e>
                <m:sub>
                  <m:r>
                    <m:t>n</m:t>
                  </m:r>
                  <m:r>
                    <m:t>2</m:t>
                  </m:r>
                </m:sub>
              </m:sSub>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1</m:t>
                  </m:r>
                </m:sub>
              </m:sSub>
              <m:r>
                <m:rPr>
                  <m:sty m:val="p"/>
                </m:rPr>
                <m:t>+</m:t>
              </m:r>
              <m:sSub>
                <m:e>
                  <m:r>
                    <m:t>w</m:t>
                  </m:r>
                </m:e>
                <m:sub>
                  <m:r>
                    <m:t>n</m:t>
                  </m:r>
                  <m:r>
                    <m:t>2</m:t>
                  </m:r>
                </m:sub>
              </m:sSub>
            </m:den>
          </m:f>
          <m:r>
            <m:t>  </m:t>
          </m:r>
          <m:d>
            <m:dPr>
              <m:begChr m:val="("/>
              <m:endChr m:val=")"/>
              <m:sepChr m:val=""/>
              <m:grow/>
            </m:dPr>
            <m:e>
              <m:r>
                <m:t>2.6</m:t>
              </m:r>
            </m:e>
          </m:d>
        </m:oMath>
      </m:oMathPara>
      <w:bookmarkEnd w:id="57"/>
    </w:p>
    <w:p>
      <w:pPr>
        <w:pStyle w:val="FirstParagraph"/>
      </w:pPr>
      <w:bookmarkStart w:id="58" w:name="eq-meta-variance-2studies"/>
      <m:oMathPara>
        <m:oMathParaPr>
          <m:jc m:val="center"/>
        </m:oMathParaPr>
        <m:oMath>
          <m:r>
            <m:t>v</m:t>
          </m:r>
          <m:r>
            <m:t>a</m:t>
          </m:r>
          <m:r>
            <m:t>r</m:t>
          </m:r>
          <m:d>
            <m:dPr>
              <m:begChr m:val="("/>
              <m:endChr m:val=")"/>
              <m:sepChr m:val=""/>
              <m:grow/>
            </m:dPr>
            <m:e>
              <m:acc>
                <m:accPr>
                  <m:chr m:val="̂"/>
                </m:accPr>
                <m:e>
                  <m:r>
                    <m:t>θ</m:t>
                  </m:r>
                </m:e>
              </m:acc>
            </m:e>
          </m:d>
          <m:r>
            <m:rPr>
              <m:sty m:val="p"/>
            </m:rPr>
            <m:t>=</m:t>
          </m:r>
          <m:f>
            <m:fPr>
              <m:type m:val="bar"/>
            </m:fPr>
            <m:num>
              <m:r>
                <m:t>1</m:t>
              </m:r>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1</m:t>
                  </m:r>
                </m:sub>
              </m:sSub>
              <m:r>
                <m:rPr>
                  <m:sty m:val="p"/>
                </m:rPr>
                <m:t>+</m:t>
              </m:r>
              <m:sSub>
                <m:e>
                  <m:r>
                    <m:t>w</m:t>
                  </m:r>
                </m:e>
                <m:sub>
                  <m:r>
                    <m:t>n</m:t>
                  </m:r>
                  <m:r>
                    <m:t>2</m:t>
                  </m:r>
                </m:sub>
              </m:sSub>
            </m:den>
          </m:f>
          <m:r>
            <m:t>  </m:t>
          </m:r>
          <m:d>
            <m:dPr>
              <m:begChr m:val="("/>
              <m:endChr m:val=")"/>
              <m:sepChr m:val=""/>
              <m:grow/>
            </m:dPr>
            <m:e>
              <m:r>
                <m:t>2.7</m:t>
              </m:r>
            </m:e>
          </m:d>
        </m:oMath>
      </m:oMathPara>
      <w:bookmarkEnd w:id="58"/>
    </w:p>
    <w:p>
      <w:pPr>
        <w:pStyle w:val="FirstParagraph"/>
      </w:pPr>
      <w:r>
        <w:t xml:space="preserve">where</w:t>
      </w:r>
      <w:r>
        <w:t xml:space="preserve"> </w:t>
      </w:r>
      <m:oMath>
        <m:sSub>
          <m:e>
            <m:acc>
              <m:accPr>
                <m:chr m:val="̂"/>
              </m:accPr>
              <m:e>
                <m:r>
                  <m:t>θ</m:t>
                </m:r>
              </m:e>
            </m:acc>
          </m:e>
          <m:sub>
            <m:r>
              <m:t>n</m:t>
            </m:r>
            <m:r>
              <m:t>j</m:t>
            </m:r>
          </m:sub>
        </m:sSub>
      </m:oMath>
      <w:r>
        <w:t xml:space="preserve"> </w:t>
      </w:r>
      <w:r>
        <w:t xml:space="preserve">and</w:t>
      </w:r>
      <w:r>
        <w:t xml:space="preserve"> </w:t>
      </w:r>
      <m:oMath>
        <m:sSub>
          <m:e>
            <m:r>
              <m:t>w</m:t>
            </m:r>
          </m:e>
          <m:sub>
            <m:r>
              <m:t>n</m:t>
            </m:r>
            <m:r>
              <m:t>j</m:t>
            </m:r>
          </m:sub>
        </m:sSub>
      </m:oMath>
      <w:r>
        <w:t xml:space="preserve"> </w:t>
      </w:r>
      <w:r>
        <w:t xml:space="preserve">are the estimates and weights of new studies respectively, where</w:t>
      </w:r>
      <w:r>
        <w:t xml:space="preserve"> </w:t>
      </w:r>
      <m:oMath>
        <m:r>
          <m:t>j</m:t>
        </m:r>
        <m:r>
          <m:rPr>
            <m:sty m:val="p"/>
          </m:rPr>
          <m:t>=</m:t>
        </m:r>
        <m:r>
          <m:t>1</m:t>
        </m:r>
        <m:r>
          <m:rPr>
            <m:sty m:val="p"/>
          </m:rPr>
          <m:t>,</m:t>
        </m:r>
        <m:r>
          <m:t>2</m:t>
        </m:r>
      </m:oMath>
      <w:r>
        <w:t xml:space="preserve">.</w:t>
      </w:r>
    </w:p>
    <w:p>
      <w:pPr>
        <w:pStyle w:val="BodyText"/>
      </w:pPr>
      <w:r>
        <w:t xml:space="preserve">Let</w:t>
      </w:r>
    </w:p>
    <w:p>
      <w:pPr>
        <w:pStyle w:val="BodyText"/>
      </w:pPr>
      <w:bookmarkStart w:id="59" w:name="eq-weight-2studies"/>
      <m:oMathPara>
        <m:oMathParaPr>
          <m:jc m:val="center"/>
        </m:oMathParaPr>
        <m:oMath>
          <m:sSub>
            <m:e>
              <m:r>
                <m:t>w</m:t>
              </m:r>
            </m:e>
            <m:sub>
              <m:acc>
                <m:accPr>
                  <m:chr m:val="‾"/>
                </m:accPr>
                <m:e>
                  <m:r>
                    <m:t>n</m:t>
                  </m:r>
                  <m:r>
                    <m:t>e</m:t>
                  </m:r>
                  <m:r>
                    <m:t>w</m:t>
                  </m:r>
                </m:e>
              </m:acc>
            </m:sub>
          </m:sSub>
          <m:r>
            <m:rPr>
              <m:sty m:val="p"/>
            </m:rPr>
            <m:t>=</m:t>
          </m:r>
          <m:sSub>
            <m:e>
              <m:r>
                <m:t>w</m:t>
              </m:r>
            </m:e>
            <m:sub>
              <m:r>
                <m:t>n</m:t>
              </m:r>
              <m:r>
                <m:t>1</m:t>
              </m:r>
            </m:sub>
          </m:sSub>
          <m:r>
            <m:rPr>
              <m:sty m:val="p"/>
            </m:rPr>
            <m:t>+</m:t>
          </m:r>
          <m:sSub>
            <m:e>
              <m:r>
                <m:t>w</m:t>
              </m:r>
            </m:e>
            <m:sub>
              <m:r>
                <m:t>n</m:t>
              </m:r>
              <m:r>
                <m:t>2</m:t>
              </m:r>
            </m:sub>
          </m:sSub>
          <m:r>
            <m:t>  </m:t>
          </m:r>
          <m:d>
            <m:dPr>
              <m:begChr m:val="("/>
              <m:endChr m:val=")"/>
              <m:sepChr m:val=""/>
              <m:grow/>
            </m:dPr>
            <m:e>
              <m:r>
                <m:t>2.8</m:t>
              </m:r>
            </m:e>
          </m:d>
        </m:oMath>
      </m:oMathPara>
      <w:bookmarkEnd w:id="59"/>
    </w:p>
    <w:p>
      <w:pPr>
        <w:pStyle w:val="FirstParagraph"/>
      </w:pPr>
      <w:bookmarkStart w:id="60" w:name="eq-theta-2studies"/>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sSub>
                <m:e>
                  <m:r>
                    <m:t>w</m:t>
                  </m:r>
                </m:e>
                <m:sub>
                  <m:r>
                    <m:t>n</m:t>
                  </m:r>
                  <m:r>
                    <m:t>1</m:t>
                  </m:r>
                </m:sub>
              </m:sSub>
              <m:sSub>
                <m:e>
                  <m:acc>
                    <m:accPr>
                      <m:chr m:val="̂"/>
                    </m:accPr>
                    <m:e>
                      <m:r>
                        <m:t>θ</m:t>
                      </m:r>
                    </m:e>
                  </m:acc>
                </m:e>
                <m:sub>
                  <m:r>
                    <m:t>n</m:t>
                  </m:r>
                  <m:r>
                    <m:t>1</m:t>
                  </m:r>
                </m:sub>
              </m:sSub>
              <m:r>
                <m:rPr>
                  <m:sty m:val="p"/>
                </m:rPr>
                <m:t>+</m:t>
              </m:r>
              <m:sSub>
                <m:e>
                  <m:r>
                    <m:t>w</m:t>
                  </m:r>
                </m:e>
                <m:sub>
                  <m:r>
                    <m:t>n</m:t>
                  </m:r>
                  <m:r>
                    <m:t>2</m:t>
                  </m:r>
                </m:sub>
              </m:sSub>
              <m:sSub>
                <m:e>
                  <m:acc>
                    <m:accPr>
                      <m:chr m:val="̂"/>
                    </m:accPr>
                    <m:e>
                      <m:r>
                        <m:t>θ</m:t>
                      </m:r>
                    </m:e>
                  </m:acc>
                </m:e>
                <m:sub>
                  <m:r>
                    <m:t>n</m:t>
                  </m:r>
                  <m:r>
                    <m:t>2</m:t>
                  </m:r>
                </m:sub>
              </m:sSub>
            </m:num>
            <m:den>
              <m:sSub>
                <m:e>
                  <m:r>
                    <m:t>w</m:t>
                  </m:r>
                </m:e>
                <m:sub>
                  <m:r>
                    <m:t>n</m:t>
                  </m:r>
                  <m:r>
                    <m:t>1</m:t>
                  </m:r>
                </m:sub>
              </m:sSub>
              <m:r>
                <m:rPr>
                  <m:sty m:val="p"/>
                </m:rPr>
                <m:t>+</m:t>
              </m:r>
              <m:sSub>
                <m:e>
                  <m:r>
                    <m:t>w</m:t>
                  </m:r>
                </m:e>
                <m:sub>
                  <m:r>
                    <m:t>n</m:t>
                  </m:r>
                  <m:r>
                    <m:t>2</m:t>
                  </m:r>
                </m:sub>
              </m:sSub>
            </m:den>
          </m:f>
          <m:r>
            <m:t>  </m:t>
          </m:r>
          <m:d>
            <m:dPr>
              <m:begChr m:val="("/>
              <m:endChr m:val=")"/>
              <m:sepChr m:val=""/>
              <m:grow/>
            </m:dPr>
            <m:e>
              <m:r>
                <m:t>2.9</m:t>
              </m:r>
            </m:e>
          </m:d>
        </m:oMath>
      </m:oMathPara>
      <w:bookmarkEnd w:id="60"/>
    </w:p>
    <w:p>
      <w:pPr>
        <w:pStyle w:val="FirstParagraph"/>
      </w:pPr>
      <w:r>
        <w:t xml:space="preserve">Substituting</w:t>
      </w:r>
      <w:r>
        <w:t xml:space="preserve"> </w:t>
      </w:r>
      <w:hyperlink w:anchor="eq-weight-2studies">
        <w:r>
          <w:rPr>
            <w:rStyle w:val="Hyperlink"/>
          </w:rPr>
          <w:t xml:space="preserve">Equation 2.8</w:t>
        </w:r>
      </w:hyperlink>
      <w:r>
        <w:t xml:space="preserve"> </w:t>
      </w:r>
      <w:r>
        <w:t xml:space="preserve">and</w:t>
      </w:r>
      <w:r>
        <w:t xml:space="preserve"> </w:t>
      </w:r>
      <w:hyperlink w:anchor="eq-theta-2studies">
        <w:r>
          <w:rPr>
            <w:rStyle w:val="Hyperlink"/>
          </w:rPr>
          <w:t xml:space="preserve">Equation 2.9</w:t>
        </w:r>
      </w:hyperlink>
      <w:r>
        <w:t xml:space="preserve"> </w:t>
      </w:r>
      <w:r>
        <w:t xml:space="preserve">into</w:t>
      </w:r>
      <w:r>
        <w:t xml:space="preserve"> </w:t>
      </w:r>
      <w:hyperlink w:anchor="eq-meta-theta-2studies">
        <w:r>
          <w:rPr>
            <w:rStyle w:val="Hyperlink"/>
          </w:rPr>
          <w:t xml:space="preserve">Equation 2.6</w:t>
        </w:r>
      </w:hyperlink>
      <w:r>
        <w:t xml:space="preserve"> </w:t>
      </w:r>
      <w:r>
        <w:t xml:space="preserve">and</w:t>
      </w:r>
      <w:r>
        <w:t xml:space="preserve"> </w:t>
      </w:r>
      <w:hyperlink w:anchor="eq-meta-variance-2studies">
        <w:r>
          <w:rPr>
            <w:rStyle w:val="Hyperlink"/>
          </w:rPr>
          <w:t xml:space="preserve">Equation 2.7</w:t>
        </w:r>
      </w:hyperlink>
      <w:r>
        <w:t xml:space="preserve"> </w:t>
      </w:r>
      <w:r>
        <w:t xml:space="preserve">gives us the following:</w:t>
      </w:r>
    </w:p>
    <w:p>
      <w:pPr>
        <w:pStyle w:val="BodyText"/>
      </w:pPr>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b>
                <m:e>
                  <m:r>
                    <m:t>w</m:t>
                  </m:r>
                </m:e>
                <m:sub>
                  <m:acc>
                    <m:accPr>
                      <m:chr m:val="‾"/>
                    </m:accPr>
                    <m:e>
                      <m:r>
                        <m:t>n</m:t>
                      </m:r>
                      <m:r>
                        <m:t>e</m:t>
                      </m:r>
                      <m:r>
                        <m:t>w</m:t>
                      </m:r>
                    </m:e>
                  </m:acc>
                </m:sub>
              </m:sSub>
              <m:sSub>
                <m:e>
                  <m:acc>
                    <m:accPr>
                      <m:chr m:val="̂"/>
                    </m:accPr>
                    <m:e>
                      <m:r>
                        <m:t>θ</m:t>
                      </m:r>
                    </m:e>
                  </m:acc>
                </m:e>
                <m:sub>
                  <m:acc>
                    <m:accPr>
                      <m:chr m:val="‾"/>
                    </m:accPr>
                    <m:e>
                      <m:r>
                        <m:t>n</m:t>
                      </m:r>
                      <m:r>
                        <m:t>e</m:t>
                      </m:r>
                      <m:r>
                        <m:t>w</m:t>
                      </m:r>
                    </m:e>
                  </m:acc>
                </m:sub>
              </m:sSub>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acc>
                    <m:accPr>
                      <m:chr m:val="‾"/>
                    </m:accPr>
                    <m:e>
                      <m:r>
                        <m:t>n</m:t>
                      </m:r>
                      <m:r>
                        <m:t>e</m:t>
                      </m:r>
                      <m:r>
                        <m:t>w</m:t>
                      </m:r>
                    </m:e>
                  </m:acc>
                </m:sub>
              </m:sSub>
            </m:den>
          </m:f>
        </m:oMath>
      </m:oMathPara>
    </w:p>
    <w:p>
      <w:pPr>
        <w:pStyle w:val="FirstParagraph"/>
      </w:pPr>
      <m:oMathPara>
        <m:oMathParaPr>
          <m:jc m:val="center"/>
        </m:oMathParaPr>
        <m:oMath>
          <m:r>
            <m:t>v</m:t>
          </m:r>
          <m:r>
            <m:t>a</m:t>
          </m:r>
          <m:r>
            <m:t>r</m:t>
          </m:r>
          <m:d>
            <m:dPr>
              <m:begChr m:val="("/>
              <m:endChr m:val=")"/>
              <m:sepChr m:val=""/>
              <m:grow/>
            </m:dPr>
            <m:e>
              <m:acc>
                <m:accPr>
                  <m:chr m:val="̂"/>
                </m:accPr>
                <m:e>
                  <m:r>
                    <m:t>θ</m:t>
                  </m:r>
                </m:e>
              </m:acc>
            </m:e>
          </m:d>
          <m:r>
            <m:rPr>
              <m:sty m:val="p"/>
            </m:rPr>
            <m:t>=</m:t>
          </m:r>
          <m:f>
            <m:fPr>
              <m:type m:val="bar"/>
            </m:fPr>
            <m:num>
              <m:r>
                <m:t>1</m:t>
              </m:r>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acc>
                    <m:accPr>
                      <m:chr m:val="‾"/>
                    </m:accPr>
                    <m:e>
                      <m:r>
                        <m:t>n</m:t>
                      </m:r>
                      <m:r>
                        <m:t>e</m:t>
                      </m:r>
                      <m:r>
                        <m:t>w</m:t>
                      </m:r>
                    </m:e>
                  </m:acc>
                </m:sub>
              </m:sSub>
            </m:den>
          </m:f>
        </m:oMath>
      </m:oMathPara>
    </w:p>
    <w:p>
      <w:pPr>
        <w:pStyle w:val="FirstParagraph"/>
      </w:pPr>
      <w:r>
        <w:t xml:space="preserve">This is simply the same equations as equations</w:t>
      </w:r>
      <w:r>
        <w:t xml:space="preserve"> </w:t>
      </w:r>
      <w:hyperlink w:anchor="eq-updated-estimate">
        <w:r>
          <w:rPr>
            <w:rStyle w:val="Hyperlink"/>
          </w:rPr>
          <w:t xml:space="preserve">Equation 2.2</w:t>
        </w:r>
      </w:hyperlink>
      <w:r>
        <w:t xml:space="preserve"> </w:t>
      </w:r>
      <w:r>
        <w:t xml:space="preserve">and</w:t>
      </w:r>
      <w:r>
        <w:t xml:space="preserve"> </w:t>
      </w:r>
      <w:hyperlink w:anchor="eq-updated-variance">
        <w:r>
          <w:rPr>
            <w:rStyle w:val="Hyperlink"/>
          </w:rPr>
          <w:t xml:space="preserve">Equation 2.3</w:t>
        </w:r>
      </w:hyperlink>
      <w:r>
        <w:t xml:space="preserve">. Therefore, everything else follows through as before, but with</w:t>
      </w:r>
      <w:r>
        <w:t xml:space="preserve"> </w:t>
      </w:r>
      <m:oMath>
        <m:sSub>
          <m:e>
            <m:r>
              <m:t>w</m:t>
            </m:r>
          </m:e>
          <m:sub>
            <m:acc>
              <m:accPr>
                <m:chr m:val="‾"/>
              </m:accPr>
              <m:e>
                <m:r>
                  <m:t>n</m:t>
                </m:r>
                <m:r>
                  <m:t>e</m:t>
                </m:r>
                <m:r>
                  <m:t>w</m:t>
                </m:r>
              </m:e>
            </m:acc>
          </m:sub>
        </m:sSub>
      </m:oMath>
      <w:r>
        <w:t xml:space="preserve"> </w:t>
      </w:r>
      <w:r>
        <w:t xml:space="preserve">and</w:t>
      </w:r>
      <w:r>
        <w:t xml:space="preserve"> </w:t>
      </w:r>
      <m:oMath>
        <m:sSub>
          <m:e>
            <m:acc>
              <m:accPr>
                <m:chr m:val="̂"/>
              </m:accPr>
              <m:e>
                <m:r>
                  <m:t>θ</m:t>
                </m:r>
              </m:e>
            </m:acc>
          </m:e>
          <m:sub>
            <m:acc>
              <m:accPr>
                <m:chr m:val="‾"/>
              </m:accPr>
              <m:e>
                <m:r>
                  <m:t>n</m:t>
                </m:r>
                <m:r>
                  <m:t>e</m:t>
                </m:r>
                <m:r>
                  <m:t>w</m:t>
                </m:r>
              </m:e>
            </m:acc>
          </m:sub>
        </m:sSub>
      </m:oMath>
      <w:r>
        <w:t xml:space="preserve"> </w:t>
      </w:r>
      <w:r>
        <w:t xml:space="preserve">in place of</w:t>
      </w:r>
      <w:r>
        <w:t xml:space="preserve"> </w:t>
      </w:r>
      <m:oMath>
        <m:sSub>
          <m:e>
            <m:r>
              <m:t>w</m:t>
            </m:r>
          </m:e>
          <m:sub>
            <m:r>
              <m:t>n</m:t>
            </m:r>
            <m:r>
              <m:t>e</m:t>
            </m:r>
            <m:r>
              <m:t>w</m:t>
            </m:r>
          </m:sub>
        </m:sSub>
      </m:oMath>
      <w:r>
        <w:t xml:space="preserve"> </w:t>
      </w:r>
      <w:r>
        <w:t xml:space="preserve">and</w:t>
      </w:r>
      <w:r>
        <w:t xml:space="preserve"> </w:t>
      </w:r>
      <m:oMath>
        <m:sSub>
          <m:e>
            <m:acc>
              <m:accPr>
                <m:chr m:val="̂"/>
              </m:accPr>
              <m:e>
                <m:r>
                  <m:t>θ</m:t>
                </m:r>
              </m:e>
            </m:acc>
          </m:e>
          <m:sub>
            <m:r>
              <m:t>n</m:t>
            </m:r>
            <m:r>
              <m:t>e</m:t>
            </m:r>
            <m:r>
              <m:t>w</m:t>
            </m:r>
          </m:sub>
        </m:sSub>
      </m:oMath>
      <w:r>
        <w:t xml:space="preserve">.</w:t>
      </w:r>
    </w:p>
    <w:bookmarkEnd w:id="61"/>
    <w:bookmarkStart w:id="66" w:name="sec-multiple-new-studies-fixed"/>
    <w:p>
      <w:pPr>
        <w:pStyle w:val="Heading4"/>
      </w:pPr>
      <w:r>
        <w:t xml:space="preserve">2.1.1.3 Multiple new studies</w:t>
      </w:r>
    </w:p>
    <w:p>
      <w:pPr>
        <w:pStyle w:val="FirstParagraph"/>
      </w:pPr>
      <w:r>
        <w:t xml:space="preserve">Where we are calculating the contour to</w:t>
      </w:r>
      <w:r>
        <w:t xml:space="preserve"> </w:t>
      </w:r>
      <m:oMath>
        <m:r>
          <m:t>m</m:t>
        </m:r>
      </m:oMath>
      <w:r>
        <w:t xml:space="preserve"> </w:t>
      </w:r>
      <w:r>
        <w:t xml:space="preserve">new studies, the equations follow as if it was one new study, but</w:t>
      </w:r>
      <w:r>
        <w:t xml:space="preserve"> </w:t>
      </w:r>
      <m:oMath>
        <m:sSub>
          <m:e>
            <m:r>
              <m:t>w</m:t>
            </m:r>
          </m:e>
          <m:sub>
            <m:r>
              <m:t>n</m:t>
            </m:r>
            <m:r>
              <m:t>e</m:t>
            </m:r>
            <m:r>
              <m:t>w</m:t>
            </m:r>
          </m:sub>
        </m:sSub>
      </m:oMath>
      <w:r>
        <w:t xml:space="preserve"> </w:t>
      </w:r>
      <w:r>
        <w:t xml:space="preserve">and</w:t>
      </w:r>
      <w:r>
        <w:t xml:space="preserve"> </w:t>
      </w:r>
      <m:oMath>
        <m:sSub>
          <m:e>
            <m:acc>
              <m:accPr>
                <m:chr m:val="̂"/>
              </m:accPr>
              <m:e>
                <m:r>
                  <m:t>θ</m:t>
                </m:r>
              </m:e>
            </m:acc>
          </m:e>
          <m:sub>
            <m:r>
              <m:t>n</m:t>
            </m:r>
            <m:r>
              <m:t>e</m:t>
            </m:r>
            <m:r>
              <m:t>w</m:t>
            </m:r>
          </m:sub>
        </m:sSub>
      </m:oMath>
      <w:r>
        <w:t xml:space="preserve"> </w:t>
      </w:r>
      <w:r>
        <w:t xml:space="preserve">are defined as</w:t>
      </w:r>
    </w:p>
    <w:p>
      <w:pPr>
        <w:pStyle w:val="BodyText"/>
      </w:pPr>
      <m:oMathPara>
        <m:oMathParaPr>
          <m:jc m:val="center"/>
        </m:oMathParaPr>
        <m:oMath>
          <m:sSub>
            <m:e>
              <m:r>
                <m:t>w</m:t>
              </m:r>
            </m:e>
            <m:sub>
              <m:acc>
                <m:accPr>
                  <m:chr m:val="‾"/>
                </m:accPr>
                <m:e>
                  <m:r>
                    <m:t>n</m:t>
                  </m:r>
                  <m:r>
                    <m:t>e</m:t>
                  </m:r>
                  <m:r>
                    <m:t>w</m:t>
                  </m:r>
                </m:e>
              </m:acc>
            </m:sub>
          </m:sSub>
          <m:r>
            <m:rPr>
              <m:sty m:val="p"/>
            </m:rPr>
            <m:t>=</m:t>
          </m:r>
          <m:nary>
            <m:naryPr>
              <m:chr m:val="∑"/>
              <m:limLoc m:val="undOvr"/>
              <m:subHide m:val="off"/>
              <m:supHide m:val="off"/>
            </m:naryPr>
            <m:sub>
              <m:r>
                <m:t>j</m:t>
              </m:r>
              <m:r>
                <m:rPr>
                  <m:sty m:val="p"/>
                </m:rPr>
                <m:t>=</m:t>
              </m:r>
              <m:r>
                <m:t>1</m:t>
              </m:r>
            </m:sub>
            <m:sup>
              <m:r>
                <m:t>m</m:t>
              </m:r>
            </m:sup>
            <m:e>
              <m:sSub>
                <m:e>
                  <m:r>
                    <m:t>w</m:t>
                  </m:r>
                </m:e>
                <m:sub>
                  <m:r>
                    <m:t>n</m:t>
                  </m:r>
                  <m:r>
                    <m:t>j</m:t>
                  </m:r>
                </m:sub>
              </m:sSub>
            </m:e>
          </m:nary>
        </m:oMath>
      </m:oMathPara>
    </w:p>
    <w:p>
      <w:pPr>
        <w:pStyle w:val="FirstParagraph"/>
      </w:pPr>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nary>
                <m:naryPr>
                  <m:chr m:val="∑"/>
                  <m:limLoc m:val="undOvr"/>
                  <m:subHide m:val="off"/>
                  <m:supHide m:val="off"/>
                </m:naryPr>
                <m:sub>
                  <m:r>
                    <m:t>j</m:t>
                  </m:r>
                  <m:r>
                    <m:rPr>
                      <m:sty m:val="p"/>
                    </m:rPr>
                    <m:t>=</m:t>
                  </m:r>
                  <m:r>
                    <m:t>1</m:t>
                  </m:r>
                </m:sub>
                <m:sup>
                  <m:r>
                    <m:t>m</m:t>
                  </m:r>
                </m:sup>
                <m:e>
                  <m:sSub>
                    <m:e>
                      <m:r>
                        <m:t>w</m:t>
                      </m:r>
                    </m:e>
                    <m:sub>
                      <m:r>
                        <m:t>n</m:t>
                      </m:r>
                      <m:r>
                        <m:t>j</m:t>
                      </m:r>
                    </m:sub>
                  </m:sSub>
                  <m:sSub>
                    <m:e>
                      <m:acc>
                        <m:accPr>
                          <m:chr m:val="̂"/>
                        </m:accPr>
                        <m:e>
                          <m:r>
                            <m:t>θ</m:t>
                          </m:r>
                        </m:e>
                      </m:acc>
                    </m:e>
                    <m:sub>
                      <m:r>
                        <m:t>n</m:t>
                      </m:r>
                      <m:r>
                        <m:t>j</m:t>
                      </m:r>
                    </m:sub>
                  </m:sSub>
                </m:e>
              </m:nary>
            </m:num>
            <m:den>
              <m:nary>
                <m:naryPr>
                  <m:chr m:val="∑"/>
                  <m:limLoc m:val="undOvr"/>
                  <m:subHide m:val="off"/>
                  <m:supHide m:val="off"/>
                </m:naryPr>
                <m:sub>
                  <m:r>
                    <m:t>j</m:t>
                  </m:r>
                  <m:r>
                    <m:rPr>
                      <m:sty m:val="p"/>
                    </m:rPr>
                    <m:t>=</m:t>
                  </m:r>
                  <m:r>
                    <m:t>1</m:t>
                  </m:r>
                </m:sub>
                <m:sup>
                  <m:r>
                    <m:t>m</m:t>
                  </m:r>
                </m:sup>
                <m:e>
                  <m:sSub>
                    <m:e>
                      <m:r>
                        <m:t>w</m:t>
                      </m:r>
                    </m:e>
                    <m:sub>
                      <m:r>
                        <m:t>n</m:t>
                      </m:r>
                      <m:r>
                        <m:t>j</m:t>
                      </m:r>
                    </m:sub>
                  </m:sSub>
                </m:e>
              </m:nary>
            </m:den>
          </m:f>
        </m:oMath>
      </m:oMathPara>
    </w:p>
    <w:p>
      <w:pPr>
        <w:pStyle w:val="FirstParagraph"/>
      </w:pPr>
      <w:r>
        <w:t xml:space="preserve">where</w:t>
      </w:r>
      <w:r>
        <w:t xml:space="preserve"> </w:t>
      </w:r>
      <m:oMath>
        <m:sSub>
          <m:e>
            <m:acc>
              <m:accPr>
                <m:chr m:val="̂"/>
              </m:accPr>
              <m:e>
                <m:r>
                  <m:t>θ</m:t>
                </m:r>
              </m:e>
            </m:acc>
          </m:e>
          <m:sub>
            <m:r>
              <m:t>n</m:t>
            </m:r>
            <m:r>
              <m:t>j</m:t>
            </m:r>
          </m:sub>
        </m:sSub>
      </m:oMath>
      <w:r>
        <w:t xml:space="preserve"> </w:t>
      </w:r>
      <w:r>
        <w:t xml:space="preserve">and</w:t>
      </w:r>
      <w:r>
        <w:t xml:space="preserve"> </w:t>
      </w:r>
      <m:oMath>
        <m:sSub>
          <m:e>
            <m:r>
              <m:t>w</m:t>
            </m:r>
          </m:e>
          <m:sub>
            <m:r>
              <m:t>n</m:t>
            </m:r>
            <m:r>
              <m:t>j</m:t>
            </m:r>
          </m:sub>
        </m:sSub>
      </m:oMath>
      <w:r>
        <w:t xml:space="preserve"> </w:t>
      </w:r>
      <w:r>
        <w:t xml:space="preserve">are the estimates and weights of the new studies respectively, for</w:t>
      </w:r>
      <w:r>
        <w:t xml:space="preserve"> </w:t>
      </w:r>
      <m:oMath>
        <m:r>
          <m:t>j</m:t>
        </m:r>
        <m:r>
          <m:rPr>
            <m:sty m:val="p"/>
          </m:rPr>
          <m:t>=</m:t>
        </m:r>
        <m:r>
          <m:t>1</m:t>
        </m:r>
        <m:r>
          <m:rPr>
            <m:sty m:val="p"/>
          </m:rPr>
          <m:t>,</m:t>
        </m:r>
        <m:r>
          <m:t>2</m:t>
        </m:r>
        <m:r>
          <m:rPr>
            <m:sty m:val="p"/>
          </m:rPr>
          <m:t>,</m:t>
        </m:r>
        <m:r>
          <m:rPr>
            <m:sty m:val="p"/>
          </m:rPr>
          <m:t>.</m:t>
        </m:r>
        <m:r>
          <m:rPr>
            <m:sty m:val="p"/>
          </m:rPr>
          <m:t>.</m:t>
        </m:r>
        <m:r>
          <m:rPr>
            <m:sty m:val="p"/>
          </m:rPr>
          <m:t>.</m:t>
        </m:r>
        <m:r>
          <m:rPr>
            <m:sty m:val="p"/>
          </m:rPr>
          <m:t>,</m:t>
        </m:r>
        <m:r>
          <m:t>m</m:t>
        </m:r>
      </m:oMath>
      <w:r>
        <w:t xml:space="preserve">.</w:t>
      </w:r>
    </w:p>
    <w:p>
      <w:pPr>
        <w:pStyle w:val="BodyText"/>
      </w:pPr>
      <w:hyperlink w:anchor="fig-fixed-multiple-example">
        <w:r>
          <w:rPr>
            <w:rStyle w:val="Hyperlink"/>
          </w:rPr>
          <w:t xml:space="preserve">Figure 2.2</w:t>
        </w:r>
      </w:hyperlink>
      <w:r>
        <w:t xml:space="preserve"> </w:t>
      </w:r>
      <w:r>
        <w:t xml:space="preserve">gives an example of the plot under a fixed-effects framework with multiple new studies.</w:t>
      </w:r>
    </w:p>
    <w:p>
      <w:pPr>
        <w:pStyle w:val="SourceCode"/>
      </w:pPr>
      <w:r>
        <w:rPr>
          <w:rStyle w:val="VerbatimChar"/>
        </w:rPr>
        <w:t xml:space="preserve">[1] "Addition of new studies will give a statistically significant (alpha = 5e-04) pooled estimate"</w:t>
      </w:r>
    </w:p>
    <w:tbl>
      <w:tblPr>
        <w:tblStyle w:val="Table"/>
        <w:tblW w:type="pct" w:w="5000"/>
        <w:tblLayout w:type="fixed"/>
        <w:tblLook w:firstRow="0" w:lastRow="0" w:firstColumn="0" w:lastColumn="0" w:noHBand="0" w:noVBand="0" w:val="0000"/>
      </w:tblPr>
      <w:tblGrid>
        <w:gridCol w:w="7920"/>
      </w:tblGrid>
      <w:tr>
        <w:tc>
          <w:tcPr/>
          <w:bookmarkStart w:id="65" w:name="fig-fixed-multiple-example"/>
          <w:p>
            <w:pPr>
              <w:pStyle w:val="Compact"/>
              <w:jc w:val="center"/>
            </w:pPr>
            <w:r>
              <w:drawing>
                <wp:inline>
                  <wp:extent cx="5334000" cy="2133600"/>
                  <wp:effectExtent b="0" l="0" r="0" t="0"/>
                  <wp:docPr descr="" title="" id="63" name="Picture"/>
                  <a:graphic>
                    <a:graphicData uri="http://schemas.openxmlformats.org/drawingml/2006/picture">
                      <pic:pic>
                        <pic:nvPicPr>
                          <pic:cNvPr descr="Interpretation-tool_files/figure-docx/fig-fixed-multiple-example-1.png" id="64" name="Picture"/>
                          <pic:cNvPicPr>
                            <a:picLocks noChangeArrowheads="1" noChangeAspect="1"/>
                          </pic:cNvPicPr>
                        </pic:nvPicPr>
                        <pic:blipFill>
                          <a:blip r:embed="rId6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Example Langan plot under a fixed-effects framework with multiple new studies</w:t>
            </w:r>
          </w:p>
          <w:bookmarkEnd w:id="65"/>
        </w:tc>
      </w:tr>
    </w:tbl>
    <w:bookmarkEnd w:id="66"/>
    <w:bookmarkEnd w:id="67"/>
    <w:bookmarkStart w:id="74" w:name="specific-confidence-interval-bounds"/>
    <w:p>
      <w:pPr>
        <w:pStyle w:val="Heading3"/>
      </w:pPr>
      <w:r>
        <w:t xml:space="preserve">2.1.2 Specific confidence interval bounds</w:t>
      </w:r>
    </w:p>
    <w:p>
      <w:pPr>
        <w:pStyle w:val="FirstParagraph"/>
      </w:pPr>
      <w:r>
        <w:t xml:space="preserve">Let’s suppose that instead of wanting a statistically significant pooled estimate, that the researchers are looking for the 95% CI bounds to be at a certain value (likely of clinical importance).</w:t>
      </w:r>
    </w:p>
    <w:p>
      <w:pPr>
        <w:pStyle w:val="BodyText"/>
      </w:pPr>
      <w:r>
        <w:t xml:space="preserve">With statistical significance, the contour equations are calculated from stating that the upper or lower bounds must touch the null value,</w:t>
      </w:r>
      <w:r>
        <w:t xml:space="preserve"> </w:t>
      </w:r>
      <m:oMath>
        <m:sSub>
          <m:e>
            <m:r>
              <m:t>θ</m:t>
            </m:r>
          </m:e>
          <m:sub>
            <m:r>
              <m:t>0</m:t>
            </m:r>
          </m:sub>
        </m:sSub>
      </m:oMath>
      <w:r>
        <w:t xml:space="preserve">. In this scenario, the contour equations would be calculated from the following thresholds:</w:t>
      </w:r>
    </w:p>
    <w:p>
      <w:pPr>
        <w:pStyle w:val="BodyText"/>
      </w:pPr>
      <w:bookmarkStart w:id="68" w:name="eq-lower-bound"/>
      <m:oMathPara>
        <m:oMathParaPr>
          <m:jc m:val="center"/>
        </m:oMathParaPr>
        <m:oMath>
          <m:sSub>
            <m:e>
              <m:r>
                <m:t>θ</m:t>
              </m:r>
            </m:e>
            <m:sub>
              <m:r>
                <m:t>l</m:t>
              </m:r>
              <m:r>
                <m:t>o</m:t>
              </m:r>
              <m:r>
                <m:t>w</m:t>
              </m:r>
              <m:r>
                <m:t>e</m:t>
              </m:r>
              <m:r>
                <m:t>r</m:t>
              </m:r>
            </m:sub>
          </m:sSub>
          <m:r>
            <m:rPr>
              <m:sty m:val="p"/>
            </m:rPr>
            <m:t>=</m:t>
          </m:r>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2.10</m:t>
              </m:r>
            </m:e>
          </m:d>
        </m:oMath>
      </m:oMathPara>
      <w:bookmarkEnd w:id="68"/>
    </w:p>
    <w:p>
      <w:pPr>
        <w:pStyle w:val="FirstParagraph"/>
      </w:pPr>
      <w:bookmarkStart w:id="69" w:name="eq-upper-bound"/>
      <m:oMathPara>
        <m:oMathParaPr>
          <m:jc m:val="center"/>
        </m:oMathParaPr>
        <m:oMath>
          <m:sSub>
            <m:e>
              <m:r>
                <m:t>θ</m:t>
              </m:r>
            </m:e>
            <m:sub>
              <m:r>
                <m:t>u</m:t>
              </m:r>
              <m:r>
                <m:t>p</m:t>
              </m:r>
              <m:r>
                <m:t>p</m:t>
              </m:r>
              <m:r>
                <m:t>e</m:t>
              </m:r>
              <m:r>
                <m:t>r</m:t>
              </m:r>
            </m:sub>
          </m:sSub>
          <m:r>
            <m:rPr>
              <m:sty m:val="p"/>
            </m:rPr>
            <m:t>=</m:t>
          </m:r>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2.11</m:t>
              </m:r>
            </m:e>
          </m:d>
        </m:oMath>
      </m:oMathPara>
      <w:bookmarkEnd w:id="69"/>
    </w:p>
    <w:p>
      <w:pPr>
        <w:pStyle w:val="FirstParagraph"/>
      </w:pPr>
      <w:r>
        <w:t xml:space="preserve">where</w:t>
      </w:r>
      <w:r>
        <w:t xml:space="preserve"> </w:t>
      </w:r>
      <m:oMath>
        <m:sSub>
          <m:e>
            <m:r>
              <m:t>θ</m:t>
            </m:r>
          </m:e>
          <m:sub>
            <m:r>
              <m:t>l</m:t>
            </m:r>
            <m:r>
              <m:t>o</m:t>
            </m:r>
            <m:r>
              <m:t>w</m:t>
            </m:r>
            <m:r>
              <m:t>e</m:t>
            </m:r>
            <m:r>
              <m:t>r</m:t>
            </m:r>
          </m:sub>
        </m:sSub>
      </m:oMath>
      <w:r>
        <w:t xml:space="preserve"> </w:t>
      </w:r>
      <w:r>
        <w:t xml:space="preserve">and</w:t>
      </w:r>
      <w:r>
        <w:t xml:space="preserve"> </w:t>
      </w:r>
      <m:oMath>
        <m:sSub>
          <m:e>
            <m:r>
              <m:t>θ</m:t>
            </m:r>
          </m:e>
          <m:sub>
            <m:r>
              <m:t>u</m:t>
            </m:r>
            <m:r>
              <m:t>p</m:t>
            </m:r>
            <m:r>
              <m:t>p</m:t>
            </m:r>
            <m:r>
              <m:t>e</m:t>
            </m:r>
            <m:r>
              <m:t>r</m:t>
            </m:r>
          </m:sub>
        </m:sSub>
      </m:oMath>
      <w:r>
        <w:t xml:space="preserve"> </w:t>
      </w:r>
      <w:r>
        <w:t xml:space="preserve">are the user-defined lower and upper 95% CI bounds of interest.</w:t>
      </w:r>
    </w:p>
    <w:p>
      <w:pPr>
        <w:pStyle w:val="BodyText"/>
      </w:pPr>
      <w:r>
        <w:t xml:space="preserve">Substituting</w:t>
      </w:r>
      <w:r>
        <w:t xml:space="preserve"> </w:t>
      </w:r>
      <w:hyperlink w:anchor="eq-updated-estimate">
        <w:r>
          <w:rPr>
            <w:rStyle w:val="Hyperlink"/>
          </w:rPr>
          <w:t xml:space="preserve">Equation 2.2</w:t>
        </w:r>
      </w:hyperlink>
      <w:r>
        <w:t xml:space="preserve"> </w:t>
      </w:r>
      <w:r>
        <w:t xml:space="preserve">and</w:t>
      </w:r>
      <w:r>
        <w:t xml:space="preserve"> </w:t>
      </w:r>
      <w:hyperlink w:anchor="eq-updated-variance">
        <w:r>
          <w:rPr>
            <w:rStyle w:val="Hyperlink"/>
          </w:rPr>
          <w:t xml:space="preserve">Equation 2.3</w:t>
        </w:r>
      </w:hyperlink>
      <w:r>
        <w:t xml:space="preserve"> </w:t>
      </w:r>
      <w:r>
        <w:t xml:space="preserve">into</w:t>
      </w:r>
      <w:r>
        <w:t xml:space="preserve"> </w:t>
      </w:r>
      <w:hyperlink w:anchor="eq-lower-bound">
        <w:r>
          <w:rPr>
            <w:rStyle w:val="Hyperlink"/>
          </w:rPr>
          <w:t xml:space="preserve">Equation 2.10</w:t>
        </w:r>
      </w:hyperlink>
      <w:r>
        <w:t xml:space="preserve"> </w:t>
      </w:r>
      <w:r>
        <w:t xml:space="preserve">and</w:t>
      </w:r>
      <w:r>
        <w:t xml:space="preserve"> </w:t>
      </w:r>
      <w:hyperlink w:anchor="eq-upper-bound">
        <w:r>
          <w:rPr>
            <w:rStyle w:val="Hyperlink"/>
          </w:rPr>
          <w:t xml:space="preserve">Equation 2.11</w:t>
        </w:r>
      </w:hyperlink>
      <w:r>
        <w:t xml:space="preserve">, and rearranging gives the following expression(s) for</w:t>
      </w:r>
      <w:r>
        <w:t xml:space="preserve"> </w:t>
      </w:r>
      <m:oMath>
        <m:sSub>
          <m:e>
            <m:acc>
              <m:accPr>
                <m:chr m:val="̂"/>
              </m:accPr>
              <m:e>
                <m:r>
                  <m:t>θ</m:t>
                </m:r>
              </m:e>
            </m:acc>
          </m:e>
          <m:sub>
            <m:r>
              <m:t>n</m:t>
            </m:r>
            <m:r>
              <m:t>e</m:t>
            </m:r>
            <m:r>
              <m:t>w</m:t>
            </m:r>
          </m:sub>
        </m:sSub>
      </m:oMath>
      <w:r>
        <w:t xml:space="preserve">.</w:t>
      </w:r>
    </w:p>
    <w:p>
      <w:pPr>
        <w:pStyle w:val="BodyText"/>
      </w:pPr>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l</m:t>
              </m:r>
              <m:r>
                <m:t>o</m:t>
              </m:r>
              <m:r>
                <m:t>w</m:t>
              </m:r>
              <m:r>
                <m:t>e</m:t>
              </m:r>
              <m:r>
                <m:t>r</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oMath>
      </m:oMathPara>
    </w:p>
    <w:p>
      <w:pPr>
        <w:pStyle w:val="FirstParagraph"/>
      </w:pPr>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u</m:t>
              </m:r>
              <m:r>
                <m:t>p</m:t>
              </m:r>
              <m:r>
                <m:t>p</m:t>
              </m:r>
              <m:r>
                <m:t>e</m:t>
              </m:r>
              <m:r>
                <m:t>r</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oMath>
      </m:oMathPara>
    </w:p>
    <w:p>
      <w:pPr>
        <w:pStyle w:val="FirstParagraph"/>
      </w:pPr>
      <w:r>
        <w:t xml:space="preserve">Whilst in the fixed-effects framework, the extensions to multiple new studies is the same here as for statistical significance.</w:t>
      </w:r>
    </w:p>
    <w:p>
      <w:pPr>
        <w:pStyle w:val="BodyText"/>
      </w:pPr>
      <w:hyperlink w:anchor="fig-fixed-clinical-example">
        <w:r>
          <w:rPr>
            <w:rStyle w:val="Hyperlink"/>
          </w:rPr>
          <w:t xml:space="preserve">Figure 2.3</w:t>
        </w:r>
      </w:hyperlink>
      <w:r>
        <w:t xml:space="preserve"> </w:t>
      </w:r>
      <w:r>
        <w:t xml:space="preserve">gives an example of the plot under a fixed-effects framework but considering clinical significance.</w:t>
      </w:r>
    </w:p>
    <w:p>
      <w:pPr>
        <w:pStyle w:val="SourceCode"/>
      </w:pPr>
      <w:r>
        <w:rPr>
          <w:rStyle w:val="VerbatimChar"/>
        </w:rPr>
        <w:t xml:space="preserve">[1] "Addition of new study will not give a 95% CI that is lower than 0.9"</w:t>
      </w:r>
    </w:p>
    <w:tbl>
      <w:tblPr>
        <w:tblStyle w:val="Table"/>
        <w:tblW w:type="pct" w:w="5000"/>
        <w:tblLayout w:type="fixed"/>
        <w:tblLook w:firstRow="0" w:lastRow="0" w:firstColumn="0" w:lastColumn="0" w:noHBand="0" w:noVBand="0" w:val="0000"/>
      </w:tblPr>
      <w:tblGrid>
        <w:gridCol w:w="7920"/>
      </w:tblGrid>
      <w:tr>
        <w:tc>
          <w:tcPr/>
          <w:bookmarkStart w:id="73" w:name="fig-fixed-clinical-example"/>
          <w:p>
            <w:pPr>
              <w:pStyle w:val="Compact"/>
              <w:jc w:val="center"/>
            </w:pPr>
            <w:r>
              <w:drawing>
                <wp:inline>
                  <wp:extent cx="5334000" cy="2133600"/>
                  <wp:effectExtent b="0" l="0" r="0" t="0"/>
                  <wp:docPr descr="" title="" id="71" name="Picture"/>
                  <a:graphic>
                    <a:graphicData uri="http://schemas.openxmlformats.org/drawingml/2006/picture">
                      <pic:pic>
                        <pic:nvPicPr>
                          <pic:cNvPr descr="Interpretation-tool_files/figure-docx/fig-fixed-clinical-example-1.png" id="72" name="Picture"/>
                          <pic:cNvPicPr>
                            <a:picLocks noChangeArrowheads="1" noChangeAspect="1"/>
                          </pic:cNvPicPr>
                        </pic:nvPicPr>
                        <pic:blipFill>
                          <a:blip r:embed="rId70"/>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Example Langan plot under a fixed-effects framework with a new study considering a clinical significance of risk ratio 0.9 or less</w:t>
            </w:r>
          </w:p>
          <w:bookmarkEnd w:id="73"/>
        </w:tc>
      </w:tr>
    </w:tbl>
    <w:bookmarkEnd w:id="74"/>
    <w:bookmarkEnd w:id="75"/>
    <w:bookmarkStart w:id="100" w:name="sec-random-effects"/>
    <w:p>
      <w:pPr>
        <w:pStyle w:val="Heading2"/>
      </w:pPr>
      <w:r>
        <w:t xml:space="preserve">2.2 Random-effects</w:t>
      </w:r>
    </w:p>
    <w:p>
      <w:pPr>
        <w:pStyle w:val="FirstParagraph"/>
      </w:pPr>
      <w:r>
        <w:t xml:space="preserve">When working in the random-effects framework things get more complex as</w:t>
      </w:r>
      <w:r>
        <w:t xml:space="preserve"> </w:t>
      </w:r>
      <m:oMath>
        <m:sSup>
          <m:e>
            <m:r>
              <m:t>τ</m:t>
            </m:r>
          </m:e>
          <m:sup>
            <m:r>
              <m:t>2</m:t>
            </m:r>
          </m:sup>
        </m:sSup>
        <m:r>
          <m:rPr>
            <m:sty m:val="p"/>
          </m:rPr>
          <m:t>≠</m:t>
        </m:r>
        <m:r>
          <m:t>0</m:t>
        </m:r>
      </m:oMath>
      <w:r>
        <w:t xml:space="preserve"> </w:t>
      </w:r>
      <w:r>
        <w:t xml:space="preserve">and is estimated from the studies in the meta-analysis, including the new studies.</w:t>
      </w:r>
    </w:p>
    <w:p>
      <w:pPr>
        <w:pStyle w:val="BodyText"/>
      </w:pPr>
      <w:r>
        <w:t xml:space="preserve">Let’s start again with only considering one new study and aiming for a meta-analysis with statistical significance at the</w:t>
      </w:r>
      <w:r>
        <w:t xml:space="preserve"> </w:t>
      </w:r>
      <m:oMath>
        <m:r>
          <m:t>α</m:t>
        </m:r>
        <m:r>
          <m:rPr>
            <m:sty m:val="p"/>
          </m:rPr>
          <m:t>=</m:t>
        </m:r>
        <m:r>
          <m:t>0.05</m:t>
        </m:r>
      </m:oMath>
      <w:r>
        <w:t xml:space="preserve"> </w:t>
      </w:r>
      <w:r>
        <w:t xml:space="preserve">level.</w:t>
      </w:r>
    </w:p>
    <w:p>
      <w:pPr>
        <w:pStyle w:val="BodyText"/>
      </w:pPr>
      <w:r>
        <w:t xml:space="preserve">Under a random-effects framework, the weight for each study (including new studies) is instead calculated as</w:t>
      </w:r>
    </w:p>
    <w:p>
      <w:pPr>
        <w:pStyle w:val="BodyText"/>
      </w:pPr>
      <w:bookmarkStart w:id="76" w:name="eq-random-weight"/>
      <m:oMathPara>
        <m:oMathParaPr>
          <m:jc m:val="center"/>
        </m:oMathParaPr>
        <m:oMath>
          <m:sSub>
            <m:e>
              <m:r>
                <m:t>w</m:t>
              </m:r>
            </m:e>
            <m:sub>
              <m:r>
                <m:t>i</m:t>
              </m:r>
            </m:sub>
          </m:sSub>
          <m:r>
            <m:rPr>
              <m:sty m:val="p"/>
            </m:rPr>
            <m:t>=</m:t>
          </m:r>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bSup>
                <m:e>
                  <m:r>
                    <m:t>τ</m:t>
                  </m:r>
                </m:e>
                <m:sub>
                  <m:r>
                    <m:t>n</m:t>
                  </m:r>
                  <m:r>
                    <m:t>e</m:t>
                  </m:r>
                  <m:r>
                    <m:t>w</m:t>
                  </m:r>
                </m:sub>
                <m:sup>
                  <m:r>
                    <m:t>2</m:t>
                  </m:r>
                </m:sup>
              </m:sSubSup>
            </m:den>
          </m:f>
          <m:r>
            <m:t>  </m:t>
          </m:r>
          <m:d>
            <m:dPr>
              <m:begChr m:val="("/>
              <m:endChr m:val=")"/>
              <m:sepChr m:val=""/>
              <m:grow/>
            </m:dPr>
            <m:e>
              <m:r>
                <m:t>2.12</m:t>
              </m:r>
            </m:e>
          </m:d>
        </m:oMath>
      </m:oMathPara>
      <w:bookmarkEnd w:id="76"/>
    </w:p>
    <w:p>
      <w:pPr>
        <w:pStyle w:val="FirstParagraph"/>
      </w:pPr>
      <w:r>
        <w:t xml:space="preserve">where</w:t>
      </w:r>
      <w:r>
        <w:t xml:space="preserve"> </w:t>
      </w:r>
      <m:oMath>
        <m:sSubSup>
          <m:e>
            <m:r>
              <m:t>τ</m:t>
            </m:r>
          </m:e>
          <m:sub>
            <m:r>
              <m:t>n</m:t>
            </m:r>
            <m:r>
              <m:t>e</m:t>
            </m:r>
            <m:r>
              <m:t>w</m:t>
            </m:r>
          </m:sub>
          <m:sup>
            <m:r>
              <m:t>2</m:t>
            </m:r>
          </m:sup>
        </m:sSubSup>
      </m:oMath>
      <w:r>
        <w:t xml:space="preserve"> </w:t>
      </w:r>
      <w:r>
        <w:t xml:space="preserve">is the estimated between-study heterogeneity when included the new studies into the meta-analysis. Unfortunately, we can’t simply plug the random-effects equation for weights into the contour equations derived for fixed effects (</w:t>
      </w:r>
      <w:hyperlink w:anchor="eq-rearranged-theta-new">
        <w:r>
          <w:rPr>
            <w:rStyle w:val="Hyperlink"/>
          </w:rPr>
          <w:t xml:space="preserve">Equation 2.4</w:t>
        </w:r>
      </w:hyperlink>
      <w:r>
        <w:t xml:space="preserve">) as</w:t>
      </w:r>
      <w:r>
        <w:t xml:space="preserve"> </w:t>
      </w:r>
      <m:oMath>
        <m:sSubSup>
          <m:e>
            <m:r>
              <m:t>τ</m:t>
            </m:r>
          </m:e>
          <m:sub>
            <m:r>
              <m:t>n</m:t>
            </m:r>
            <m:r>
              <m:t>e</m:t>
            </m:r>
            <m:r>
              <m:t>w</m:t>
            </m:r>
          </m:sub>
          <m:sup>
            <m:r>
              <m:t>2</m:t>
            </m:r>
          </m:sup>
        </m:sSubSup>
      </m:oMath>
      <w:r>
        <w:t xml:space="preserve"> </w:t>
      </w:r>
      <w:r>
        <w:t xml:space="preserve">depends on</w:t>
      </w:r>
      <w:r>
        <w:t xml:space="preserve"> </w:t>
      </w:r>
      <m:oMath>
        <m:sSub>
          <m:e>
            <m:acc>
              <m:accPr>
                <m:chr m:val="̂"/>
              </m:accPr>
              <m:e>
                <m:r>
                  <m:t>θ</m:t>
                </m:r>
              </m:e>
            </m:acc>
          </m:e>
          <m:sub>
            <m:r>
              <m:t>n</m:t>
            </m:r>
            <m:r>
              <m:t>e</m:t>
            </m:r>
            <m:r>
              <m:t>w</m:t>
            </m:r>
          </m:sub>
        </m:sSub>
      </m:oMath>
      <w:r>
        <w:t xml:space="preserve">. Furthermore, we can’t simply plug in an equation for</w:t>
      </w:r>
      <w:r>
        <w:t xml:space="preserve"> </w:t>
      </w:r>
      <m:oMath>
        <m:sSubSup>
          <m:e>
            <m:r>
              <m:t>τ</m:t>
            </m:r>
          </m:e>
          <m:sub>
            <m:r>
              <m:t>n</m:t>
            </m:r>
            <m:r>
              <m:t>e</m:t>
            </m:r>
            <m:r>
              <m:t>w</m:t>
            </m:r>
          </m:sub>
          <m:sup>
            <m:r>
              <m:t>2</m:t>
            </m:r>
          </m:sup>
        </m:sSubSup>
      </m:oMath>
      <w:r>
        <w:t xml:space="preserve"> </w:t>
      </w:r>
      <w:r>
        <w:t xml:space="preserve">and rearrange as calculating an estimate for between-study heterogeneity is too complicated to do by hand, and so researchers often use established estimators instead, such as the DerSimonian-Laird estimator or Restricted Maximum Likelihood. (Note the further challenge, that these commonly used estimators wouldn’t allow us to incorporate the uncertainty in estimating between-study heterogeneity).</w:t>
      </w:r>
    </w:p>
    <w:p>
      <w:pPr>
        <w:pStyle w:val="BodyText"/>
      </w:pPr>
      <w:r>
        <w:t xml:space="preserve">As such, an equation to form the contour thresholds cannot be derived as was done for the fixed-effects framework. Instead, as per Langan et. al., the standard error-estimate plane is broken down into</w:t>
      </w:r>
      <w:r>
        <w:t xml:space="preserve"> </w:t>
      </w:r>
      <w:r>
        <w:t xml:space="preserve">‘pixels’</w:t>
      </w:r>
      <w:r>
        <w:t xml:space="preserve">, where</w:t>
      </w:r>
      <w:r>
        <w:t xml:space="preserve"> </w:t>
      </w:r>
      <m:oMath>
        <m:sSubSup>
          <m:e>
            <m:r>
              <m:t>τ</m:t>
            </m:r>
          </m:e>
          <m:sub>
            <m:r>
              <m:t>n</m:t>
            </m:r>
            <m:r>
              <m:t>e</m:t>
            </m:r>
            <m:r>
              <m:t>w</m:t>
            </m:r>
          </m:sub>
          <m:sup>
            <m:r>
              <m:t>2</m:t>
            </m:r>
          </m:sup>
        </m:sSubSup>
      </m:oMath>
      <w:r>
        <w:t xml:space="preserve"> </w:t>
      </w:r>
      <w:r>
        <w:t xml:space="preserve">is estimated at each pixel (calculated from the original studies as well as the new study represented by the pixel). For each pixel,</w:t>
      </w:r>
      <w:r>
        <w:t xml:space="preserve"> </w:t>
      </w:r>
      <m:oMath>
        <m:sSubSup>
          <m:e>
            <m:r>
              <m:t>τ</m:t>
            </m:r>
          </m:e>
          <m:sub>
            <m:r>
              <m:t>n</m:t>
            </m:r>
            <m:r>
              <m:t>e</m:t>
            </m:r>
            <m:r>
              <m:t>w</m:t>
            </m:r>
          </m:sub>
          <m:sup>
            <m:r>
              <m:t>2</m:t>
            </m:r>
          </m:sup>
        </m:sSubSup>
      </m:oMath>
      <w:r>
        <w:t xml:space="preserve">,</w:t>
      </w:r>
      <w:r>
        <w:t xml:space="preserve"> </w:t>
      </w:r>
      <m:oMath>
        <m:sSub>
          <m:e>
            <m:acc>
              <m:accPr>
                <m:chr m:val="̂"/>
              </m:accPr>
              <m:e>
                <m:r>
                  <m:t>θ</m:t>
                </m:r>
              </m:e>
            </m:acc>
          </m:e>
          <m:sub>
            <m:r>
              <m:t>n</m:t>
            </m:r>
            <m:r>
              <m:t>e</m:t>
            </m:r>
            <m:r>
              <m:t>w</m:t>
            </m:r>
          </m:sub>
        </m:sSub>
      </m:oMath>
      <w:r>
        <w:t xml:space="preserve">, and</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w:t>
      </w:r>
      <w:r>
        <w:t xml:space="preserve">are plugged into the meta-analysis equations (</w:t>
      </w:r>
      <w:r>
        <w:t xml:space="preserve"> </w:t>
      </w:r>
      <w:hyperlink w:anchor="eq-updated-estimate">
        <w:r>
          <w:rPr>
            <w:rStyle w:val="Hyperlink"/>
          </w:rPr>
          <w:t xml:space="preserve">Equation 2.2</w:t>
        </w:r>
      </w:hyperlink>
      <w:r>
        <w:t xml:space="preserve"> </w:t>
      </w:r>
      <w:r>
        <w:t xml:space="preserve">and</w:t>
      </w:r>
      <w:r>
        <w:t xml:space="preserve"> </w:t>
      </w:r>
      <w:hyperlink w:anchor="eq-updated-variance">
        <w:r>
          <w:rPr>
            <w:rStyle w:val="Hyperlink"/>
          </w:rPr>
          <w:t xml:space="preserve">Equation 2.3</w:t>
        </w:r>
      </w:hyperlink>
      <w:r>
        <w:t xml:space="preserve">), but using the weights calculated in</w:t>
      </w:r>
      <w:r>
        <w:t xml:space="preserve"> </w:t>
      </w:r>
      <w:hyperlink w:anchor="eq-random-weight">
        <w:r>
          <w:rPr>
            <w:rStyle w:val="Hyperlink"/>
          </w:rPr>
          <w:t xml:space="preserve">Equation 2.12</w:t>
        </w:r>
      </w:hyperlink>
      <w:r>
        <w:t xml:space="preserve">, and noted whether or not the threshold was crossed (i.e. whether 95% CI was one side of null effect). The result at each pixel is coloured according to whether the threshold was met. This easily extends to the clinical bound thresholds as well as the statistical significance.</w:t>
      </w:r>
    </w:p>
    <w:p>
      <w:pPr>
        <w:pStyle w:val="BodyText"/>
      </w:pPr>
      <w:hyperlink w:anchor="fig-random-single-example">
        <w:r>
          <w:rPr>
            <w:rStyle w:val="Hyperlink"/>
          </w:rPr>
          <w:t xml:space="preserve">Figure 2.4</w:t>
        </w:r>
      </w:hyperlink>
      <w:r>
        <w:t xml:space="preserve"> </w:t>
      </w:r>
      <w:r>
        <w:t xml:space="preserve">is an example of the plot under a random-effects framework with a single new study.</w:t>
      </w:r>
    </w:p>
    <w:p>
      <w:pPr>
        <w:pStyle w:val="SourceCode"/>
      </w:pPr>
      <w:r>
        <w:rPr>
          <w:rStyle w:val="VerbatimChar"/>
        </w:rPr>
        <w:t xml:space="preserve">[1] "Addition of new study will give a statistically significant (alpha = 0.1) pooled estimate"</w:t>
      </w:r>
    </w:p>
    <w:tbl>
      <w:tblPr>
        <w:tblStyle w:val="Table"/>
        <w:tblW w:type="pct" w:w="5000"/>
        <w:tblLayout w:type="fixed"/>
        <w:tblLook w:firstRow="0" w:lastRow="0" w:firstColumn="0" w:lastColumn="0" w:noHBand="0" w:noVBand="0" w:val="0000"/>
      </w:tblPr>
      <w:tblGrid>
        <w:gridCol w:w="7920"/>
      </w:tblGrid>
      <w:tr>
        <w:tc>
          <w:tcPr/>
          <w:bookmarkStart w:id="80" w:name="fig-random-single-example"/>
          <w:p>
            <w:pPr>
              <w:pStyle w:val="Compact"/>
              <w:jc w:val="center"/>
            </w:pPr>
            <w:r>
              <w:drawing>
                <wp:inline>
                  <wp:extent cx="5334000" cy="2133600"/>
                  <wp:effectExtent b="0" l="0" r="0" t="0"/>
                  <wp:docPr descr="" title="" id="78" name="Picture"/>
                  <a:graphic>
                    <a:graphicData uri="http://schemas.openxmlformats.org/drawingml/2006/picture">
                      <pic:pic>
                        <pic:nvPicPr>
                          <pic:cNvPr descr="Interpretation-tool_files/figure-docx/fig-random-single-example-1.png" id="79" name="Picture"/>
                          <pic:cNvPicPr>
                            <a:picLocks noChangeArrowheads="1" noChangeAspect="1"/>
                          </pic:cNvPicPr>
                        </pic:nvPicPr>
                        <pic:blipFill>
                          <a:blip r:embed="rId77"/>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Example Langan plot under a random-effects framework with a single new study</w:t>
            </w:r>
          </w:p>
          <w:bookmarkEnd w:id="80"/>
        </w:tc>
      </w:tr>
    </w:tbl>
    <w:bookmarkStart w:id="99" w:name="sec-multiple-new-studies-random"/>
    <w:p>
      <w:pPr>
        <w:pStyle w:val="Heading3"/>
      </w:pPr>
      <w:r>
        <w:t xml:space="preserve">2.2.1 Multiple new studies</w:t>
      </w:r>
    </w:p>
    <w:p>
      <w:pPr>
        <w:pStyle w:val="FirstParagraph"/>
      </w:pPr>
      <w:r>
        <w:t xml:space="preserve">Under the random-effects model, we have to take the estimate-variance plane</w:t>
      </w:r>
      <w:r>
        <w:t xml:space="preserve"> </w:t>
      </w:r>
      <w:r>
        <w:t xml:space="preserve">‘pixel-by-pixel’</w:t>
      </w:r>
      <w:r>
        <w:t xml:space="preserve">. When there was one new study, this was simple as the pixel had one set of possible values</w:t>
      </w:r>
      <w:r>
        <w:t xml:space="preserve"> </w:t>
      </w:r>
      <w:r>
        <w:t xml:space="preserve">‘attached’</w:t>
      </w:r>
      <w:r>
        <w:t xml:space="preserve"> </w:t>
      </w:r>
      <w:r>
        <w:t xml:space="preserve">to it that were easily obtained. When considering multiple new studies, the idea of using the</w:t>
      </w:r>
      <w:r>
        <w:t xml:space="preserve"> </w:t>
      </w:r>
      <w:r>
        <w:t xml:space="preserve">‘average’</w:t>
      </w:r>
      <w:r>
        <w:t xml:space="preserve"> </w:t>
      </w:r>
      <w:r>
        <w:t xml:space="preserve">(using random-effects weightings) of the new studies (as was done for fixed-effects) doesn’t work for multiple reasons. Firstly, for each pixel, it is not possible to know what new studies created the</w:t>
      </w:r>
      <w:r>
        <w:t xml:space="preserve"> </w:t>
      </w:r>
      <w:r>
        <w:t xml:space="preserve">‘average’</w:t>
      </w:r>
      <w:r>
        <w:t xml:space="preserve"> </w:t>
      </w:r>
      <w:r>
        <w:t xml:space="preserve">represented by the respective point. Without knowing the new studies, the between-study heterogeneity can’t be estimated. Secondly, different combinations of new studies could lead to the same</w:t>
      </w:r>
      <w:r>
        <w:t xml:space="preserve"> </w:t>
      </w:r>
      <w:r>
        <w:t xml:space="preserve">‘average’</w:t>
      </w:r>
      <w:r>
        <w:t xml:space="preserve"> </w:t>
      </w:r>
      <w:r>
        <w:t xml:space="preserve">effect size and standard error. It therefore follows that as there is no unique combination, there could be multiple different estimates of the between-study heterogeneity represented by a single pixel. To move forward, a compromise or assumption has to be made.</w:t>
      </w:r>
    </w:p>
    <w:p>
      <w:pPr>
        <w:pStyle w:val="BodyText"/>
      </w:pPr>
      <w:r>
        <w:t xml:space="preserve">One idea is to assume a constant between-study heterogeneity across all pixels in the plane. If this idea was to be carried out, then the optimal choice for the common between-study heterogeneity across all pixels would be the updated meta-analysis,</w:t>
      </w:r>
      <w:r>
        <w:t xml:space="preserve"> </w:t>
      </w:r>
      <m:oMath>
        <m:sSubSup>
          <m:e>
            <m:r>
              <m:t>τ</m:t>
            </m:r>
          </m:e>
          <m:sub>
            <m:r>
              <m:t>n</m:t>
            </m:r>
            <m:r>
              <m:t>e</m:t>
            </m:r>
            <m:r>
              <m:t>w</m:t>
            </m:r>
          </m:sub>
          <m:sup>
            <m:r>
              <m:t>2</m:t>
            </m:r>
          </m:sup>
        </m:sSubSup>
      </m:oMath>
      <w:r>
        <w:t xml:space="preserve">. Whilst the new studies</w:t>
      </w:r>
      <w:r>
        <w:t xml:space="preserve"> </w:t>
      </w:r>
      <w:r>
        <w:t xml:space="preserve">‘average’</w:t>
      </w:r>
      <w:r>
        <w:t xml:space="preserve"> </w:t>
      </w:r>
      <w:r>
        <w:t xml:space="preserve">would at least sit in the correct section of the plot, this becomes a very strong assumption as you get to more</w:t>
      </w:r>
      <w:r>
        <w:t xml:space="preserve"> </w:t>
      </w:r>
      <w:r>
        <w:t xml:space="preserve">‘extreme’</w:t>
      </w:r>
      <w:r>
        <w:t xml:space="preserve"> </w:t>
      </w:r>
      <w:r>
        <w:t xml:space="preserve">pixels/values. This has a consequence on the contours created, as the further extreme you go in the plot, the between-study heterogeneity is likely being underestimated, and therefore being coloured</w:t>
      </w:r>
      <w:r>
        <w:t xml:space="preserve"> </w:t>
      </w:r>
      <w:r>
        <w:t xml:space="preserve">‘incorrectly’</w:t>
      </w:r>
      <w:r>
        <w:t xml:space="preserve"> </w:t>
      </w:r>
      <w:r>
        <w:t xml:space="preserve">as leading to significance, whereas such cases would be unlikely.</w:t>
      </w:r>
    </w:p>
    <w:p>
      <w:pPr>
        <w:pStyle w:val="BodyText"/>
      </w:pPr>
      <w:r>
        <w:t xml:space="preserve">Another idea, that has less strong assumptions across the plot space is to consider the</w:t>
      </w:r>
      <w:r>
        <w:t xml:space="preserve"> </w:t>
      </w:r>
      <w:r>
        <w:t xml:space="preserve">‘average’</w:t>
      </w:r>
      <w:r>
        <w:t xml:space="preserve"> </w:t>
      </w:r>
      <w:r>
        <w:t xml:space="preserve">of the new studies, without taking into account the between-study heterogeneity, as the visual</w:t>
      </w:r>
      <w:r>
        <w:t xml:space="preserve"> </w:t>
      </w:r>
      <w:r>
        <w:t xml:space="preserve">‘contribution’</w:t>
      </w:r>
      <w:r>
        <w:t xml:space="preserve">. As mentioned earlier, using random-weightings requires knowledge of</w:t>
      </w:r>
      <w:r>
        <w:t xml:space="preserve"> </w:t>
      </w:r>
      <m:oMath>
        <m:sSup>
          <m:e>
            <m:r>
              <m:t>τ</m:t>
            </m:r>
          </m:e>
          <m:sup>
            <m:r>
              <m:t>2</m:t>
            </m:r>
          </m:sup>
        </m:sSup>
      </m:oMath>
      <w:r>
        <w:t xml:space="preserve">, but this isn’t possible without knowing the exact</w:t>
      </w:r>
      <w:r>
        <w:t xml:space="preserve"> </w:t>
      </w:r>
      <w:r>
        <w:t xml:space="preserve">‘layout’</w:t>
      </w:r>
      <w:r>
        <w:t xml:space="preserve"> </w:t>
      </w:r>
      <w:r>
        <w:t xml:space="preserve">of the multiple new studies. If we remove the</w:t>
      </w:r>
      <w:r>
        <w:t xml:space="preserve"> </w:t>
      </w:r>
      <m:oMath>
        <m:sSup>
          <m:e>
            <m:r>
              <m:t>τ</m:t>
            </m:r>
          </m:e>
          <m:sup>
            <m:r>
              <m:t>2</m:t>
            </m:r>
          </m:sup>
        </m:sSup>
      </m:oMath>
      <w:r>
        <w:t xml:space="preserve"> </w:t>
      </w:r>
      <w:r>
        <w:t xml:space="preserve">term, then things simplify.</w:t>
      </w:r>
    </w:p>
    <w:p>
      <w:pPr>
        <w:pStyle w:val="BodyText"/>
      </w:pPr>
      <w:r>
        <w:t xml:space="preserve">Let’s assume the visual contribution of the new studies (or</w:t>
      </w:r>
      <w:r>
        <w:t xml:space="preserve"> </w:t>
      </w:r>
      <w:r>
        <w:t xml:space="preserve">‘average’</w:t>
      </w:r>
      <w:r>
        <w:t xml:space="preserve">) that would be plotted (in addition to all the new studies) would be calculated as</w:t>
      </w:r>
    </w:p>
    <w:p>
      <w:pPr>
        <w:pStyle w:val="BodyText"/>
      </w:pPr>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nary>
                <m:naryPr>
                  <m:chr m:val="∑"/>
                  <m:limLoc m:val="undOvr"/>
                  <m:subHide m:val="off"/>
                  <m:supHide m:val="off"/>
                </m:naryPr>
                <m:sub>
                  <m:r>
                    <m:t>j</m:t>
                  </m:r>
                  <m:r>
                    <m:rPr>
                      <m:sty m:val="p"/>
                    </m:rPr>
                    <m:t>=</m:t>
                  </m:r>
                  <m:r>
                    <m:t>1</m:t>
                  </m:r>
                </m:sub>
                <m:sup>
                  <m:r>
                    <m:t>m</m:t>
                  </m:r>
                </m:sup>
                <m:e>
                  <m:f>
                    <m:fPr>
                      <m:type m:val="bar"/>
                    </m:fPr>
                    <m:num>
                      <m:sSub>
                        <m:e>
                          <m:acc>
                            <m:accPr>
                              <m:chr m:val="̂"/>
                            </m:accPr>
                            <m:e>
                              <m:r>
                                <m:t>θ</m:t>
                              </m:r>
                            </m:e>
                          </m:acc>
                        </m:e>
                        <m:sub>
                          <m:r>
                            <m:t>n</m:t>
                          </m:r>
                          <m:r>
                            <m:t>j</m:t>
                          </m:r>
                        </m:sub>
                      </m:sSub>
                    </m:num>
                    <m:den>
                      <m:r>
                        <m:t>v</m:t>
                      </m:r>
                      <m:r>
                        <m:t>a</m:t>
                      </m:r>
                      <m:r>
                        <m:t>r</m:t>
                      </m:r>
                      <m:d>
                        <m:dPr>
                          <m:begChr m:val="("/>
                          <m:endChr m:val=")"/>
                          <m:sepChr m:val=""/>
                          <m:grow/>
                        </m:dPr>
                        <m:e>
                          <m:sSub>
                            <m:e>
                              <m:acc>
                                <m:accPr>
                                  <m:chr m:val="̂"/>
                                </m:accPr>
                                <m:e>
                                  <m:r>
                                    <m:t>θ</m:t>
                                  </m:r>
                                </m:e>
                              </m:acc>
                            </m:e>
                            <m:sub>
                              <m:r>
                                <m:t>n</m:t>
                              </m:r>
                              <m:r>
                                <m:t>j</m:t>
                              </m:r>
                            </m:sub>
                          </m:sSub>
                        </m:e>
                      </m:d>
                    </m:den>
                  </m:f>
                </m:e>
              </m:nary>
            </m:num>
            <m:den>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den>
                  </m:f>
                </m:e>
              </m:nary>
            </m:den>
          </m:f>
        </m:oMath>
      </m:oMathPara>
    </w:p>
    <w:p>
      <w:pPr>
        <w:pStyle w:val="FirstParagraph"/>
      </w:pPr>
      <m:oMathPara>
        <m:oMathParaPr>
          <m:jc m:val="center"/>
        </m:oMathParaPr>
        <m:oMath>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r>
            <m:t>1</m:t>
          </m:r>
          <m:r>
            <m:rPr>
              <m:sty m:val="p"/>
            </m:rPr>
            <m:t>/</m:t>
          </m:r>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den>
              </m:f>
            </m:e>
          </m:nary>
        </m:oMath>
      </m:oMathPara>
    </w:p>
    <w:p>
      <w:pPr>
        <w:pStyle w:val="FirstParagraph"/>
      </w:pPr>
      <m:oMath>
        <m:r>
          <m:t>m</m:t>
        </m:r>
      </m:oMath>
      <w:r>
        <w:t xml:space="preserve"> </w:t>
      </w:r>
      <w:r>
        <w:t xml:space="preserve">is the number of new studies and</w:t>
      </w:r>
      <w:r>
        <w:t xml:space="preserve"> </w:t>
      </w:r>
      <m:oMath>
        <m:sSub>
          <m:e>
            <m:acc>
              <m:accPr>
                <m:chr m:val="̂"/>
              </m:accPr>
              <m:e>
                <m:r>
                  <m:t>θ</m:t>
                </m:r>
              </m:e>
            </m:acc>
          </m:e>
          <m:sub>
            <m:r>
              <m:t>n</m:t>
            </m:r>
            <m:r>
              <m:t>j</m:t>
            </m:r>
          </m:sub>
        </m:sSub>
      </m:oMath>
      <w:r>
        <w:t xml:space="preserve"> </w:t>
      </w:r>
      <w:r>
        <w:t xml:space="preserve">is the jth new study where</w:t>
      </w:r>
      <w:r>
        <w:t xml:space="preserve"> </w:t>
      </w:r>
      <m:oMath>
        <m:r>
          <m:t>j</m:t>
        </m:r>
        <m:r>
          <m:rPr>
            <m:sty m:val="p"/>
          </m:rPr>
          <m:t>=</m:t>
        </m:r>
        <m:r>
          <m:t>1</m:t>
        </m:r>
        <m:r>
          <m:rPr>
            <m:sty m:val="p"/>
          </m:rPr>
          <m:t>,</m:t>
        </m:r>
        <m:r>
          <m:rPr>
            <m:sty m:val="p"/>
          </m:rPr>
          <m:t>.</m:t>
        </m:r>
        <m:r>
          <m:rPr>
            <m:sty m:val="p"/>
          </m:rPr>
          <m:t>.</m:t>
        </m:r>
        <m:r>
          <m:rPr>
            <m:sty m:val="p"/>
          </m:rPr>
          <m:t>.</m:t>
        </m:r>
        <m:r>
          <m:rPr>
            <m:sty m:val="p"/>
          </m:rPr>
          <m:t>,</m:t>
        </m:r>
        <m:r>
          <m:t>m</m:t>
        </m:r>
      </m:oMath>
      <w:r>
        <w:t xml:space="preserve">.</w:t>
      </w:r>
    </w:p>
    <w:p>
      <w:pPr>
        <w:pStyle w:val="BodyText"/>
      </w:pPr>
      <w:r>
        <w:t xml:space="preserve">This new</w:t>
      </w:r>
      <w:r>
        <w:t xml:space="preserve"> </w:t>
      </w:r>
      <w:r>
        <w:t xml:space="preserve">‘average’</w:t>
      </w:r>
      <w:r>
        <w:t xml:space="preserve"> </w:t>
      </w:r>
      <w:r>
        <w:t xml:space="preserve">study is then added to the meta-analysis in the same manner as when we were only considering one new study. How much of a difference does this make?</w:t>
      </w:r>
    </w:p>
    <w:p>
      <w:pPr>
        <w:pStyle w:val="SourceCode"/>
      </w:pPr>
      <w:r>
        <w:br/>
      </w:r>
      <w:r>
        <w:rPr>
          <w:rStyle w:val="VerbatimChar"/>
        </w:rPr>
        <w:t xml:space="preserve">Random-Effects Model (k = 9; tau^2 estimator: DL)</w:t>
      </w:r>
      <w:r>
        <w:br/>
      </w:r>
      <w:r>
        <w:br/>
      </w:r>
      <w:r>
        <w:rPr>
          <w:rStyle w:val="VerbatimChar"/>
        </w:rPr>
        <w:t xml:space="preserve">tau^2 (estimated amount of total heterogeneity): 0.0979 (SE = 0.0879)</w:t>
      </w:r>
      <w:r>
        <w:br/>
      </w:r>
      <w:r>
        <w:rPr>
          <w:rStyle w:val="VerbatimChar"/>
        </w:rPr>
        <w:t xml:space="preserve">tau (square root of estimated tau^2 value):      0.3128</w:t>
      </w:r>
      <w:r>
        <w:br/>
      </w:r>
      <w:r>
        <w:rPr>
          <w:rStyle w:val="VerbatimChar"/>
        </w:rPr>
        <w:t xml:space="preserve">I^2 (total heterogeneity / total variability):   72.20%</w:t>
      </w:r>
      <w:r>
        <w:br/>
      </w:r>
      <w:r>
        <w:rPr>
          <w:rStyle w:val="VerbatimChar"/>
        </w:rPr>
        <w:t xml:space="preserve">H^2 (total variability / sampling variability):  3.60</w:t>
      </w:r>
      <w:r>
        <w:br/>
      </w:r>
      <w:r>
        <w:br/>
      </w:r>
      <w:r>
        <w:rPr>
          <w:rStyle w:val="VerbatimChar"/>
        </w:rPr>
        <w:t xml:space="preserve">Test for Heterogeneity:</w:t>
      </w:r>
      <w:r>
        <w:br/>
      </w:r>
      <w:r>
        <w:rPr>
          <w:rStyle w:val="VerbatimChar"/>
        </w:rPr>
        <w:t xml:space="preserve">Q(df = 8) = 28.7783, p-val = 0.0003</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-0.3472  0.1403  -2.4746  0.0133  -0.6223  -0.0722  * </w:t>
      </w:r>
      <w:r>
        <w:br/>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Random-Effects Model (k = 7; tau^2 estimator: DL)</w:t>
      </w:r>
      <w:r>
        <w:br/>
      </w:r>
      <w:r>
        <w:br/>
      </w:r>
      <w:r>
        <w:rPr>
          <w:rStyle w:val="VerbatimChar"/>
        </w:rPr>
        <w:t xml:space="preserve">tau^2 (estimated amount of total heterogeneity): 0.0946 (SE = 0.1060)</w:t>
      </w:r>
      <w:r>
        <w:br/>
      </w:r>
      <w:r>
        <w:rPr>
          <w:rStyle w:val="VerbatimChar"/>
        </w:rPr>
        <w:t xml:space="preserve">tau (square root of estimated tau^2 value):      0.3075</w:t>
      </w:r>
      <w:r>
        <w:br/>
      </w:r>
      <w:r>
        <w:rPr>
          <w:rStyle w:val="VerbatimChar"/>
        </w:rPr>
        <w:t xml:space="preserve">I^2 (total heterogeneity / total variability):   74.78%</w:t>
      </w:r>
      <w:r>
        <w:br/>
      </w:r>
      <w:r>
        <w:rPr>
          <w:rStyle w:val="VerbatimChar"/>
        </w:rPr>
        <w:t xml:space="preserve">H^2 (total variability / sampling variability):  3.97</w:t>
      </w:r>
      <w:r>
        <w:br/>
      </w:r>
      <w:r>
        <w:br/>
      </w:r>
      <w:r>
        <w:rPr>
          <w:rStyle w:val="VerbatimChar"/>
        </w:rPr>
        <w:t xml:space="preserve">Test for Heterogeneity:</w:t>
      </w:r>
      <w:r>
        <w:br/>
      </w:r>
      <w:r>
        <w:rPr>
          <w:rStyle w:val="VerbatimChar"/>
        </w:rPr>
        <w:t xml:space="preserve">Q(df = 6) = 23.7942, p-val = 0.0006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-0.2817  0.1607  -1.7523  0.0797  -0.5967  0.0334  . </w:t>
      </w:r>
      <w:r>
        <w:br/>
      </w:r>
      <w:r>
        <w:br/>
      </w:r>
      <w:r>
        <w:rPr>
          <w:rStyle w:val="VerbatimChar"/>
        </w:rPr>
        <w:t xml:space="preserve">---</w:t>
      </w:r>
      <w:r>
        <w:br/>
      </w:r>
      <w:r>
        <w:rPr>
          <w:rStyle w:val="VerbatimChar"/>
        </w:rPr>
        <w:t xml:space="preserve">Signif. codes:  0 '***' 0.001 '**' 0.01 '*' 0.05 '.' 0.1 ' ' 1</w:t>
      </w:r>
    </w:p>
    <w:p>
      <w:pPr>
        <w:pStyle w:val="FirstParagraph"/>
      </w:pPr>
      <w:r>
        <w:t xml:space="preserve">When including the additional studies as they are, we get a (log)RR of -0.347 with 95% CI: -0.622 to -0.072. Whereas when we make the additional studies into one new one based on inverse-variance weighting (without accounting for between-study heterogeneity), then the (log)RR is -0.2816593 with 95% CI: -0.597 to 0.033. Even though the estimates of between-study heterogeneity were similar (0.098 vs 0.095), the confidence bound move from being statistically significant to non-significant. This would lend itself to the visual contribution point to not match the true update (i.e., it wouldn’t sit in the coloured contour, but the updated meta-analysis diamond would indicate significance). So even though this method would be closer to the</w:t>
      </w:r>
      <w:r>
        <w:t xml:space="preserve"> </w:t>
      </w:r>
      <w:r>
        <w:t xml:space="preserve">‘truth’</w:t>
      </w:r>
      <w:r>
        <w:t xml:space="preserve"> </w:t>
      </w:r>
      <w:r>
        <w:t xml:space="preserve">across the plot than previously, it risks there containing conflicting visual elements, rendering the plot not a useful aid.</w:t>
      </w:r>
    </w:p>
    <w:p>
      <w:pPr>
        <w:pStyle w:val="BodyText"/>
      </w:pPr>
      <w:r>
        <w:t xml:space="preserve">Furthermore, it isn’t possible to write the overall pooled effect (and associated standard error) in terms of this suggested formula for new</w:t>
      </w:r>
      <w:r>
        <w:t xml:space="preserve"> </w:t>
      </w:r>
      <w:r>
        <w:t xml:space="preserve">‘average’</w:t>
      </w:r>
      <w:r>
        <w:t xml:space="preserve"> </w:t>
      </w:r>
      <w:r>
        <w:t xml:space="preserve">study due to the</w:t>
      </w:r>
      <w:r>
        <w:t xml:space="preserve"> </w:t>
      </w:r>
      <m:oMath>
        <m:sSup>
          <m:e>
            <m:r>
              <m:t>τ</m:t>
            </m:r>
          </m:e>
          <m:sup>
            <m:r>
              <m:t>2</m:t>
            </m:r>
          </m:sup>
        </m:sSup>
      </m:oMath>
      <w:r>
        <w:t xml:space="preserve"> </w:t>
      </w:r>
      <w:r>
        <w:t xml:space="preserve">term needing to be incorporating into each individual new study. I.e., if we treated the</w:t>
      </w:r>
      <w:r>
        <w:t xml:space="preserve"> </w:t>
      </w:r>
      <w:r>
        <w:t xml:space="preserve">‘average’</w:t>
      </w:r>
      <w:r>
        <w:t xml:space="preserve"> </w:t>
      </w:r>
      <w:r>
        <w:t xml:space="preserve">study as a single study (as is done when considering pixel by pixel), then</w:t>
      </w:r>
    </w:p>
    <w:p>
      <w:pPr>
        <w:pStyle w:val="BodyText"/>
      </w:pPr>
      <m:oMathPara>
        <m:oMathParaPr>
          <m:jc m:val="center"/>
        </m:oMathParaPr>
        <m:oMath>
          <m:r>
            <m:t>v</m:t>
          </m:r>
          <m:r>
            <m:t>a</m:t>
          </m:r>
          <m:r>
            <m:t>r</m:t>
          </m:r>
          <m:d>
            <m:dPr>
              <m:begChr m:val="("/>
              <m:endChr m:val=")"/>
              <m:sepChr m:val=""/>
              <m:grow/>
            </m:dPr>
            <m:e>
              <m:acc>
                <m:accPr>
                  <m:chr m:val="̂"/>
                </m:accPr>
                <m:e>
                  <m:r>
                    <m:t>θ</m:t>
                  </m:r>
                </m:e>
              </m:acc>
            </m:e>
          </m:d>
          <m:r>
            <m:rPr>
              <m:sty m:val="p"/>
            </m:rPr>
            <m:t>=</m:t>
          </m:r>
          <m:r>
            <m:t>1</m:t>
          </m:r>
          <m:r>
            <m:rPr>
              <m:sty m:val="p"/>
            </m:rPr>
            <m:t>/</m:t>
          </m:r>
          <m:d>
            <m:dPr>
              <m:begChr m:val="["/>
              <m:endChr m:val="]"/>
              <m:sepChr m:val=""/>
              <m:grow/>
            </m:dPr>
            <m:e>
              <m:nary>
                <m:naryPr>
                  <m:chr m:val="∑"/>
                  <m:limLoc m:val="undOvr"/>
                  <m:subHide m:val="off"/>
                  <m:supHide m:val="off"/>
                </m:naryPr>
                <m:sub>
                  <m:r>
                    <m:t>i</m:t>
                  </m:r>
                  <m:r>
                    <m:rPr>
                      <m:sty m:val="p"/>
                    </m:rPr>
                    <m:t>=</m:t>
                  </m:r>
                  <m:r>
                    <m:t>1</m:t>
                  </m:r>
                </m:sub>
                <m:sup>
                  <m:r>
                    <m:t>n</m:t>
                  </m:r>
                </m:sup>
                <m:e>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r>
                    <m:t>1</m:t>
                  </m:r>
                </m:num>
                <m:den>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sSup>
                    <m:e>
                      <m:r>
                        <m:t>τ</m:t>
                      </m:r>
                    </m:e>
                    <m:sup>
                      <m:r>
                        <m:t>2</m:t>
                      </m:r>
                    </m:sup>
                  </m:sSup>
                </m:den>
              </m:f>
            </m:e>
          </m:d>
        </m:oMath>
      </m:oMathPara>
    </w:p>
    <w:p>
      <w:pPr>
        <w:pStyle w:val="FirstParagraph"/>
      </w:pPr>
      <w:r>
        <w:t xml:space="preserve">but</w:t>
      </w:r>
    </w:p>
    <w:p>
      <w:pPr>
        <w:pStyle w:val="BodyText"/>
      </w:pPr>
      <m:oMathPara>
        <m:oMathParaPr>
          <m:jc m:val="center"/>
        </m:oMathParaPr>
        <m:oMath>
          <m:f>
            <m:fPr>
              <m:type m:val="bar"/>
            </m:fPr>
            <m:num>
              <m:r>
                <m:t>1</m:t>
              </m:r>
            </m:num>
            <m:den>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sSup>
                <m:e>
                  <m:r>
                    <m:t>τ</m:t>
                  </m:r>
                </m:e>
                <m:sup>
                  <m:r>
                    <m:t>2</m:t>
                  </m:r>
                </m:sup>
              </m:sSup>
            </m:den>
          </m:f>
          <m:r>
            <m:rPr>
              <m:sty m:val="p"/>
            </m:rPr>
            <m:t>=</m:t>
          </m:r>
          <m:r>
            <m:t>1</m:t>
          </m:r>
          <m:r>
            <m:rPr>
              <m:sty m:val="p"/>
            </m:rPr>
            <m:t>/</m:t>
          </m:r>
          <m:d>
            <m:dPr>
              <m:begChr m:val="["/>
              <m:endChr m:val="]"/>
              <m:sepChr m:val=""/>
              <m:grow/>
            </m:dPr>
            <m:e>
              <m:r>
                <m:t>1</m:t>
              </m:r>
              <m:r>
                <m:rPr>
                  <m:sty m:val="p"/>
                </m:rPr>
                <m:t>/</m:t>
              </m:r>
              <m:d>
                <m:dPr>
                  <m:begChr m:val="["/>
                  <m:endChr m:val="]"/>
                  <m:sepChr m:val=""/>
                  <m:grow/>
                </m:dPr>
                <m:e>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den>
                      </m:f>
                    </m:e>
                  </m:nary>
                </m:e>
              </m:d>
              <m:r>
                <m:rPr>
                  <m:sty m:val="p"/>
                </m:rPr>
                <m:t>+</m:t>
              </m:r>
              <m:sSup>
                <m:e>
                  <m:r>
                    <m:t>τ</m:t>
                  </m:r>
                </m:e>
                <m:sup>
                  <m:r>
                    <m:t>2</m:t>
                  </m:r>
                </m:sup>
              </m:sSup>
            </m:e>
          </m:d>
          <m:r>
            <m:rPr>
              <m:sty m:val="p"/>
            </m:rPr>
            <m:t>≠</m:t>
          </m:r>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r>
                    <m:rPr>
                      <m:sty m:val="p"/>
                    </m:rPr>
                    <m:t>+</m:t>
                  </m:r>
                  <m:sSup>
                    <m:e>
                      <m:r>
                        <m:t>τ</m:t>
                      </m:r>
                    </m:e>
                    <m:sup>
                      <m:r>
                        <m:t>2</m:t>
                      </m:r>
                    </m:sup>
                  </m:sSup>
                </m:den>
              </m:f>
            </m:e>
          </m:nary>
        </m:oMath>
      </m:oMathPara>
    </w:p>
    <w:p>
      <w:pPr>
        <w:pStyle w:val="FirstParagraph"/>
      </w:pPr>
      <w:r>
        <w:t xml:space="preserve">A third option fits</w:t>
      </w:r>
      <w:r>
        <w:t xml:space="preserve"> </w:t>
      </w:r>
      <w:r>
        <w:t xml:space="preserve">‘in between’</w:t>
      </w:r>
      <w:r>
        <w:t xml:space="preserve"> </w:t>
      </w:r>
      <w:r>
        <w:t xml:space="preserve">the first two options. Let us visualise the new contribution as the weighted average, taking into account the between-study heterogeneity (estimated from the updated meta-analysis,</w:t>
      </w:r>
      <w:r>
        <w:t xml:space="preserve"> </w:t>
      </w:r>
      <m:oMath>
        <m:sSubSup>
          <m:e>
            <m:acc>
              <m:accPr>
                <m:chr m:val="̂"/>
              </m:accPr>
              <m:e>
                <m:r>
                  <m:t>τ</m:t>
                </m:r>
              </m:e>
            </m:acc>
          </m:e>
          <m:sub>
            <m:r>
              <m:t>n</m:t>
            </m:r>
            <m:r>
              <m:t>e</m:t>
            </m:r>
            <m:r>
              <m:t>w</m:t>
            </m:r>
          </m:sub>
          <m:sup>
            <m:r>
              <m:t>2</m:t>
            </m:r>
          </m:sup>
        </m:sSubSup>
      </m:oMath>
      <w:r>
        <w:t xml:space="preserve">).</w:t>
      </w:r>
    </w:p>
    <w:p>
      <w:pPr>
        <w:pStyle w:val="BodyText"/>
      </w:pPr>
      <w:bookmarkStart w:id="81" w:name="eq-average-new-random"/>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nary>
                <m:naryPr>
                  <m:chr m:val="∑"/>
                  <m:limLoc m:val="undOvr"/>
                  <m:subHide m:val="off"/>
                  <m:supHide m:val="off"/>
                </m:naryPr>
                <m:sub>
                  <m:r>
                    <m:t>j</m:t>
                  </m:r>
                  <m:r>
                    <m:rPr>
                      <m:sty m:val="p"/>
                    </m:rPr>
                    <m:t>=</m:t>
                  </m:r>
                  <m:r>
                    <m:t>1</m:t>
                  </m:r>
                </m:sub>
                <m:sup>
                  <m:r>
                    <m:t>m</m:t>
                  </m:r>
                </m:sup>
                <m:e>
                  <m:f>
                    <m:fPr>
                      <m:type m:val="bar"/>
                    </m:fPr>
                    <m:num>
                      <m:sSub>
                        <m:e>
                          <m:acc>
                            <m:accPr>
                              <m:chr m:val="̂"/>
                            </m:accPr>
                            <m:e>
                              <m:r>
                                <m:t>θ</m:t>
                              </m:r>
                            </m:e>
                          </m:acc>
                        </m:e>
                        <m:sub>
                          <m:r>
                            <m:t>n</m:t>
                          </m:r>
                          <m:r>
                            <m:t>j</m:t>
                          </m:r>
                        </m:sub>
                      </m:sSub>
                    </m:num>
                    <m:den>
                      <m:r>
                        <m:t>v</m:t>
                      </m:r>
                      <m:r>
                        <m:t>a</m:t>
                      </m:r>
                      <m:r>
                        <m:t>r</m:t>
                      </m:r>
                      <m:d>
                        <m:dPr>
                          <m:begChr m:val="("/>
                          <m:endChr m:val=")"/>
                          <m:sepChr m:val=""/>
                          <m:grow/>
                        </m:dPr>
                        <m:e>
                          <m:sSub>
                            <m:e>
                              <m:acc>
                                <m:accPr>
                                  <m:chr m:val="̂"/>
                                </m:accPr>
                                <m:e>
                                  <m:r>
                                    <m:t>θ</m:t>
                                  </m:r>
                                </m:e>
                              </m:acc>
                            </m:e>
                            <m:sub>
                              <m:r>
                                <m:t>n</m:t>
                              </m:r>
                              <m:r>
                                <m:t>j</m:t>
                              </m:r>
                            </m:sub>
                          </m:sSub>
                        </m:e>
                      </m:d>
                      <m:r>
                        <m:rPr>
                          <m:sty m:val="p"/>
                        </m:rPr>
                        <m:t>+</m:t>
                      </m:r>
                      <m:sSubSup>
                        <m:e>
                          <m:r>
                            <m:t>τ</m:t>
                          </m:r>
                        </m:e>
                        <m:sub>
                          <m:r>
                            <m:t>n</m:t>
                          </m:r>
                          <m:r>
                            <m:t>e</m:t>
                          </m:r>
                          <m:r>
                            <m:t>w</m:t>
                          </m:r>
                        </m:sub>
                        <m:sup>
                          <m:r>
                            <m:t>2</m:t>
                          </m:r>
                        </m:sup>
                      </m:sSubSup>
                    </m:den>
                  </m:f>
                </m:e>
              </m:nary>
            </m:num>
            <m:den>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r>
                        <m:rPr>
                          <m:sty m:val="p"/>
                        </m:rPr>
                        <m:t>+</m:t>
                      </m:r>
                      <m:sSubSup>
                        <m:e>
                          <m:r>
                            <m:t>τ</m:t>
                          </m:r>
                        </m:e>
                        <m:sub>
                          <m:r>
                            <m:t>n</m:t>
                          </m:r>
                          <m:r>
                            <m:t>e</m:t>
                          </m:r>
                          <m:r>
                            <m:t>w</m:t>
                          </m:r>
                        </m:sub>
                        <m:sup>
                          <m:r>
                            <m:t>2</m:t>
                          </m:r>
                        </m:sup>
                      </m:sSubSup>
                    </m:den>
                  </m:f>
                </m:e>
              </m:nary>
            </m:den>
          </m:f>
          <m:r>
            <m:t>  </m:t>
          </m:r>
          <m:d>
            <m:dPr>
              <m:begChr m:val="("/>
              <m:endChr m:val=")"/>
              <m:sepChr m:val=""/>
              <m:grow/>
            </m:dPr>
            <m:e>
              <m:r>
                <m:t>2.13</m:t>
              </m:r>
            </m:e>
          </m:d>
        </m:oMath>
      </m:oMathPara>
      <w:bookmarkEnd w:id="81"/>
    </w:p>
    <w:p>
      <w:pPr>
        <w:pStyle w:val="FirstParagraph"/>
      </w:pPr>
      <w:bookmarkStart w:id="82" w:name="eq-average-new-var-random"/>
      <m:oMathPara>
        <m:oMathParaPr>
          <m:jc m:val="center"/>
        </m:oMathParaPr>
        <m:oMath>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r>
            <m:t>1</m:t>
          </m:r>
          <m:r>
            <m:rPr>
              <m:sty m:val="p"/>
            </m:rPr>
            <m:t>/</m:t>
          </m:r>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r>
                    <m:rPr>
                      <m:sty m:val="p"/>
                    </m:rPr>
                    <m:t>+</m:t>
                  </m:r>
                  <m:sSubSup>
                    <m:e>
                      <m:r>
                        <m:t>τ</m:t>
                      </m:r>
                    </m:e>
                    <m:sub>
                      <m:r>
                        <m:t>n</m:t>
                      </m:r>
                      <m:r>
                        <m:t>e</m:t>
                      </m:r>
                      <m:r>
                        <m:t>w</m:t>
                      </m:r>
                    </m:sub>
                    <m:sup>
                      <m:r>
                        <m:t>2</m:t>
                      </m:r>
                    </m:sup>
                  </m:sSubSup>
                </m:den>
              </m:f>
            </m:e>
          </m:nary>
          <m:r>
            <m:t>  </m:t>
          </m:r>
          <m:d>
            <m:dPr>
              <m:begChr m:val="("/>
              <m:endChr m:val=")"/>
              <m:sepChr m:val=""/>
              <m:grow/>
            </m:dPr>
            <m:e>
              <m:r>
                <m:t>2.14</m:t>
              </m:r>
            </m:e>
          </m:d>
        </m:oMath>
      </m:oMathPara>
      <w:bookmarkEnd w:id="82"/>
    </w:p>
    <w:p>
      <w:pPr>
        <w:pStyle w:val="FirstParagraph"/>
      </w:pPr>
      <w:r>
        <w:t xml:space="preserve">Now let’s consider each pixel on the plot. Each pixel is coloured according to the meta-analysis outcome which is derived from the pooled estimate and associated variance. When considering one new study (i.e., one new pixel), then we have the following equations (note that the</w:t>
      </w:r>
      <w:r>
        <w:t xml:space="preserve"> </w:t>
      </w:r>
      <m:oMath>
        <m:sSup>
          <m:e>
            <m:r>
              <m:t>τ</m:t>
            </m:r>
          </m:e>
          <m:sup>
            <m:r>
              <m:t>2</m:t>
            </m:r>
          </m:sup>
        </m:sSup>
      </m:oMath>
      <w:r>
        <w:t xml:space="preserve"> </w:t>
      </w:r>
      <w:r>
        <w:t xml:space="preserve">term is excluded from the terms referring to new studies - this is because it’s already incorporated in the</w:t>
      </w:r>
      <w:r>
        <w:t xml:space="preserve"> </w:t>
      </w:r>
      <w:r>
        <w:t xml:space="preserve">‘average’</w:t>
      </w:r>
      <w:r>
        <w:t xml:space="preserve"> </w:t>
      </w:r>
      <w:r>
        <w:t xml:space="preserve">values defined above):</w:t>
      </w:r>
    </w:p>
    <w:p>
      <w:pPr>
        <w:pStyle w:val="BodyText"/>
      </w:pPr>
      <w:bookmarkStart w:id="83" w:name="eq-pooled-est-random-new"/>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f>
                    <m:fPr>
                      <m:type m:val="bar"/>
                    </m:fPr>
                    <m:num>
                      <m:sSub>
                        <m:e>
                          <m:acc>
                            <m:accPr>
                              <m:chr m:val="̂"/>
                            </m:accPr>
                            <m:e>
                              <m:r>
                                <m:t>θ</m:t>
                              </m:r>
                            </m:e>
                          </m:acc>
                        </m:e>
                        <m:sub>
                          <m:r>
                            <m:t>i</m:t>
                          </m:r>
                        </m:sub>
                      </m:sSub>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sSub>
                    <m:e>
                      <m:acc>
                        <m:accPr>
                          <m:chr m:val="̂"/>
                        </m:accPr>
                        <m:e>
                          <m:r>
                            <m:t>θ</m:t>
                          </m:r>
                        </m:e>
                      </m:acc>
                    </m:e>
                    <m:sub>
                      <m:r>
                        <m:t>n</m:t>
                      </m:r>
                      <m:r>
                        <m:t>e</m:t>
                      </m:r>
                      <m:r>
                        <m:t>w</m:t>
                      </m:r>
                    </m:sub>
                  </m:sSub>
                </m:num>
                <m:den>
                  <m:r>
                    <m:t>v</m:t>
                  </m:r>
                  <m:r>
                    <m:t>a</m:t>
                  </m:r>
                  <m:r>
                    <m:t>r</m:t>
                  </m:r>
                  <m:d>
                    <m:dPr>
                      <m:begChr m:val="("/>
                      <m:endChr m:val=")"/>
                      <m:sepChr m:val=""/>
                      <m:grow/>
                    </m:dPr>
                    <m:e>
                      <m:sSub>
                        <m:e>
                          <m:acc>
                            <m:accPr>
                              <m:chr m:val="̂"/>
                            </m:accPr>
                            <m:e>
                              <m:r>
                                <m:t>θ</m:t>
                              </m:r>
                            </m:e>
                          </m:acc>
                        </m:e>
                        <m:sub>
                          <m:r>
                            <m:t>n</m:t>
                          </m:r>
                          <m:r>
                            <m:t>e</m:t>
                          </m:r>
                          <m:r>
                            <m:t>w</m:t>
                          </m:r>
                        </m:sub>
                      </m:sSub>
                    </m:e>
                  </m:d>
                </m:den>
              </m:f>
            </m:num>
            <m:den>
              <m:nary>
                <m:naryPr>
                  <m:chr m:val="∑"/>
                  <m:limLoc m:val="undOvr"/>
                  <m:subHide m:val="off"/>
                  <m:supHide m:val="off"/>
                </m:naryPr>
                <m:sub>
                  <m:r>
                    <m:t>i</m:t>
                  </m:r>
                  <m:r>
                    <m:rPr>
                      <m:sty m:val="p"/>
                    </m:rPr>
                    <m:t>=</m:t>
                  </m:r>
                  <m:r>
                    <m:t>1</m:t>
                  </m:r>
                </m:sub>
                <m:sup>
                  <m:r>
                    <m:t>n</m:t>
                  </m:r>
                </m:sup>
                <m:e>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den>
          </m:f>
          <m:r>
            <m:t>  </m:t>
          </m:r>
          <m:d>
            <m:dPr>
              <m:begChr m:val="("/>
              <m:endChr m:val=")"/>
              <m:sepChr m:val=""/>
              <m:grow/>
            </m:dPr>
            <m:e>
              <m:r>
                <m:t>2.15</m:t>
              </m:r>
            </m:e>
          </m:d>
        </m:oMath>
      </m:oMathPara>
      <w:bookmarkEnd w:id="83"/>
    </w:p>
    <w:p>
      <w:pPr>
        <w:pStyle w:val="FirstParagraph"/>
      </w:pPr>
      <w:bookmarkStart w:id="84" w:name="eq-pooled-se-random-new"/>
      <m:oMathPara>
        <m:oMathParaPr>
          <m:jc m:val="center"/>
        </m:oMathParaPr>
        <m:oMath>
          <m:r>
            <m:t>v</m:t>
          </m:r>
          <m:r>
            <m:t>a</m:t>
          </m:r>
          <m:r>
            <m:t>r</m:t>
          </m:r>
          <m:d>
            <m:dPr>
              <m:begChr m:val="("/>
              <m:endChr m:val=")"/>
              <m:sepChr m:val=""/>
              <m:grow/>
            </m:dPr>
            <m:e>
              <m:acc>
                <m:accPr>
                  <m:chr m:val="̂"/>
                </m:accPr>
                <m:e>
                  <m:r>
                    <m:t>θ</m:t>
                  </m:r>
                </m:e>
              </m:acc>
            </m:e>
          </m:d>
          <m:r>
            <m:rPr>
              <m:sty m:val="p"/>
            </m:rPr>
            <m:t>=</m:t>
          </m:r>
          <m:r>
            <m:t>1</m:t>
          </m:r>
          <m:r>
            <m:rPr>
              <m:sty m:val="p"/>
            </m:rPr>
            <m:t>/</m:t>
          </m:r>
          <m:nary>
            <m:naryPr>
              <m:chr m:val="∑"/>
              <m:limLoc m:val="undOvr"/>
              <m:subHide m:val="off"/>
              <m:supHide m:val="off"/>
            </m:naryPr>
            <m:sub>
              <m:r>
                <m:t>i</m:t>
              </m:r>
              <m:r>
                <m:rPr>
                  <m:sty m:val="p"/>
                </m:rPr>
                <m:t>=</m:t>
              </m:r>
              <m:r>
                <m:t>1</m:t>
              </m:r>
            </m:sub>
            <m:sup>
              <m:r>
                <m:t>n</m:t>
              </m:r>
            </m:sup>
            <m:e>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r>
            <m:t>  </m:t>
          </m:r>
          <m:d>
            <m:dPr>
              <m:begChr m:val="("/>
              <m:endChr m:val=")"/>
              <m:sepChr m:val=""/>
              <m:grow/>
            </m:dPr>
            <m:e>
              <m:r>
                <m:t>2.16</m:t>
              </m:r>
            </m:e>
          </m:d>
        </m:oMath>
      </m:oMathPara>
      <w:bookmarkEnd w:id="84"/>
    </w:p>
    <w:p>
      <w:pPr>
        <w:pStyle w:val="FirstParagraph"/>
      </w:pPr>
      <w:r>
        <w:t xml:space="preserve">However, as described earlier,</w:t>
      </w:r>
      <w:r>
        <w:t xml:space="preserve"> </w:t>
      </w:r>
      <m:oMath>
        <m:sSup>
          <m:e>
            <m:r>
              <m:t>τ</m:t>
            </m:r>
          </m:e>
          <m:sup>
            <m:r>
              <m:t>2</m:t>
            </m:r>
          </m:sup>
        </m:sSup>
      </m:oMath>
      <w:r>
        <w:t xml:space="preserve"> </w:t>
      </w:r>
      <w:r>
        <w:t xml:space="preserve">is calculated from the existing and new studies, but in this scenario, whilst we’re looking at one pixel, each pixel is representing multiple new studies, for which a unique</w:t>
      </w:r>
      <w:r>
        <w:t xml:space="preserve"> </w:t>
      </w:r>
      <m:oMath>
        <m:sSup>
          <m:e>
            <m:r>
              <m:t>τ</m:t>
            </m:r>
          </m:e>
          <m:sup>
            <m:r>
              <m:t>2</m:t>
            </m:r>
          </m:sup>
        </m:sSup>
      </m:oMath>
      <w:r>
        <w:t xml:space="preserve"> </w:t>
      </w:r>
      <w:r>
        <w:t xml:space="preserve">can not be calculated.</w:t>
      </w:r>
    </w:p>
    <w:p>
      <w:pPr>
        <w:pStyle w:val="BodyText"/>
      </w:pPr>
      <w:r>
        <w:t xml:space="preserve">In the first suggestion,</w:t>
      </w:r>
      <w:r>
        <w:t xml:space="preserve"> </w:t>
      </w:r>
      <m:oMath>
        <m:sSup>
          <m:e>
            <m:r>
              <m:t>τ</m:t>
            </m:r>
          </m:e>
          <m:sup>
            <m:r>
              <m:t>2</m:t>
            </m:r>
          </m:sup>
        </m:sSup>
        <m:r>
          <m:rPr>
            <m:sty m:val="p"/>
          </m:rPr>
          <m:t>=</m:t>
        </m:r>
        <m:sSubSup>
          <m:e>
            <m:r>
              <m:t>τ</m:t>
            </m:r>
          </m:e>
          <m:sub>
            <m:r>
              <m:t>n</m:t>
            </m:r>
            <m:r>
              <m:t>e</m:t>
            </m:r>
            <m:r>
              <m:t>w</m:t>
            </m:r>
          </m:sub>
          <m:sup>
            <m:r>
              <m:t>2</m:t>
            </m:r>
          </m:sup>
        </m:sSubSup>
      </m:oMath>
      <w:r>
        <w:t xml:space="preserve"> </w:t>
      </w:r>
      <w:r>
        <w:t xml:space="preserve">for each pixel. However, as described earlier, this leads to ill-defined contours. This third option will give an individual estimate of</w:t>
      </w:r>
      <w:r>
        <w:t xml:space="preserve"> </w:t>
      </w:r>
      <m:oMath>
        <m:sSup>
          <m:e>
            <m:r>
              <m:t>τ</m:t>
            </m:r>
          </m:e>
          <m:sup>
            <m:r>
              <m:t>2</m:t>
            </m:r>
          </m:sup>
        </m:sSup>
      </m:oMath>
      <w:r>
        <w:t xml:space="preserve"> </w:t>
      </w:r>
      <w:r>
        <w:t xml:space="preserve">for each pixel, derived below.</w:t>
      </w:r>
    </w:p>
    <w:p>
      <w:pPr>
        <w:pStyle w:val="BodyText"/>
      </w:pPr>
      <w:r>
        <w:t xml:space="preserve">In the appendix of Langan et. al., it shows how</w:t>
      </w:r>
      <w:r>
        <w:t xml:space="preserve"> </w:t>
      </w:r>
      <m:oMath>
        <m:sSup>
          <m:e>
            <m:r>
              <m:t>τ</m:t>
            </m:r>
          </m:e>
          <m:sup>
            <m:r>
              <m:t>2</m:t>
            </m:r>
          </m:sup>
        </m:sSup>
      </m:oMath>
      <w:r>
        <w:t xml:space="preserve"> </w:t>
      </w:r>
      <w:r>
        <w:t xml:space="preserve">can be estimated using a method of moments approach:</w:t>
      </w:r>
    </w:p>
    <w:p>
      <w:pPr>
        <w:pStyle w:val="BodyText"/>
      </w:pPr>
      <m:oMathPara>
        <m:oMathParaPr>
          <m:jc m:val="center"/>
        </m:oMathParaPr>
        <m:oMath>
          <m:sSup>
            <m:e>
              <m:acc>
                <m:accPr>
                  <m:chr m:val="̂"/>
                </m:accPr>
                <m:e>
                  <m:r>
                    <m:t>τ</m:t>
                  </m:r>
                </m:e>
              </m:acc>
            </m:e>
            <m:sup>
              <m:r>
                <m:t>2</m:t>
              </m:r>
            </m:sup>
          </m:sSup>
          <m:r>
            <m:rPr>
              <m:sty m:val="p"/>
            </m:rPr>
            <m:t>=</m:t>
          </m:r>
          <m:f>
            <m:fPr>
              <m:type m:val="bar"/>
            </m:fPr>
            <m:num>
              <m:r>
                <m:t>Q</m:t>
              </m:r>
              <m:r>
                <m:rPr>
                  <m:sty m:val="p"/>
                </m:rPr>
                <m:t>−</m:t>
              </m:r>
              <m:r>
                <m:t>n</m:t>
              </m:r>
            </m:num>
            <m:den>
              <m:r>
                <m:t>C</m:t>
              </m:r>
            </m:den>
          </m:f>
        </m:oMath>
      </m:oMathPara>
    </w:p>
    <w:p>
      <w:pPr>
        <w:pStyle w:val="FirstParagraph"/>
      </w:pPr>
      <w:r>
        <w:t xml:space="preserve">where Q is the test statistic in a standard test for heterogeneity, and C is a scaling factor [Langan reference 23]. Langan et. al. then show that for the combination of existing and new studies, Q and C can be written as</w:t>
      </w:r>
    </w:p>
    <w:p>
      <w:pPr>
        <w:pStyle w:val="BodyText"/>
      </w:pPr>
      <m:oMathPara>
        <m:oMathParaPr>
          <m:jc m:val="center"/>
        </m:oMathParaPr>
        <m:oMath>
          <m:r>
            <m:t>Q</m:t>
          </m:r>
          <m:r>
            <m:rPr>
              <m:sty m:val="p"/>
            </m:rPr>
            <m:t>=</m:t>
          </m:r>
          <m:nary>
            <m:naryPr>
              <m:chr m:val="∑"/>
              <m:limLoc m:val="undOvr"/>
              <m:subHide m:val="off"/>
              <m:supHide m:val="off"/>
            </m:naryPr>
            <m:sub>
              <m:r>
                <m:t>i</m:t>
              </m:r>
              <m:r>
                <m:rPr>
                  <m:sty m:val="p"/>
                </m:rPr>
                <m:t>=</m:t>
              </m:r>
              <m:r>
                <m:t>1</m:t>
              </m:r>
            </m:sub>
            <m:sup>
              <m:r>
                <m:t>n</m:t>
              </m:r>
            </m:sup>
            <m:e>
              <m:sSub>
                <m:e>
                  <m:r>
                    <m:t>w</m:t>
                  </m:r>
                </m:e>
                <m:sub>
                  <m:r>
                    <m:t>i</m:t>
                  </m:r>
                </m:sub>
              </m:sSub>
            </m:e>
          </m:nary>
          <m:sSubSup>
            <m:e>
              <m:acc>
                <m:accPr>
                  <m:chr m:val="̂"/>
                </m:accPr>
                <m:e>
                  <m:r>
                    <m:t>θ</m:t>
                  </m:r>
                </m:e>
              </m:acc>
            </m:e>
            <m:sub>
              <m:r>
                <m:t>i</m:t>
              </m:r>
            </m:sub>
            <m:sup>
              <m:r>
                <m:t>2</m:t>
              </m:r>
            </m:sup>
          </m:sSubSup>
          <m:r>
            <m:rPr>
              <m:sty m:val="p"/>
            </m:rPr>
            <m:t>+</m:t>
          </m:r>
          <m:sSub>
            <m:e>
              <m:r>
                <m:t>w</m:t>
              </m:r>
            </m:e>
            <m:sub>
              <m:r>
                <m:t>n</m:t>
              </m:r>
              <m:r>
                <m:t>e</m:t>
              </m:r>
              <m:r>
                <m:t>w</m:t>
              </m:r>
            </m:sub>
          </m:sSub>
          <m:sSubSup>
            <m:e>
              <m:acc>
                <m:accPr>
                  <m:chr m:val="̂"/>
                </m:accPr>
                <m:e>
                  <m:r>
                    <m:t>θ</m:t>
                  </m:r>
                </m:e>
              </m:acc>
            </m:e>
            <m:sub>
              <m:r>
                <m:t>n</m:t>
              </m:r>
              <m:r>
                <m:t>e</m:t>
              </m:r>
              <m:r>
                <m:t>w</m:t>
              </m:r>
            </m:sub>
            <m:sup>
              <m:r>
                <m:t>2</m:t>
              </m:r>
            </m:sup>
          </m:sSubSup>
          <m:r>
            <m:rPr>
              <m:sty m:val="p"/>
            </m:rPr>
            <m:t>−</m:t>
          </m:r>
          <m:f>
            <m:fPr>
              <m:type m:val="bar"/>
            </m:fPr>
            <m:num>
              <m:sSup>
                <m:e>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sSub>
                        <m:e>
                          <m:acc>
                            <m:accPr>
                              <m:chr m:val="̂"/>
                            </m:accPr>
                            <m:e>
                              <m:r>
                                <m:t>θ</m:t>
                              </m:r>
                            </m:e>
                          </m:acc>
                        </m:e>
                        <m:sub>
                          <m:r>
                            <m:t>i</m:t>
                          </m:r>
                        </m:sub>
                      </m:sSub>
                      <m:r>
                        <m:rPr>
                          <m:sty m:val="p"/>
                        </m:rPr>
                        <m:t>+</m:t>
                      </m:r>
                      <m:sSub>
                        <m:e>
                          <m:r>
                            <m:t>w</m:t>
                          </m:r>
                        </m:e>
                        <m:sub>
                          <m:r>
                            <m:t>n</m:t>
                          </m:r>
                          <m:r>
                            <m:t>e</m:t>
                          </m:r>
                          <m:r>
                            <m:t>w</m:t>
                          </m:r>
                        </m:sub>
                      </m:sSub>
                      <m:sSub>
                        <m:e>
                          <m:acc>
                            <m:accPr>
                              <m:chr m:val="̂"/>
                            </m:accPr>
                            <m:e>
                              <m:r>
                                <m:t>θ</m:t>
                              </m:r>
                            </m:e>
                          </m:acc>
                        </m:e>
                        <m:sub>
                          <m:r>
                            <m:t>n</m:t>
                          </m:r>
                          <m:r>
                            <m:t>e</m:t>
                          </m:r>
                          <m:r>
                            <m:t>w</m:t>
                          </m:r>
                        </m:sub>
                      </m:sSub>
                    </m:e>
                  </m:d>
                </m:e>
                <m:sup>
                  <m:r>
                    <m:t>2</m:t>
                  </m:r>
                </m:sup>
              </m:sSup>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oMath>
      </m:oMathPara>
    </w:p>
    <w:p>
      <w:pPr>
        <w:pStyle w:val="FirstParagraph"/>
      </w:pPr>
      <m:oMathPara>
        <m:oMathParaPr>
          <m:jc m:val="center"/>
        </m:oMathParaPr>
        <m:oMath>
          <m:r>
            <m:t>C</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r>
            <m:rPr>
              <m:sty m:val="p"/>
            </m:rPr>
            <m:t>−</m:t>
          </m:r>
          <m:f>
            <m:fPr>
              <m:type m:val="bar"/>
            </m:fPr>
            <m:num>
              <m:nary>
                <m:naryPr>
                  <m:chr m:val="∑"/>
                  <m:limLoc m:val="undOvr"/>
                  <m:subHide m:val="off"/>
                  <m:supHide m:val="off"/>
                </m:naryPr>
                <m:sub>
                  <m:r>
                    <m:t>i</m:t>
                  </m:r>
                  <m:r>
                    <m:rPr>
                      <m:sty m:val="p"/>
                    </m:rPr>
                    <m:t>=</m:t>
                  </m:r>
                  <m:r>
                    <m:t>1</m:t>
                  </m:r>
                </m:sub>
                <m:sup>
                  <m:r>
                    <m:t>n</m:t>
                  </m:r>
                </m:sup>
                <m:e>
                  <m:sSubSup>
                    <m:e>
                      <m:r>
                        <m:t>w</m:t>
                      </m:r>
                    </m:e>
                    <m:sub>
                      <m:r>
                        <m:t>i</m:t>
                      </m:r>
                    </m:sub>
                    <m:sup>
                      <m:r>
                        <m:t>2</m:t>
                      </m:r>
                    </m:sup>
                  </m:sSubSup>
                </m:e>
              </m:nary>
              <m:r>
                <m:rPr>
                  <m:sty m:val="p"/>
                </m:rPr>
                <m:t>+</m:t>
              </m:r>
              <m:sSubSup>
                <m:e>
                  <m:r>
                    <m:t>w</m:t>
                  </m:r>
                </m:e>
                <m:sub>
                  <m:r>
                    <m:t>n</m:t>
                  </m:r>
                  <m:r>
                    <m:t>e</m:t>
                  </m:r>
                  <m:r>
                    <m:t>w</m:t>
                  </m:r>
                </m:sub>
                <m:sup>
                  <m:r>
                    <m:t>2</m:t>
                  </m:r>
                </m:sup>
              </m:sSubSup>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oMath>
      </m:oMathPara>
    </w:p>
    <w:p>
      <w:pPr>
        <w:pStyle w:val="FirstParagraph"/>
      </w:pPr>
      <w:r>
        <w:t xml:space="preserve">Let’s simplify the notation and group together terms relating to the current studies:</w:t>
      </w:r>
    </w:p>
    <w:p>
      <w:pPr>
        <w:pStyle w:val="BodyText"/>
      </w:pPr>
      <m:oMathPara>
        <m:oMathParaPr>
          <m:jc m:val="center"/>
        </m:oMathParaPr>
        <m:oMath>
          <m:r>
            <m:t>V</m:t>
          </m:r>
          <m:r>
            <m:rPr>
              <m:sty m:val="p"/>
            </m:rPr>
            <m:t>=</m:t>
          </m:r>
          <m:nary>
            <m:naryPr>
              <m:chr m:val="∑"/>
              <m:limLoc m:val="undOvr"/>
              <m:subHide m:val="off"/>
              <m:supHide m:val="off"/>
            </m:naryPr>
            <m:sub>
              <m:r>
                <m:t>i</m:t>
              </m:r>
              <m:r>
                <m:rPr>
                  <m:sty m:val="p"/>
                </m:rPr>
                <m:t>=</m:t>
              </m:r>
              <m:r>
                <m:t>1</m:t>
              </m:r>
            </m:sub>
            <m:sup>
              <m:r>
                <m:t>n</m:t>
              </m:r>
            </m:sup>
            <m:e>
              <m:sSubSup>
                <m:e>
                  <m:r>
                    <m:t>w</m:t>
                  </m:r>
                </m:e>
                <m:sub>
                  <m:r>
                    <m:t>i</m:t>
                  </m:r>
                </m:sub>
                <m:sup>
                  <m:r>
                    <m:t>2</m:t>
                  </m:r>
                </m:sup>
              </m:sSubSup>
            </m:e>
          </m:nary>
          <m:r>
            <m:rPr>
              <m:sty m:val="p"/>
            </m:rPr>
            <m:t>,</m:t>
          </m:r>
          <m:r>
            <m:t>X</m:t>
          </m:r>
          <m:r>
            <m:rPr>
              <m:sty m:val="p"/>
            </m:rPr>
            <m:t>=</m:t>
          </m:r>
          <m:nary>
            <m:naryPr>
              <m:chr m:val="∑"/>
              <m:limLoc m:val="undOvr"/>
              <m:subHide m:val="off"/>
              <m:supHide m:val="off"/>
            </m:naryPr>
            <m:sub>
              <m:r>
                <m:t>i</m:t>
              </m:r>
              <m:r>
                <m:rPr>
                  <m:sty m:val="p"/>
                </m:rPr>
                <m:t>=</m:t>
              </m:r>
              <m:r>
                <m:t>1</m:t>
              </m:r>
            </m:sub>
            <m:sup>
              <m:r>
                <m:t>n</m:t>
              </m:r>
            </m:sup>
            <m:e>
              <m:sSub>
                <m:e>
                  <m:r>
                    <m:t>w</m:t>
                  </m:r>
                </m:e>
                <m:sub>
                  <m:r>
                    <m:t>i</m:t>
                  </m:r>
                </m:sub>
              </m:sSub>
            </m:e>
          </m:nary>
          <m:sSub>
            <m:e>
              <m:acc>
                <m:accPr>
                  <m:chr m:val="̂"/>
                </m:accPr>
                <m:e>
                  <m:r>
                    <m:t>θ</m:t>
                  </m:r>
                </m:e>
              </m:acc>
            </m:e>
            <m:sub>
              <m:r>
                <m:t>i</m:t>
              </m:r>
            </m:sub>
          </m:sSub>
          <m:r>
            <m:rPr>
              <m:sty m:val="p"/>
            </m:rPr>
            <m:t>,</m:t>
          </m:r>
          <m:r>
            <m:t>Y</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r>
            <m:t>Z</m:t>
          </m:r>
          <m:r>
            <m:rPr>
              <m:sty m:val="p"/>
            </m:rPr>
            <m:t>=</m:t>
          </m:r>
          <m:nary>
            <m:naryPr>
              <m:chr m:val="∑"/>
              <m:limLoc m:val="undOvr"/>
              <m:subHide m:val="off"/>
              <m:supHide m:val="off"/>
            </m:naryPr>
            <m:sub>
              <m:r>
                <m:t>i</m:t>
              </m:r>
              <m:r>
                <m:rPr>
                  <m:sty m:val="p"/>
                </m:rPr>
                <m:t>=</m:t>
              </m:r>
              <m:r>
                <m:t>1</m:t>
              </m:r>
            </m:sub>
            <m:sup>
              <m:r>
                <m:t>n</m:t>
              </m:r>
            </m:sup>
            <m:e>
              <m:sSub>
                <m:e>
                  <m:r>
                    <m:t>w</m:t>
                  </m:r>
                </m:e>
                <m:sub>
                  <m:r>
                    <m:t>i</m:t>
                  </m:r>
                </m:sub>
              </m:sSub>
            </m:e>
          </m:nary>
          <m:sSubSup>
            <m:e>
              <m:acc>
                <m:accPr>
                  <m:chr m:val="̂"/>
                </m:accPr>
                <m:e>
                  <m:r>
                    <m:t>θ</m:t>
                  </m:r>
                </m:e>
              </m:acc>
            </m:e>
            <m:sub>
              <m:r>
                <m:t>i</m:t>
              </m:r>
            </m:sub>
            <m:sup>
              <m:r>
                <m:t>2</m:t>
              </m:r>
            </m:sup>
          </m:sSubSup>
        </m:oMath>
      </m:oMathPara>
    </w:p>
    <w:p>
      <w:pPr>
        <w:pStyle w:val="FirstParagraph"/>
      </w:pPr>
      <w:r>
        <w:t xml:space="preserve">noting here that</w:t>
      </w:r>
      <w:r>
        <w:t xml:space="preserve"> </w:t>
      </w:r>
      <m:oMath>
        <m:sSub>
          <m:e>
            <m:r>
              <m:t>w</m:t>
            </m:r>
          </m:e>
          <m:sub>
            <m:r>
              <m:t>i</m:t>
            </m:r>
          </m:sub>
        </m:sSub>
      </m:oMath>
      <w:r>
        <w:t xml:space="preserve"> </w:t>
      </w:r>
      <w:r>
        <w:t xml:space="preserve">is simply the inverse-variance (i.e., doesn’t take into account any between-study heterogeneity, as that is what we’re estimating). Then we get the following estimate of between-study heterogeneity</w:t>
      </w:r>
    </w:p>
    <w:p>
      <w:pPr>
        <w:pStyle w:val="BodyText"/>
      </w:pPr>
      <w:bookmarkStart w:id="85" w:name="eq-tau2-estimate"/>
      <m:oMathPara>
        <m:oMathParaPr>
          <m:jc m:val="center"/>
        </m:oMathParaPr>
        <m:oMath>
          <m:sSup>
            <m:e>
              <m:acc>
                <m:accPr>
                  <m:chr m:val="̂"/>
                </m:accPr>
                <m:e>
                  <m:r>
                    <m:t>τ</m:t>
                  </m:r>
                </m:e>
              </m:acc>
            </m:e>
            <m:sup>
              <m:r>
                <m:t>2</m:t>
              </m:r>
            </m:sup>
          </m:sSup>
          <m:r>
            <m:rPr>
              <m:sty m:val="p"/>
            </m:rPr>
            <m:t>=</m:t>
          </m:r>
          <m:f>
            <m:fPr>
              <m:type m:val="bar"/>
            </m:fPr>
            <m:num>
              <m:r>
                <m:t>Z</m:t>
              </m:r>
              <m:r>
                <m:rPr>
                  <m:sty m:val="p"/>
                </m:rPr>
                <m:t>+</m:t>
              </m:r>
              <m:sSub>
                <m:e>
                  <m:r>
                    <m:t>w</m:t>
                  </m:r>
                </m:e>
                <m:sub>
                  <m:r>
                    <m:t>n</m:t>
                  </m:r>
                  <m:r>
                    <m:t>e</m:t>
                  </m:r>
                  <m:r>
                    <m:t>w</m:t>
                  </m:r>
                </m:sub>
              </m:sSub>
              <m:sSubSup>
                <m:e>
                  <m:acc>
                    <m:accPr>
                      <m:chr m:val="̂"/>
                    </m:accPr>
                    <m:e>
                      <m:r>
                        <m:t>θ</m:t>
                      </m:r>
                    </m:e>
                  </m:acc>
                </m:e>
                <m:sub>
                  <m:r>
                    <m:t>n</m:t>
                  </m:r>
                  <m:r>
                    <m:t>e</m:t>
                  </m:r>
                  <m:r>
                    <m:t>w</m:t>
                  </m:r>
                </m:sub>
                <m:sup>
                  <m:r>
                    <m:t>2</m:t>
                  </m:r>
                </m:sup>
              </m:sSubSup>
              <m:r>
                <m:rPr>
                  <m:sty m:val="p"/>
                </m:rPr>
                <m:t>−</m:t>
              </m:r>
              <m:f>
                <m:fPr>
                  <m:type m:val="bar"/>
                </m:fPr>
                <m:num>
                  <m:sSup>
                    <m:e>
                      <m:d>
                        <m:dPr>
                          <m:begChr m:val="("/>
                          <m:endChr m:val=")"/>
                          <m:sepChr m:val=""/>
                          <m:grow/>
                        </m:dPr>
                        <m:e>
                          <m:r>
                            <m:t>X</m:t>
                          </m:r>
                          <m:r>
                            <m:rPr>
                              <m:sty m:val="p"/>
                            </m:rPr>
                            <m:t>+</m:t>
                          </m:r>
                          <m:sSub>
                            <m:e>
                              <m:r>
                                <m:t>w</m:t>
                              </m:r>
                            </m:e>
                            <m:sub>
                              <m:r>
                                <m:t>n</m:t>
                              </m:r>
                              <m:r>
                                <m:t>e</m:t>
                              </m:r>
                              <m:r>
                                <m:t>w</m:t>
                              </m:r>
                            </m:sub>
                          </m:sSub>
                          <m:sSub>
                            <m:e>
                              <m:acc>
                                <m:accPr>
                                  <m:chr m:val="̂"/>
                                </m:accPr>
                                <m:e>
                                  <m:r>
                                    <m:t>θ</m:t>
                                  </m:r>
                                </m:e>
                              </m:acc>
                            </m:e>
                            <m:sub>
                              <m:r>
                                <m:t>n</m:t>
                              </m:r>
                              <m:r>
                                <m:t>e</m:t>
                              </m:r>
                              <m:r>
                                <m:t>w</m:t>
                              </m:r>
                            </m:sub>
                          </m:sSub>
                        </m:e>
                      </m:d>
                    </m:e>
                    <m:sup>
                      <m:r>
                        <m:t>2</m:t>
                      </m:r>
                    </m:sup>
                  </m:sSup>
                </m:num>
                <m:den>
                  <m:r>
                    <m:t>Y</m:t>
                  </m:r>
                  <m:r>
                    <m:rPr>
                      <m:sty m:val="p"/>
                    </m:rPr>
                    <m:t>+</m:t>
                  </m:r>
                  <m:sSub>
                    <m:e>
                      <m:r>
                        <m:t>w</m:t>
                      </m:r>
                    </m:e>
                    <m:sub>
                      <m:r>
                        <m:t>n</m:t>
                      </m:r>
                      <m:r>
                        <m:t>e</m:t>
                      </m:r>
                      <m:r>
                        <m:t>w</m:t>
                      </m:r>
                    </m:sub>
                  </m:sSub>
                </m:den>
              </m:f>
              <m:r>
                <m:rPr>
                  <m:sty m:val="p"/>
                </m:rPr>
                <m:t>−</m:t>
              </m:r>
              <m:r>
                <m:t>n</m:t>
              </m:r>
            </m:num>
            <m:den>
              <m:r>
                <m:t>Y</m:t>
              </m:r>
              <m:r>
                <m:rPr>
                  <m:sty m:val="p"/>
                </m:rPr>
                <m:t>+</m:t>
              </m:r>
              <m:sSub>
                <m:e>
                  <m:r>
                    <m:t>w</m:t>
                  </m:r>
                </m:e>
                <m:sub>
                  <m:r>
                    <m:t>n</m:t>
                  </m:r>
                  <m:r>
                    <m:t>e</m:t>
                  </m:r>
                  <m:r>
                    <m:t>w</m:t>
                  </m:r>
                </m:sub>
              </m:sSub>
              <m:r>
                <m:rPr>
                  <m:sty m:val="p"/>
                </m:rPr>
                <m:t>−</m:t>
              </m:r>
              <m:f>
                <m:fPr>
                  <m:type m:val="bar"/>
                </m:fPr>
                <m:num>
                  <m:r>
                    <m:t>V</m:t>
                  </m:r>
                  <m:r>
                    <m:rPr>
                      <m:sty m:val="p"/>
                    </m:rPr>
                    <m:t>+</m:t>
                  </m:r>
                  <m:sSubSup>
                    <m:e>
                      <m:r>
                        <m:t>w</m:t>
                      </m:r>
                    </m:e>
                    <m:sub>
                      <m:r>
                        <m:t>n</m:t>
                      </m:r>
                      <m:r>
                        <m:t>e</m:t>
                      </m:r>
                      <m:r>
                        <m:t>w</m:t>
                      </m:r>
                    </m:sub>
                    <m:sup>
                      <m:r>
                        <m:t>2</m:t>
                      </m:r>
                    </m:sup>
                  </m:sSubSup>
                </m:num>
                <m:den>
                  <m:r>
                    <m:t>Y</m:t>
                  </m:r>
                  <m:r>
                    <m:rPr>
                      <m:sty m:val="p"/>
                    </m:rPr>
                    <m:t>+</m:t>
                  </m:r>
                  <m:sSub>
                    <m:e>
                      <m:r>
                        <m:t>w</m:t>
                      </m:r>
                    </m:e>
                    <m:sub>
                      <m:r>
                        <m:t>n</m:t>
                      </m:r>
                      <m:r>
                        <m:t>e</m:t>
                      </m:r>
                      <m:r>
                        <m:t>w</m:t>
                      </m:r>
                    </m:sub>
                  </m:sSub>
                </m:den>
              </m:f>
            </m:den>
          </m:f>
          <m:r>
            <m:t>  </m:t>
          </m:r>
          <m:d>
            <m:dPr>
              <m:begChr m:val="("/>
              <m:endChr m:val=")"/>
              <m:sepChr m:val=""/>
              <m:grow/>
            </m:dPr>
            <m:e>
              <m:r>
                <m:t>2.17</m:t>
              </m:r>
            </m:e>
          </m:d>
        </m:oMath>
      </m:oMathPara>
      <w:bookmarkEnd w:id="85"/>
    </w:p>
    <w:p>
      <w:pPr>
        <w:pStyle w:val="FirstParagraph"/>
      </w:pPr>
      <w:r>
        <w:t xml:space="preserve">where the weights of the studies (current and new) are the inverse variance, and</w:t>
      </w:r>
      <w:r>
        <w:t xml:space="preserve"> </w:t>
      </w:r>
      <m:oMath>
        <m:r>
          <m:t>n</m:t>
        </m:r>
      </m:oMath>
      <w:r>
        <w:t xml:space="preserve"> </w:t>
      </w:r>
      <w:r>
        <w:t xml:space="preserve">is the number of current studies.</w:t>
      </w:r>
    </w:p>
    <w:p>
      <w:pPr>
        <w:pStyle w:val="BodyText"/>
      </w:pPr>
      <w:r>
        <w:t xml:space="preserve">This is the case for one new study and gives a good approximation for the between-study heterogeneity of the meta-analysis including the new study. Unfortunately, when expanding</w:t>
      </w:r>
      <w:r>
        <w:t xml:space="preserve"> </w:t>
      </w:r>
      <w:hyperlink w:anchor="eq-tau2-estimate">
        <w:r>
          <w:rPr>
            <w:rStyle w:val="Hyperlink"/>
          </w:rPr>
          <w:t xml:space="preserve">Equation 2.17</w:t>
        </w:r>
      </w:hyperlink>
      <w:r>
        <w:t xml:space="preserve"> </w:t>
      </w:r>
      <w:r>
        <w:t xml:space="preserve">to consider multiple new studies, it can’t be written it terms of</w:t>
      </w:r>
      <w:r>
        <w:t xml:space="preserve"> </w:t>
      </w:r>
      <m:oMath>
        <m:sSub>
          <m:e>
            <m:acc>
              <m:accPr>
                <m:chr m:val="̂"/>
              </m:accPr>
              <m:e>
                <m:r>
                  <m:t>θ</m:t>
                </m:r>
              </m:e>
            </m:acc>
          </m:e>
          <m:sub>
            <m:acc>
              <m:accPr>
                <m:chr m:val="‾"/>
              </m:accPr>
              <m:e>
                <m:r>
                  <m:t>n</m:t>
                </m:r>
                <m:r>
                  <m:t>e</m:t>
                </m:r>
                <m:r>
                  <m:t>w</m:t>
                </m:r>
              </m:e>
            </m:acc>
          </m:sub>
        </m:sSub>
      </m:oMath>
      <w:r>
        <w:t xml:space="preserve"> </w:t>
      </w:r>
      <w:r>
        <w:t xml:space="preserve">and</w:t>
      </w:r>
      <w:r>
        <w:t xml:space="preserve"> </w:t>
      </w:r>
      <m:oMath>
        <m:sSub>
          <m:e>
            <m:r>
              <m:t>w</m:t>
            </m:r>
          </m:e>
          <m:sub>
            <m:acc>
              <m:accPr>
                <m:chr m:val="‾"/>
              </m:accPr>
              <m:e>
                <m:r>
                  <m:t>n</m:t>
                </m:r>
                <m:r>
                  <m:t>e</m:t>
                </m:r>
                <m:r>
                  <m:t>w</m:t>
                </m:r>
              </m:e>
            </m:acc>
          </m:sub>
        </m:sSub>
      </m:oMath>
      <w:r>
        <w:t xml:space="preserve">, as we did for the fixed effects scenario due to the squared terms. We also can’t plug in the</w:t>
      </w:r>
      <w:r>
        <w:t xml:space="preserve"> </w:t>
      </w:r>
      <w:r>
        <w:t xml:space="preserve">‘average’</w:t>
      </w:r>
      <w:r>
        <w:t xml:space="preserve"> </w:t>
      </w:r>
      <w:r>
        <w:t xml:space="preserve">values, as those values include between-study heterogeneity - which is what is being estimated. However, varying</w:t>
      </w:r>
      <w:r>
        <w:t xml:space="preserve"> </w:t>
      </w:r>
      <w:hyperlink w:anchor="eq-tau2-estimate">
        <w:r>
          <w:rPr>
            <w:rStyle w:val="Hyperlink"/>
          </w:rPr>
          <w:t xml:space="preserve">Equation 2.17</w:t>
        </w:r>
      </w:hyperlink>
      <w:r>
        <w:t xml:space="preserve"> </w:t>
      </w:r>
      <w:r>
        <w:t xml:space="preserve">slightly, could give us a way to appropriately take into account between-study heterogeneity as we move further away from the</w:t>
      </w:r>
      <w:r>
        <w:t xml:space="preserve"> </w:t>
      </w:r>
      <w:r>
        <w:t xml:space="preserve">‘average’</w:t>
      </w:r>
      <w:r>
        <w:t xml:space="preserve"> </w:t>
      </w:r>
      <w:r>
        <w:t xml:space="preserve">new study that we do have data for.</w:t>
      </w:r>
    </w:p>
    <w:p>
      <w:pPr>
        <w:pStyle w:val="BodyText"/>
      </w:pPr>
      <w:r>
        <w:t xml:space="preserve">For each pixel, let</w:t>
      </w:r>
      <w:r>
        <w:t xml:space="preserve"> </w:t>
      </w:r>
      <m:oMath>
        <m:sSup>
          <m:e>
            <m:r>
              <m:t>τ</m:t>
            </m:r>
          </m:e>
          <m:sup>
            <m:r>
              <m:t>2</m:t>
            </m:r>
          </m:sup>
        </m:sSup>
      </m:oMath>
      <w:r>
        <w:t xml:space="preserve"> </w:t>
      </w:r>
      <w:r>
        <w:t xml:space="preserve">be estimated with the below:</w:t>
      </w:r>
    </w:p>
    <w:p>
      <w:pPr>
        <w:pStyle w:val="BodyText"/>
      </w:pPr>
      <w:bookmarkStart w:id="86" w:name="eq-tau2-estimate-adj"/>
      <m:oMathPara>
        <m:oMathParaPr>
          <m:jc m:val="center"/>
        </m:oMathParaPr>
        <m:oMath>
          <m:sSup>
            <m:e>
              <m:acc>
                <m:accPr>
                  <m:chr m:val="̂"/>
                </m:accPr>
                <m:e>
                  <m:r>
                    <m:t>τ</m:t>
                  </m:r>
                </m:e>
              </m:acc>
            </m:e>
            <m:sup>
              <m:r>
                <m:t>2</m:t>
              </m:r>
            </m:sup>
          </m:sSup>
          <m:r>
            <m:rPr>
              <m:sty m:val="p"/>
            </m:rPr>
            <m:t>=</m:t>
          </m:r>
          <m:f>
            <m:fPr>
              <m:type m:val="bar"/>
            </m:fPr>
            <m:num>
              <m:r>
                <m:t>Z</m:t>
              </m:r>
              <m:r>
                <m:rPr>
                  <m:sty m:val="p"/>
                </m:rPr>
                <m:t>+</m:t>
              </m:r>
              <m:f>
                <m:fPr>
                  <m:type m:val="bar"/>
                </m:fPr>
                <m:num>
                  <m:sSubSup>
                    <m:e>
                      <m:acc>
                        <m:accPr>
                          <m:chr m:val="̂"/>
                        </m:accPr>
                        <m:e>
                          <m:r>
                            <m:t>θ</m:t>
                          </m:r>
                        </m:e>
                      </m:acc>
                    </m:e>
                    <m:sub>
                      <m:r>
                        <m:t>n</m:t>
                      </m:r>
                      <m:r>
                        <m:t>e</m:t>
                      </m:r>
                      <m:r>
                        <m:t>w</m:t>
                      </m:r>
                    </m:sub>
                    <m:sup>
                      <m:r>
                        <m:t>2</m:t>
                      </m:r>
                    </m:sup>
                  </m:sSubSup>
                </m:num>
                <m:den>
                  <m:r>
                    <m:t>v</m:t>
                  </m:r>
                  <m:r>
                    <m:t>a</m:t>
                  </m:r>
                  <m:r>
                    <m:t>r</m:t>
                  </m:r>
                  <m:d>
                    <m:dPr>
                      <m:begChr m:val="("/>
                      <m:endChr m:val=")"/>
                      <m:sepChr m:val=""/>
                      <m:grow/>
                    </m:dPr>
                    <m:e>
                      <m:sSub>
                        <m:e>
                          <m:acc>
                            <m:accPr>
                              <m:chr m:val="̂"/>
                            </m:accPr>
                            <m:e>
                              <m:r>
                                <m:t>θ</m:t>
                              </m:r>
                            </m:e>
                          </m:acc>
                        </m:e>
                        <m:sub>
                          <m:r>
                            <m:t>n</m:t>
                          </m:r>
                          <m:r>
                            <m:t>e</m:t>
                          </m:r>
                          <m:r>
                            <m:t>w</m:t>
                          </m:r>
                        </m:sub>
                      </m:sSub>
                    </m:e>
                  </m:d>
                </m:den>
              </m:f>
              <m:r>
                <m:rPr>
                  <m:sty m:val="p"/>
                </m:rPr>
                <m:t>−</m:t>
              </m:r>
              <m:f>
                <m:fPr>
                  <m:type m:val="bar"/>
                </m:fPr>
                <m:num>
                  <m:sSup>
                    <m:e>
                      <m:d>
                        <m:dPr>
                          <m:begChr m:val="("/>
                          <m:endChr m:val=")"/>
                          <m:sepChr m:val=""/>
                          <m:grow/>
                        </m:dPr>
                        <m:e>
                          <m:r>
                            <m:t>X</m:t>
                          </m:r>
                          <m:r>
                            <m:rPr>
                              <m:sty m:val="p"/>
                            </m:rPr>
                            <m:t>+</m:t>
                          </m:r>
                          <m:f>
                            <m:fPr>
                              <m:type m:val="bar"/>
                            </m:fPr>
                            <m:num>
                              <m:sSub>
                                <m:e>
                                  <m:acc>
                                    <m:accPr>
                                      <m:chr m:val="̂"/>
                                    </m:accPr>
                                    <m:e>
                                      <m:r>
                                        <m:t>θ</m:t>
                                      </m:r>
                                    </m:e>
                                  </m:acc>
                                </m:e>
                                <m:sub>
                                  <m:r>
                                    <m:t>n</m:t>
                                  </m:r>
                                  <m:r>
                                    <m:t>e</m:t>
                                  </m:r>
                                  <m:r>
                                    <m:t>w</m:t>
                                  </m:r>
                                </m:sub>
                              </m:sSub>
                            </m:num>
                            <m:den>
                              <m:r>
                                <m:t>v</m:t>
                              </m:r>
                              <m:r>
                                <m:t>a</m:t>
                              </m:r>
                              <m:r>
                                <m:t>r</m:t>
                              </m:r>
                              <m:d>
                                <m:dPr>
                                  <m:begChr m:val="("/>
                                  <m:endChr m:val=")"/>
                                  <m:sepChr m:val=""/>
                                  <m:grow/>
                                </m:dPr>
                                <m:e>
                                  <m:sSub>
                                    <m:e>
                                      <m:acc>
                                        <m:accPr>
                                          <m:chr m:val="̂"/>
                                        </m:accPr>
                                        <m:e>
                                          <m:r>
                                            <m:t>θ</m:t>
                                          </m:r>
                                        </m:e>
                                      </m:acc>
                                    </m:e>
                                    <m:sub>
                                      <m:r>
                                        <m:t>n</m:t>
                                      </m:r>
                                      <m:r>
                                        <m:t>e</m:t>
                                      </m:r>
                                      <m:r>
                                        <m:t>w</m:t>
                                      </m:r>
                                    </m:sub>
                                  </m:sSub>
                                </m:e>
                              </m:d>
                            </m:den>
                          </m:f>
                        </m:e>
                      </m:d>
                    </m:e>
                    <m:sup>
                      <m:r>
                        <m:t>2</m:t>
                      </m:r>
                    </m:sup>
                  </m:sSup>
                </m:num>
                <m:den>
                  <m:r>
                    <m:t>Y</m:t>
                  </m:r>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den>
              </m:f>
              <m:r>
                <m:rPr>
                  <m:sty m:val="p"/>
                </m:rPr>
                <m:t>−</m:t>
              </m:r>
              <m:d>
                <m:dPr>
                  <m:begChr m:val="("/>
                  <m:endChr m:val=")"/>
                  <m:sepChr m:val=""/>
                  <m:grow/>
                </m:dPr>
                <m:e>
                  <m:r>
                    <m:t>n</m:t>
                  </m:r>
                  <m:r>
                    <m:rPr>
                      <m:sty m:val="p"/>
                    </m:rPr>
                    <m:t>+</m:t>
                  </m:r>
                  <m:r>
                    <m:t>m</m:t>
                  </m:r>
                  <m:r>
                    <m:rPr>
                      <m:sty m:val="p"/>
                    </m:rPr>
                    <m:t>−</m:t>
                  </m:r>
                  <m:r>
                    <m:t>1</m:t>
                  </m:r>
                </m:e>
              </m:d>
            </m:num>
            <m:den>
              <m:r>
                <m:t>Y</m:t>
              </m:r>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r>
                <m:rPr>
                  <m:sty m:val="p"/>
                </m:rPr>
                <m:t>−</m:t>
              </m:r>
              <m:f>
                <m:fPr>
                  <m:type m:val="bar"/>
                </m:fPr>
                <m:num>
                  <m:r>
                    <m:t>V</m:t>
                  </m:r>
                  <m:r>
                    <m:rPr>
                      <m:sty m:val="p"/>
                    </m:rPr>
                    <m:t>+</m:t>
                  </m:r>
                  <m:f>
                    <m:fPr>
                      <m:type m:val="bar"/>
                    </m:fPr>
                    <m:num>
                      <m:r>
                        <m:t>1</m:t>
                      </m:r>
                    </m:num>
                    <m:den>
                      <m:r>
                        <m:t>v</m:t>
                      </m:r>
                      <m:r>
                        <m:t>a</m:t>
                      </m:r>
                      <m:r>
                        <m:t>r</m:t>
                      </m:r>
                      <m:sSup>
                        <m:e>
                          <m:d>
                            <m:dPr>
                              <m:begChr m:val="("/>
                              <m:endChr m:val=")"/>
                              <m:sepChr m:val=""/>
                              <m:grow/>
                            </m:dPr>
                            <m:e>
                              <m:sSub>
                                <m:e>
                                  <m:acc>
                                    <m:accPr>
                                      <m:chr m:val="̂"/>
                                    </m:accPr>
                                    <m:e>
                                      <m:r>
                                        <m:t>θ</m:t>
                                      </m:r>
                                    </m:e>
                                  </m:acc>
                                </m:e>
                                <m:sub>
                                  <m:r>
                                    <m:t>n</m:t>
                                  </m:r>
                                  <m:r>
                                    <m:t>e</m:t>
                                  </m:r>
                                  <m:r>
                                    <m:t>w</m:t>
                                  </m:r>
                                </m:sub>
                              </m:sSub>
                            </m:e>
                          </m:d>
                        </m:e>
                        <m:sup>
                          <m:r>
                            <m:t>2</m:t>
                          </m:r>
                        </m:sup>
                      </m:sSup>
                    </m:den>
                  </m:f>
                </m:num>
                <m:den>
                  <m:r>
                    <m:t>Y</m:t>
                  </m:r>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den>
              </m:f>
            </m:den>
          </m:f>
          <m:r>
            <m:rPr>
              <m:sty m:val="p"/>
            </m:rPr>
            <m:t>*</m:t>
          </m:r>
          <m:r>
            <m:t>K</m:t>
          </m:r>
          <m:r>
            <m:t>  </m:t>
          </m:r>
          <m:d>
            <m:dPr>
              <m:begChr m:val="("/>
              <m:endChr m:val=")"/>
              <m:sepChr m:val=""/>
              <m:grow/>
            </m:dPr>
            <m:e>
              <m:r>
                <m:t>2.18</m:t>
              </m:r>
            </m:e>
          </m:d>
        </m:oMath>
      </m:oMathPara>
      <w:bookmarkEnd w:id="86"/>
    </w:p>
    <w:p>
      <w:pPr>
        <w:pStyle w:val="FirstParagraph"/>
      </w:pPr>
      <w:r>
        <w:t xml:space="preserve">where</w:t>
      </w:r>
      <w:r>
        <w:t xml:space="preserve"> </w:t>
      </w:r>
      <m:oMath>
        <m:r>
          <m:t>n</m:t>
        </m:r>
      </m:oMath>
      <w:r>
        <w:t xml:space="preserve"> </w:t>
      </w:r>
      <w:r>
        <w:t xml:space="preserve">and</w:t>
      </w:r>
      <w:r>
        <w:t xml:space="preserve"> </w:t>
      </w:r>
      <m:oMath>
        <m:r>
          <m:t>m</m:t>
        </m:r>
      </m:oMath>
      <w:r>
        <w:t xml:space="preserve"> </w:t>
      </w:r>
      <w:r>
        <w:t xml:space="preserve">are the number of existing and new studies respectively (and so accounting for the fact that this is actually multiple new studies rather than 1).</w:t>
      </w:r>
      <w:r>
        <w:t xml:space="preserve"> </w:t>
      </w:r>
      <m:oMath>
        <m:r>
          <m:t>K</m:t>
        </m:r>
      </m:oMath>
      <w:r>
        <w:t xml:space="preserve"> </w:t>
      </w:r>
      <w:r>
        <w:t xml:space="preserve">is calculated by substituting</w:t>
      </w:r>
      <w:r>
        <w:t xml:space="preserve"> </w:t>
      </w:r>
      <m:oMath>
        <m:sSup>
          <m:e>
            <m:acc>
              <m:accPr>
                <m:chr m:val="̂"/>
              </m:accPr>
              <m:e>
                <m:r>
                  <m:t>τ</m:t>
                </m:r>
              </m:e>
            </m:acc>
          </m:e>
          <m:sup>
            <m:r>
              <m:t>2</m:t>
            </m:r>
          </m:sup>
        </m:sSup>
      </m:oMath>
      <w:r>
        <w:t xml:space="preserve"> </w:t>
      </w:r>
      <w:r>
        <w:t xml:space="preserve">with</w:t>
      </w:r>
      <w:r>
        <w:t xml:space="preserve"> </w:t>
      </w:r>
      <m:oMath>
        <m:sSubSup>
          <m:e>
            <m:r>
              <m:t>τ</m:t>
            </m:r>
          </m:e>
          <m:sub>
            <m:r>
              <m:t>n</m:t>
            </m:r>
            <m:r>
              <m:t>e</m:t>
            </m:r>
            <m:r>
              <m:t>w</m:t>
            </m:r>
          </m:sub>
          <m:sup>
            <m:r>
              <m:t>2</m:t>
            </m:r>
          </m:sup>
        </m:sSubSup>
      </m:oMath>
      <w:r>
        <w:t xml:space="preserve">, and</w:t>
      </w:r>
      <w:r>
        <w:t xml:space="preserve"> </w:t>
      </w:r>
      <m:oMath>
        <m:sSub>
          <m:e>
            <m:acc>
              <m:accPr>
                <m:chr m:val="̂"/>
              </m:accPr>
              <m:e>
                <m:r>
                  <m:t>θ</m:t>
                </m:r>
              </m:e>
            </m:acc>
          </m:e>
          <m:sub>
            <m:r>
              <m:t>n</m:t>
            </m:r>
            <m:r>
              <m:t>e</m:t>
            </m:r>
            <m:r>
              <m:t>w</m:t>
            </m:r>
          </m:sub>
        </m:sSub>
      </m:oMath>
      <w:r>
        <w:t xml:space="preserve"> </w:t>
      </w:r>
      <w:r>
        <w:t xml:space="preserve">and</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w:t>
      </w:r>
      <w:r>
        <w:t xml:space="preserve">representing the</w:t>
      </w:r>
      <w:r>
        <w:t xml:space="preserve"> </w:t>
      </w:r>
      <w:r>
        <w:t xml:space="preserve">‘average’</w:t>
      </w:r>
      <w:r>
        <w:t xml:space="preserve"> </w:t>
      </w:r>
      <w:r>
        <w:t xml:space="preserve">new effect using</w:t>
      </w:r>
      <w:r>
        <w:t xml:space="preserve"> </w:t>
      </w:r>
      <w:hyperlink w:anchor="eq-pooled-est-random-new">
        <w:r>
          <w:rPr>
            <w:rStyle w:val="Hyperlink"/>
          </w:rPr>
          <w:t xml:space="preserve">Equation 2.15</w:t>
        </w:r>
      </w:hyperlink>
      <w:r>
        <w:t xml:space="preserve"> </w:t>
      </w:r>
      <w:r>
        <w:t xml:space="preserve">and</w:t>
      </w:r>
      <w:r>
        <w:t xml:space="preserve"> </w:t>
      </w:r>
      <w:hyperlink w:anchor="eq-pooled-se-random-new">
        <w:r>
          <w:rPr>
            <w:rStyle w:val="Hyperlink"/>
          </w:rPr>
          <w:t xml:space="preserve">Equation 2.16</w:t>
        </w:r>
      </w:hyperlink>
      <w:r>
        <w:t xml:space="preserve">. Then</w:t>
      </w:r>
      <w:r>
        <w:t xml:space="preserve"> </w:t>
      </w:r>
      <m:oMath>
        <m:r>
          <m:t>K</m:t>
        </m:r>
      </m:oMath>
      <w:r>
        <w:t xml:space="preserve"> </w:t>
      </w:r>
      <w:r>
        <w:t xml:space="preserve">is a scaling factor that ensures that at the co-ordinates that represent the</w:t>
      </w:r>
      <w:r>
        <w:t xml:space="preserve"> </w:t>
      </w:r>
      <w:r>
        <w:t xml:space="preserve">‘average’</w:t>
      </w:r>
      <w:r>
        <w:t xml:space="preserve"> </w:t>
      </w:r>
      <w:r>
        <w:t xml:space="preserve">new study, the pixel will be coloured according to meta-analysis results that are already known from including the new studies (and so marries up with the summary diamonds).</w:t>
      </w:r>
    </w:p>
    <w:p>
      <w:pPr>
        <w:pStyle w:val="BodyText"/>
      </w:pPr>
      <w:r>
        <w:t xml:space="preserve">Therefore, using</w:t>
      </w:r>
      <w:r>
        <w:t xml:space="preserve"> </w:t>
      </w:r>
      <w:hyperlink w:anchor="eq-tau2-estimate-adj">
        <w:r>
          <w:rPr>
            <w:rStyle w:val="Hyperlink"/>
          </w:rPr>
          <w:t xml:space="preserve">Equation 2.18</w:t>
        </w:r>
      </w:hyperlink>
      <w:r>
        <w:t xml:space="preserve"> </w:t>
      </w:r>
      <w:r>
        <w:t xml:space="preserve">essentially allows us to</w:t>
      </w:r>
      <w:r>
        <w:t xml:space="preserve"> </w:t>
      </w:r>
      <w:r>
        <w:t xml:space="preserve">‘start’</w:t>
      </w:r>
      <w:r>
        <w:t xml:space="preserve"> </w:t>
      </w:r>
      <w:r>
        <w:t xml:space="preserve">with the</w:t>
      </w:r>
      <w:r>
        <w:t xml:space="preserve"> </w:t>
      </w:r>
      <w:r>
        <w:t xml:space="preserve">‘known’</w:t>
      </w:r>
      <w:r>
        <w:t xml:space="preserve"> </w:t>
      </w:r>
      <w:r>
        <w:t xml:space="preserve">between-study heterogeneity estimate, and then adjust the between-study heterogeneity appropriately as we move further away from the</w:t>
      </w:r>
      <w:r>
        <w:t xml:space="preserve"> </w:t>
      </w:r>
      <w:r>
        <w:t xml:space="preserve">‘average’</w:t>
      </w:r>
      <w:r>
        <w:t xml:space="preserve"> </w:t>
      </w:r>
      <w:r>
        <w:t xml:space="preserve">new study.</w:t>
      </w:r>
    </w:p>
    <w:p>
      <w:pPr>
        <w:pStyle w:val="BodyText"/>
      </w:pPr>
      <w:r>
        <w:t xml:space="preserve">In our example,</w:t>
      </w:r>
      <w:r>
        <w:t xml:space="preserve"> </w:t>
      </w:r>
      <m:oMath>
        <m:sSubSup>
          <m:e>
            <m:r>
              <m:t>τ</m:t>
            </m:r>
          </m:e>
          <m:sub>
            <m:r>
              <m:t>n</m:t>
            </m:r>
            <m:r>
              <m:t>e</m:t>
            </m:r>
            <m:r>
              <m:t>w</m:t>
            </m:r>
          </m:sub>
          <m:sup>
            <m:r>
              <m:t>2</m:t>
            </m:r>
          </m:sup>
        </m:sSubSup>
      </m:oMath>
      <w:r>
        <w:t xml:space="preserve"> </w:t>
      </w:r>
      <w:r>
        <w:t xml:space="preserve">is estimated as being 0.098 and the weighted average values (using this estimated between-study heterogeneity)</w:t>
      </w:r>
      <w:r>
        <w:t xml:space="preserve"> </w:t>
      </w:r>
      <m:oMath>
        <m:sSub>
          <m:e>
            <m:r>
              <m:t>θ</m:t>
            </m:r>
          </m:e>
          <m:sub>
            <m:acc>
              <m:accPr>
                <m:chr m:val="‾"/>
              </m:accPr>
              <m:e>
                <m:r>
                  <m:t>n</m:t>
                </m:r>
                <m:r>
                  <m:t>e</m:t>
                </m:r>
                <m:r>
                  <m:t>w</m:t>
                </m:r>
              </m:e>
            </m:acc>
          </m:sub>
        </m:sSub>
      </m:oMath>
      <w:r>
        <w:t xml:space="preserve"> </w:t>
      </w:r>
      <w:r>
        <w:t xml:space="preserve">and</w:t>
      </w:r>
      <w:r>
        <w:t xml:space="preserve"> </w:t>
      </w:r>
      <m:oMath>
        <m:r>
          <m:t>v</m:t>
        </m:r>
        <m:r>
          <m:t>a</m:t>
        </m:r>
        <m:r>
          <m:t>r</m:t>
        </m:r>
        <m:d>
          <m:dPr>
            <m:begChr m:val="("/>
            <m:endChr m:val=")"/>
            <m:sepChr m:val=""/>
            <m:grow/>
          </m:dPr>
          <m:e>
            <m:sSub>
              <m:e>
                <m:acc>
                  <m:accPr>
                    <m:chr m:val="̂"/>
                  </m:accPr>
                  <m:e>
                    <m:r>
                      <m:t>θ</m:t>
                    </m:r>
                  </m:e>
                </m:acc>
              </m:e>
              <m:sub>
                <m:acc>
                  <m:accPr>
                    <m:chr m:val="‾"/>
                  </m:accPr>
                  <m:e>
                    <m:r>
                      <m:t>n</m:t>
                    </m:r>
                    <m:r>
                      <m:t>e</m:t>
                    </m:r>
                    <m:r>
                      <m:t>w</m:t>
                    </m:r>
                  </m:e>
                </m:acc>
              </m:sub>
            </m:sSub>
          </m:e>
        </m:d>
      </m:oMath>
      <w:r>
        <w:t xml:space="preserve"> </w:t>
      </w:r>
      <w:r>
        <w:t xml:space="preserve">are estimated to be -0.534 and 0.045. Plugging these into equation</w:t>
      </w:r>
      <w:r>
        <w:t xml:space="preserve"> </w:t>
      </w:r>
      <w:hyperlink w:anchor="eq-tau2-estimate-adj">
        <w:r>
          <w:rPr>
            <w:rStyle w:val="Hyperlink"/>
          </w:rPr>
          <w:t xml:space="preserve">Equation 2.18</w:t>
        </w:r>
      </w:hyperlink>
      <w:r>
        <w:t xml:space="preserve">, gives us an scaling factor of 1.919.</w:t>
      </w:r>
    </w:p>
    <w:p>
      <w:pPr>
        <w:pStyle w:val="BodyText"/>
      </w:pPr>
      <w:r>
        <w:t xml:space="preserve">One notices that with</w:t>
      </w:r>
      <w:r>
        <w:t xml:space="preserve"> </w:t>
      </w:r>
      <w:hyperlink w:anchor="fig-random-multiple-example-1">
        <w:r>
          <w:rPr>
            <w:rStyle w:val="Hyperlink"/>
          </w:rPr>
          <w:t xml:space="preserve">Figure 2.5</w:t>
        </w:r>
      </w:hyperlink>
      <w:r>
        <w:t xml:space="preserve"> </w:t>
      </w:r>
      <w:r>
        <w:t xml:space="preserve">below, it behaves very differently to when considering one new study. This is because for multiple studies under a random-effects framework, the pixels are actually representing something slightly different - each pixel is already partially taking into account the estimated between-study heterogeneity. This is taken into account by removing the</w:t>
      </w:r>
      <w:r>
        <w:t xml:space="preserve"> </w:t>
      </w:r>
      <m:oMath>
        <m:sSup>
          <m:e>
            <m:r>
              <m:t>τ</m:t>
            </m:r>
          </m:e>
          <m:sup>
            <m:r>
              <m:t>2</m:t>
            </m:r>
          </m:sup>
        </m:sSup>
      </m:oMath>
      <w:r>
        <w:t xml:space="preserve"> </w:t>
      </w:r>
      <w:r>
        <w:t xml:space="preserve">term from the new study elements of</w:t>
      </w:r>
      <w:r>
        <w:t xml:space="preserve"> </w:t>
      </w:r>
      <w:hyperlink w:anchor="eq-pooled-est-random-new">
        <w:r>
          <w:rPr>
            <w:rStyle w:val="Hyperlink"/>
          </w:rPr>
          <w:t xml:space="preserve">Equation 2.15</w:t>
        </w:r>
      </w:hyperlink>
      <w:r>
        <w:t xml:space="preserve"> </w:t>
      </w:r>
      <w:r>
        <w:t xml:space="preserve">and</w:t>
      </w:r>
      <w:r>
        <w:t xml:space="preserve"> </w:t>
      </w:r>
      <w:hyperlink w:anchor="eq-pooled-se-random-new">
        <w:r>
          <w:rPr>
            <w:rStyle w:val="Hyperlink"/>
          </w:rPr>
          <w:t xml:space="preserve">Equation 2.16</w:t>
        </w:r>
      </w:hyperlink>
      <w:r>
        <w:t xml:space="preserve">, and it’s this removal of</w:t>
      </w:r>
      <w:r>
        <w:t xml:space="preserve"> </w:t>
      </w:r>
      <m:oMath>
        <m:sSup>
          <m:e>
            <m:r>
              <m:t>τ</m:t>
            </m:r>
          </m:e>
          <m:sup>
            <m:r>
              <m:t>2</m:t>
            </m:r>
          </m:sup>
        </m:sSup>
      </m:oMath>
      <w:r>
        <w:t xml:space="preserve"> </w:t>
      </w:r>
      <w:r>
        <w:t xml:space="preserve">that causes there to be differently coloured pixels compared to if only including one study. Essentially, when the viewer is considering other pixels away from the</w:t>
      </w:r>
      <w:r>
        <w:t xml:space="preserve"> </w:t>
      </w:r>
      <w:r>
        <w:t xml:space="preserve">‘average’</w:t>
      </w:r>
      <w:r>
        <w:t xml:space="preserve"> </w:t>
      </w:r>
      <w:r>
        <w:t xml:space="preserve">found from the new studies, they need to consider whether such a random-weighted average would likely exist (i.e., the colour represents the meta-analysis result</w:t>
      </w:r>
      <w:r>
        <w:t xml:space="preserve"> </w:t>
      </w:r>
      <w:r>
        <w:rPr>
          <w:i/>
          <w:iCs/>
        </w:rPr>
        <w:t xml:space="preserve">assuming</w:t>
      </w:r>
      <w:r>
        <w:t xml:space="preserve"> </w:t>
      </w:r>
      <w:r>
        <w:t xml:space="preserve">that the average of</w:t>
      </w:r>
      <w:r>
        <w:t xml:space="preserve"> </w:t>
      </w:r>
      <m:oMath>
        <m:r>
          <m:t>m</m:t>
        </m:r>
      </m:oMath>
      <w:r>
        <w:t xml:space="preserve"> </w:t>
      </w:r>
      <w:r>
        <w:t xml:space="preserve">new studies, incorporating the estimated between-study heterogeneity, could sit at those pixel coordinates). Therefore, in this setting, the plot probably needs a warning to be careful when extracting far beyond the new data.</w:t>
      </w:r>
    </w:p>
    <w:p>
      <w:pPr>
        <w:pStyle w:val="SourceCode"/>
      </w:pPr>
      <w:r>
        <w:rPr>
          <w:rStyle w:val="VerbatimChar"/>
        </w:rPr>
        <w:t xml:space="preserve">[1] "Addition of new studies will give a statistically significant (alpha = 0.1) pooled estimate"</w:t>
      </w:r>
    </w:p>
    <w:tbl>
      <w:tblPr>
        <w:tblStyle w:val="Table"/>
        <w:tblW w:type="pct" w:w="5000"/>
        <w:tblLayout w:type="fixed"/>
        <w:tblLook w:firstRow="0" w:lastRow="0" w:firstColumn="0" w:lastColumn="0" w:noHBand="0" w:noVBand="0" w:val="0000"/>
      </w:tblPr>
      <w:tblGrid>
        <w:gridCol w:w="7920"/>
      </w:tblGrid>
      <w:tr>
        <w:tc>
          <w:tcPr/>
          <w:bookmarkStart w:id="90" w:name="fig-random-multiple-example-1"/>
          <w:p>
            <w:pPr>
              <w:pStyle w:val="Compact"/>
              <w:jc w:val="center"/>
            </w:pPr>
            <w:r>
              <w:drawing>
                <wp:inline>
                  <wp:extent cx="5334000" cy="2133600"/>
                  <wp:effectExtent b="0" l="0" r="0" t="0"/>
                  <wp:docPr descr="" title="" id="88" name="Picture"/>
                  <a:graphic>
                    <a:graphicData uri="http://schemas.openxmlformats.org/drawingml/2006/picture">
                      <pic:pic>
                        <pic:nvPicPr>
                          <pic:cNvPr descr="Interpretation-tool_files/figure-docx/fig-random-multiple-example-1-1.png" id="89" name="Picture"/>
                          <pic:cNvPicPr>
                            <a:picLocks noChangeArrowheads="1" noChangeAspect="1"/>
                          </pic:cNvPicPr>
                        </pic:nvPicPr>
                        <pic:blipFill>
                          <a:blip r:embed="rId87"/>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Example Langan plot under a random-effects framework with multiple new studies</w:t>
            </w:r>
          </w:p>
          <w:bookmarkEnd w:id="90"/>
        </w:tc>
      </w:tr>
    </w:tbl>
    <w:p>
      <w:pPr>
        <w:pStyle w:val="BodyText"/>
      </w:pPr>
      <w:r>
        <w:t xml:space="preserve">Because the between-study heterogeneity depends on all the studies, the contours technically depend on the new studies that were found (whereas the contours are</w:t>
      </w:r>
      <w:r>
        <w:t xml:space="preserve"> </w:t>
      </w:r>
      <w:r>
        <w:t xml:space="preserve">‘independent’</w:t>
      </w:r>
      <w:r>
        <w:t xml:space="preserve"> </w:t>
      </w:r>
      <w:r>
        <w:t xml:space="preserve">of the new studies in the other plots). But how different would they be? Let’s see the effect of a different set of three studies that show an opposite effect to previously.</w:t>
      </w:r>
    </w:p>
    <w:p>
      <w:pPr>
        <w:pStyle w:val="SourceCode"/>
      </w:pPr>
      <w:r>
        <w:rPr>
          <w:rStyle w:val="VerbatimChar"/>
        </w:rPr>
        <w:t xml:space="preserve">[1] "Addition of new studies will not give a statistically significant (alpha = 0.1) pooled estimate"</w:t>
      </w:r>
    </w:p>
    <w:tbl>
      <w:tblPr>
        <w:tblStyle w:val="Table"/>
        <w:tblW w:type="pct" w:w="5000"/>
        <w:tblLayout w:type="fixed"/>
        <w:tblLook w:firstRow="0" w:lastRow="0" w:firstColumn="0" w:lastColumn="0" w:noHBand="0" w:noVBand="0" w:val="0000"/>
      </w:tblPr>
      <w:tblGrid>
        <w:gridCol w:w="7920"/>
      </w:tblGrid>
      <w:tr>
        <w:tc>
          <w:tcPr/>
          <w:bookmarkStart w:id="94" w:name="fig-random-multiple-example-2"/>
          <w:p>
            <w:pPr>
              <w:pStyle w:val="Compact"/>
              <w:jc w:val="center"/>
            </w:pPr>
            <w:r>
              <w:drawing>
                <wp:inline>
                  <wp:extent cx="5334000" cy="2133600"/>
                  <wp:effectExtent b="0" l="0" r="0" t="0"/>
                  <wp:docPr descr="" title="" id="92" name="Picture"/>
                  <a:graphic>
                    <a:graphicData uri="http://schemas.openxmlformats.org/drawingml/2006/picture">
                      <pic:pic>
                        <pic:nvPicPr>
                          <pic:cNvPr descr="Interpretation-tool_files/figure-docx/fig-random-multiple-example-2-1.png" id="93" name="Picture"/>
                          <pic:cNvPicPr>
                            <a:picLocks noChangeArrowheads="1" noChangeAspect="1"/>
                          </pic:cNvPicPr>
                        </pic:nvPicPr>
                        <pic:blipFill>
                          <a:blip r:embed="rId91"/>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Another example Langan plot under a random-effects framework but with different multiple new studies</w:t>
            </w:r>
          </w:p>
          <w:bookmarkEnd w:id="94"/>
        </w:tc>
      </w:tr>
    </w:tbl>
    <w:p>
      <w:pPr>
        <w:pStyle w:val="BodyText"/>
      </w:pPr>
      <w:r>
        <w:t xml:space="preserve">The resulting plot,</w:t>
      </w:r>
      <w:r>
        <w:t xml:space="preserve"> </w:t>
      </w:r>
      <w:hyperlink w:anchor="fig-random-multiple-example-2">
        <w:r>
          <w:rPr>
            <w:rStyle w:val="Hyperlink"/>
          </w:rPr>
          <w:t xml:space="preserve">Figure 2.6</w:t>
        </w:r>
      </w:hyperlink>
      <w:r>
        <w:t xml:space="preserve">, is actually fairly similar, suggesting that it might not be as dangerous to extrapolate beyond the</w:t>
      </w:r>
      <w:r>
        <w:t xml:space="preserve"> </w:t>
      </w:r>
      <w:r>
        <w:t xml:space="preserve">‘average’</w:t>
      </w:r>
      <w:r>
        <w:t xml:space="preserve"> </w:t>
      </w:r>
      <w:r>
        <w:t xml:space="preserve">point as first anticipated.</w:t>
      </w:r>
    </w:p>
    <w:p>
      <w:pPr>
        <w:pStyle w:val="BodyText"/>
      </w:pPr>
      <w:r>
        <w:t xml:space="preserve">Lets see what happens when we have three new studies who, on their own, would have led to a non-significant result under a random-effects framework.</w:t>
      </w:r>
    </w:p>
    <w:p>
      <w:pPr>
        <w:pStyle w:val="SourceCode"/>
      </w:pPr>
      <w:r>
        <w:rPr>
          <w:rStyle w:val="VerbatimChar"/>
        </w:rPr>
        <w:t xml:space="preserve">[1] "Addition of new studies will give a statistically significant (alpha = 0.1) pooled estimate"</w:t>
      </w:r>
    </w:p>
    <w:tbl>
      <w:tblPr>
        <w:tblStyle w:val="Table"/>
        <w:tblW w:type="pct" w:w="5000"/>
        <w:tblLayout w:type="fixed"/>
        <w:tblLook w:firstRow="0" w:lastRow="0" w:firstColumn="0" w:lastColumn="0" w:noHBand="0" w:noVBand="0" w:val="0000"/>
      </w:tblPr>
      <w:tblGrid>
        <w:gridCol w:w="7920"/>
      </w:tblGrid>
      <w:tr>
        <w:tc>
          <w:tcPr/>
          <w:bookmarkStart w:id="98" w:name="fig-random-multiple-example-3"/>
          <w:p>
            <w:pPr>
              <w:pStyle w:val="Compact"/>
              <w:jc w:val="center"/>
            </w:pPr>
            <w:r>
              <w:drawing>
                <wp:inline>
                  <wp:extent cx="5334000" cy="2133600"/>
                  <wp:effectExtent b="0" l="0" r="0" t="0"/>
                  <wp:docPr descr="" title="" id="96" name="Picture"/>
                  <a:graphic>
                    <a:graphicData uri="http://schemas.openxmlformats.org/drawingml/2006/picture">
                      <pic:pic>
                        <pic:nvPicPr>
                          <pic:cNvPr descr="Interpretation-tool_files/figure-docx/fig-random-multiple-example-3-1.png" id="97" name="Picture"/>
                          <pic:cNvPicPr>
                            <a:picLocks noChangeArrowheads="1" noChangeAspect="1"/>
                          </pic:cNvPicPr>
                        </pic:nvPicPr>
                        <pic:blipFill>
                          <a:blip r:embed="rId95"/>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Another example Langan plot under a random-effects framework with multiple new studies which wouldn’t lead to significance on their own</w:t>
            </w:r>
          </w:p>
          <w:bookmarkEnd w:id="98"/>
        </w:tc>
      </w:tr>
    </w:tbl>
    <w:p>
      <w:pPr>
        <w:pStyle w:val="BodyText"/>
      </w:pPr>
      <w:r>
        <w:t xml:space="preserve">Two interesting things to note here. Firstly, whilst each of the new studies individually wouldn’t have led to a significant result, having three in this extreme area does lead to statistical significance (likely because having multiple studies in this extreme area (rather than one) possibly reduces the between-study heterogeneity). Secondly, the weighted</w:t>
      </w:r>
      <w:r>
        <w:t xml:space="preserve"> </w:t>
      </w:r>
      <w:r>
        <w:t xml:space="preserve">‘average’</w:t>
      </w:r>
      <w:r>
        <w:t xml:space="preserve"> </w:t>
      </w:r>
      <w:r>
        <w:t xml:space="preserve">new study, is nowhere near the new studies on this plot - illustrating that under this interpretation of the pixels, pixels that are far away from the general</w:t>
      </w:r>
      <w:r>
        <w:t xml:space="preserve"> </w:t>
      </w:r>
      <w:r>
        <w:t xml:space="preserve">‘crowd’</w:t>
      </w:r>
      <w:r>
        <w:t xml:space="preserve"> </w:t>
      </w:r>
      <w:r>
        <w:t xml:space="preserve">of studies are unlikely to exist in practicality (especially the areas of small standard error, due to the presence of the between-study heterogeneity term).</w:t>
      </w:r>
    </w:p>
    <w:bookmarkEnd w:id="99"/>
    <w:bookmarkEnd w:id="100"/>
    <w:bookmarkStart w:id="113" w:name="compare-each-case"/>
    <w:p>
      <w:pPr>
        <w:pStyle w:val="Heading2"/>
      </w:pPr>
      <w:r>
        <w:t xml:space="preserve">2.3 Compare each case</w:t>
      </w:r>
    </w:p>
    <w:p>
      <w:pPr>
        <w:pStyle w:val="FirstParagraph"/>
      </w:pPr>
      <w:r>
        <w:drawing>
          <wp:inline>
            <wp:extent cx="5334000" cy="2133600"/>
            <wp:effectExtent b="0" l="0" r="0" t="0"/>
            <wp:docPr descr="" title="" id="102" name="Picture"/>
            <a:graphic>
              <a:graphicData uri="http://schemas.openxmlformats.org/drawingml/2006/picture">
                <pic:pic>
                  <pic:nvPicPr>
                    <pic:cNvPr descr="Interpretation-tool_files/figure-docx/unnamed-chunk-28-1.png" id="103" name="Picture"/>
                    <pic:cNvPicPr>
                      <a:picLocks noChangeArrowheads="1" noChangeAspect="1"/>
                    </pic:cNvPicPr>
                  </pic:nvPicPr>
                  <pic:blipFill>
                    <a:blip r:embed="rId101"/>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105" name="Picture"/>
            <a:graphic>
              <a:graphicData uri="http://schemas.openxmlformats.org/drawingml/2006/picture">
                <pic:pic>
                  <pic:nvPicPr>
                    <pic:cNvPr descr="Interpretation-tool_files/figure-docx/unnamed-chunk-28-2.png" id="106" name="Picture"/>
                    <pic:cNvPicPr>
                      <a:picLocks noChangeArrowheads="1" noChangeAspect="1"/>
                    </pic:cNvPicPr>
                  </pic:nvPicPr>
                  <pic:blipFill>
                    <a:blip r:embed="rId104"/>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108" name="Picture"/>
            <a:graphic>
              <a:graphicData uri="http://schemas.openxmlformats.org/drawingml/2006/picture">
                <pic:pic>
                  <pic:nvPicPr>
                    <pic:cNvPr descr="Interpretation-tool_files/figure-docx/unnamed-chunk-28-3.png" id="109" name="Picture"/>
                    <pic:cNvPicPr>
                      <a:picLocks noChangeArrowheads="1" noChangeAspect="1"/>
                    </pic:cNvPicPr>
                  </pic:nvPicPr>
                  <pic:blipFill>
                    <a:blip r:embed="rId107"/>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111" name="Picture"/>
            <a:graphic>
              <a:graphicData uri="http://schemas.openxmlformats.org/drawingml/2006/picture">
                <pic:pic>
                  <pic:nvPicPr>
                    <pic:cNvPr descr="Interpretation-tool_files/figure-docx/unnamed-chunk-28-4.png" id="112" name="Picture"/>
                    <pic:cNvPicPr>
                      <a:picLocks noChangeArrowheads="1" noChangeAspect="1"/>
                    </pic:cNvPicPr>
                  </pic:nvPicPr>
                  <pic:blipFill>
                    <a:blip r:embed="rId110"/>
                    <a:stretch>
                      <a:fillRect/>
                    </a:stretch>
                  </pic:blipFill>
                  <pic:spPr bwMode="auto">
                    <a:xfrm>
                      <a:off x="0" y="0"/>
                      <a:ext cx="5334000" cy="2133600"/>
                    </a:xfrm>
                    <a:prstGeom prst="rect">
                      <a:avLst/>
                    </a:prstGeom>
                    <a:noFill/>
                    <a:ln w="9525">
                      <a:noFill/>
                      <a:headEnd/>
                      <a:tailEnd/>
                    </a:ln>
                  </pic:spPr>
                </pic:pic>
              </a:graphicData>
            </a:graphic>
          </wp:inline>
        </w:drawing>
      </w:r>
    </w:p>
    <w:bookmarkEnd w:id="113"/>
    <w:bookmarkEnd w:id="114"/>
    <w:bookmarkStart w:id="120" w:name="references"/>
    <w:p>
      <w:pPr>
        <w:pStyle w:val="Heading1"/>
      </w:pPr>
      <w:r>
        <w:t xml:space="preserve">3. References</w:t>
      </w:r>
    </w:p>
    <w:bookmarkStart w:id="119" w:name="refs"/>
    <w:bookmarkStart w:id="116" w:name="ref-langan2012"/>
    <w:p>
      <w:pPr>
        <w:pStyle w:val="Bibliography"/>
      </w:pPr>
      <w:r>
        <w:t xml:space="preserve">1.</w:t>
      </w:r>
      <w:r>
        <w:t xml:space="preserve"> </w:t>
      </w:r>
      <w:r>
        <w:t xml:space="preserve">	</w:t>
      </w:r>
      <w:r>
        <w:t xml:space="preserve">Langan D, Higgins JPT, Gregory W, Sutton AJ. Graphical augmentations to the funnel plot assess the impact of additional evidence on a meta-analysis.</w:t>
      </w:r>
      <w:r>
        <w:t xml:space="preserve"> </w:t>
      </w:r>
      <w:r>
        <w:rPr>
          <w:i/>
          <w:iCs/>
        </w:rPr>
        <w:t xml:space="preserve">Journal of Clinical Epidemiology</w:t>
      </w:r>
      <w:r>
        <w:t xml:space="preserve">. 2012;65(5):511-519. doi:</w:t>
      </w:r>
      <w:hyperlink r:id="rId115">
        <w:r>
          <w:rPr>
            <w:rStyle w:val="Hyperlink"/>
          </w:rPr>
          <w:t xml:space="preserve">https://doi.org/10.1016/j.jclinepi.2011.10.009</w:t>
        </w:r>
      </w:hyperlink>
    </w:p>
    <w:bookmarkEnd w:id="116"/>
    <w:bookmarkStart w:id="118" w:name="ref-nevill2025"/>
    <w:p>
      <w:pPr>
        <w:pStyle w:val="Bibliography"/>
      </w:pPr>
      <w:r>
        <w:t xml:space="preserve">2.</w:t>
      </w:r>
      <w:r>
        <w:t xml:space="preserve"> </w:t>
      </w:r>
      <w:r>
        <w:t xml:space="preserve">	</w:t>
      </w:r>
      <w:r>
        <w:t xml:space="preserve">Nevill C, Quinn TJ, Cooper N, Sutton A. MetaImpact: A novel tool to enable evidence-based sample sizes for future trials.</w:t>
      </w:r>
      <w:r>
        <w:t xml:space="preserve"> </w:t>
      </w:r>
      <w:r>
        <w:rPr>
          <w:i/>
          <w:iCs/>
        </w:rPr>
        <w:t xml:space="preserve">BMJ Evidence-Based Medicine</w:t>
      </w:r>
      <w:r>
        <w:t xml:space="preserve">. Published online 2025. doi:</w:t>
      </w:r>
      <w:hyperlink r:id="rId117">
        <w:r>
          <w:rPr>
            <w:rStyle w:val="Hyperlink"/>
          </w:rPr>
          <w:t xml:space="preserve">10.1136/bmjebm-2025-113694</w:t>
        </w:r>
      </w:hyperlink>
    </w:p>
    <w:bookmarkEnd w:id="118"/>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70" Target="media/rId70.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77" Target="media/rId77.png" /><Relationship Type="http://schemas.openxmlformats.org/officeDocument/2006/relationships/image" Id="rId30" Target="media/rId30.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115" Target="https://doi.org/10.1016/j.jclinepi.2011.10.009" TargetMode="External" /><Relationship Type="http://schemas.openxmlformats.org/officeDocument/2006/relationships/hyperlink" Id="rId117" Target="https://doi.org/10.1136/bmjebm-2025-113694"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1016/j.jclinepi.2011.10.009" TargetMode="External" /><Relationship Type="http://schemas.openxmlformats.org/officeDocument/2006/relationships/hyperlink" Id="rId117" Target="https://doi.org/10.1136/bmjebm-2025-1136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Interpretation Tool</dc:title>
  <dc:creator/>
  <cp:keywords/>
  <dcterms:created xsi:type="dcterms:W3CDTF">2025-10-20T15:21:57Z</dcterms:created>
  <dcterms:modified xsi:type="dcterms:W3CDTF">2025-10-20T15:21:57Z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american-medical-association.csl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