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png" ContentType="image/png"/>
  <Override PartName="/word/media/rId52.png" ContentType="image/png"/>
  <Override PartName="/word/media/rId48.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Certainty tool</w:t>
      </w:r>
    </w:p>
    <w:p>
      <w:pPr>
        <w:pStyle w:val="Author"/>
      </w:pPr>
      <w:r>
        <w:t xml:space="preserve">Clareece Nevill</w:t>
      </w:r>
    </w:p>
    <w:p>
      <w:pPr>
        <w:pStyle w:val="FirstParagraph"/>
      </w:pPr>
      <w:r>
        <w:t xml:space="preserve">This document is to go over the details of the certainty tool part of the update framework.</w:t>
      </w:r>
    </w:p>
    <w:bookmarkStart w:id="44" w:name="datasets"/>
    <w:p>
      <w:pPr>
        <w:pStyle w:val="Heading1"/>
      </w:pPr>
      <w:r>
        <w:t xml:space="preserve">1. Datasets</w:t>
      </w:r>
    </w:p>
    <w:p>
      <w:pPr>
        <w:pStyle w:val="FirstParagraph"/>
      </w:pPr>
      <w:r>
        <w:t xml:space="preserve">For various elements of the certainty tool, datasets from existing living systematic reviews were needed to help define default threshold values. Based on the work from work package 1, we chose the 12 Cochrane living systematic reviews that were identified by the survey that used GRADE, were in a clinical field, included a pairwise meta-analysis, and more than 1 study/RCT. We are sticking with Cochrane as they have a unified data extraction system, which will simplify data collection. Multiple outcomes were extracted to gain more data (however, only outcomes measured on a risk ratio or mean difference scale were included for simplicity). For each outcome, the meta-analysis study data was extracted as well as meta-analysis model details and how many levels the evidence was downgraded for each GRADE domain (i.e., 0, 1, or 2).</w:t>
      </w:r>
    </w:p>
    <w:bookmarkStart w:id="21" w:name="antibiotics-covid-19"/>
    <w:p>
      <w:pPr>
        <w:pStyle w:val="Heading2"/>
      </w:pPr>
      <w:r>
        <w:t xml:space="preserve">1.1</w:t>
      </w:r>
      <w:r>
        <w:t xml:space="preserve"> </w:t>
      </w:r>
      <w:hyperlink r:id="rId20">
        <w:r>
          <w:rPr>
            <w:rStyle w:val="Hyperlink"/>
          </w:rPr>
          <w:t xml:space="preserve">Antibiotics COVID-19</w:t>
        </w:r>
      </w:hyperlink>
    </w:p>
    <w:p>
      <w:pPr>
        <w:pStyle w:val="FirstParagraph"/>
      </w:pPr>
      <w:r>
        <w:t xml:space="preserve">Below outcomes are from October 2021 version regarding inpatients with confirmed moderate to severe COVID-19.</w:t>
      </w:r>
    </w:p>
    <w:p>
      <w:pPr>
        <w:numPr>
          <w:ilvl w:val="0"/>
          <w:numId w:val="1001"/>
        </w:numPr>
      </w:pPr>
      <w:r>
        <w:t xml:space="preserve">All-cause mortality at day 28 based on 4 RCTs.</w:t>
      </w:r>
    </w:p>
    <w:p>
      <w:pPr>
        <w:numPr>
          <w:ilvl w:val="0"/>
          <w:numId w:val="1001"/>
        </w:numPr>
      </w:pPr>
      <w:r>
        <w:t xml:space="preserve">Improvement of clinical status at day 28, based on 3 RCTs.</w:t>
      </w:r>
    </w:p>
    <w:p>
      <w:pPr>
        <w:numPr>
          <w:ilvl w:val="0"/>
          <w:numId w:val="1001"/>
        </w:numPr>
      </w:pPr>
      <w:r>
        <w:t xml:space="preserve">Serious adverse events, based on 4 RCTs.</w:t>
      </w:r>
    </w:p>
    <w:p>
      <w:pPr>
        <w:numPr>
          <w:ilvl w:val="0"/>
          <w:numId w:val="1001"/>
        </w:numPr>
      </w:pPr>
      <w:r>
        <w:t xml:space="preserve">Any adverse events, based on 3 RCTs.</w:t>
      </w:r>
    </w:p>
    <w:p>
      <w:pPr>
        <w:numPr>
          <w:ilvl w:val="0"/>
          <w:numId w:val="1001"/>
        </w:numPr>
      </w:pPr>
      <w:r>
        <w:t xml:space="preserve">Cardiac arrhythmias, based on 4 RCTs.</w:t>
      </w:r>
    </w:p>
    <w:bookmarkEnd w:id="21"/>
    <w:bookmarkStart w:id="23" w:name="chronic-rhinosinusitis"/>
    <w:p>
      <w:pPr>
        <w:pStyle w:val="Heading2"/>
      </w:pPr>
      <w:r>
        <w:t xml:space="preserve">1.2</w:t>
      </w:r>
      <w:r>
        <w:t xml:space="preserve"> </w:t>
      </w:r>
      <w:hyperlink r:id="rId22">
        <w:r>
          <w:rPr>
            <w:rStyle w:val="Hyperlink"/>
          </w:rPr>
          <w:t xml:space="preserve">Chronic rhinosinusitis</w:t>
        </w:r>
      </w:hyperlink>
    </w:p>
    <w:p>
      <w:pPr>
        <w:pStyle w:val="FirstParagraph"/>
      </w:pPr>
      <w:r>
        <w:t xml:space="preserve">Below are outcomes from the March 2021 version (as studies were the same in earlier versions), for the dupilimab versus placebo comparison.</w:t>
      </w:r>
    </w:p>
    <w:p>
      <w:pPr>
        <w:numPr>
          <w:ilvl w:val="0"/>
          <w:numId w:val="1002"/>
        </w:numPr>
      </w:pPr>
      <w:r>
        <w:t xml:space="preserve">Health-related quality of life - disease-specific (SNOT-22, range 0 to 110, lower = better) based on 3 studies.</w:t>
      </w:r>
    </w:p>
    <w:p>
      <w:pPr>
        <w:numPr>
          <w:ilvl w:val="0"/>
          <w:numId w:val="1002"/>
        </w:numPr>
      </w:pPr>
      <w:r>
        <w:t xml:space="preserve">Disease severity - VAS (range 0 to 10, lower = better) based on 3 studies.</w:t>
      </w:r>
    </w:p>
    <w:p>
      <w:pPr>
        <w:numPr>
          <w:ilvl w:val="0"/>
          <w:numId w:val="1002"/>
        </w:numPr>
      </w:pPr>
      <w:r>
        <w:t xml:space="preserve">Serious adverse events based on 3 studies.</w:t>
      </w:r>
    </w:p>
    <w:p>
      <w:pPr>
        <w:numPr>
          <w:ilvl w:val="0"/>
          <w:numId w:val="1002"/>
        </w:numPr>
      </w:pPr>
      <w:r>
        <w:t xml:space="preserve">Avoidance of surgery based on 2 studies.</w:t>
      </w:r>
    </w:p>
    <w:p>
      <w:pPr>
        <w:numPr>
          <w:ilvl w:val="0"/>
          <w:numId w:val="1002"/>
        </w:numPr>
      </w:pPr>
      <w:r>
        <w:t xml:space="preserve">Adverse events based on 3 studies.</w:t>
      </w:r>
    </w:p>
    <w:bookmarkEnd w:id="23"/>
    <w:bookmarkStart w:id="25" w:name="colchicine-covid-19"/>
    <w:p>
      <w:pPr>
        <w:pStyle w:val="Heading2"/>
      </w:pPr>
      <w:r>
        <w:t xml:space="preserve">1.3</w:t>
      </w:r>
      <w:r>
        <w:t xml:space="preserve"> </w:t>
      </w:r>
      <w:hyperlink r:id="rId24">
        <w:r>
          <w:rPr>
            <w:rStyle w:val="Hyperlink"/>
          </w:rPr>
          <w:t xml:space="preserve">Colchicine COVID-19</w:t>
        </w:r>
      </w:hyperlink>
    </w:p>
    <w:p>
      <w:pPr>
        <w:pStyle w:val="FirstParagraph"/>
      </w:pPr>
      <w:r>
        <w:t xml:space="preserve">Below outcomes are for hospitalised patients with COVID-19 and moderate to severe disease. Number of studies are as of October 2021.</w:t>
      </w:r>
    </w:p>
    <w:p>
      <w:pPr>
        <w:numPr>
          <w:ilvl w:val="0"/>
          <w:numId w:val="1003"/>
        </w:numPr>
      </w:pPr>
      <w:r>
        <w:t xml:space="preserve">All-cause mortality at day 28 based on 2 studies.</w:t>
      </w:r>
    </w:p>
    <w:p>
      <w:pPr>
        <w:numPr>
          <w:ilvl w:val="0"/>
          <w:numId w:val="1003"/>
        </w:numPr>
      </w:pPr>
      <w:r>
        <w:t xml:space="preserve">Worsening of clinical status up to day 28 based on 2 studies.</w:t>
      </w:r>
    </w:p>
    <w:bookmarkEnd w:id="25"/>
    <w:bookmarkStart w:id="27" w:name="convalescent-plasma-covid-19"/>
    <w:p>
      <w:pPr>
        <w:pStyle w:val="Heading2"/>
      </w:pPr>
      <w:r>
        <w:t xml:space="preserve">1.4</w:t>
      </w:r>
      <w:r>
        <w:t xml:space="preserve"> </w:t>
      </w:r>
      <w:hyperlink r:id="rId26">
        <w:r>
          <w:rPr>
            <w:rStyle w:val="Hyperlink"/>
          </w:rPr>
          <w:t xml:space="preserve">Convalescent plasma COVID-19</w:t>
        </w:r>
      </w:hyperlink>
    </w:p>
    <w:p>
      <w:pPr>
        <w:pStyle w:val="FirstParagraph"/>
      </w:pPr>
      <w:r>
        <w:t xml:space="preserve">Below outcomes are for convalescent plasma vs placebo or standard care in those with moderate to severe disease.</w:t>
      </w:r>
    </w:p>
    <w:p>
      <w:pPr>
        <w:numPr>
          <w:ilvl w:val="0"/>
          <w:numId w:val="1004"/>
        </w:numPr>
      </w:pPr>
      <w:r>
        <w:t xml:space="preserve">All-cause mortality at up to day 28. In the May 2023 (and February 2023) version, this estimate was based on 21 RCTs. In the May 2021 version, the estimate was based on 7 RCTs. In earlier versions, the outcomes were not the exact same.</w:t>
      </w:r>
    </w:p>
    <w:p>
      <w:pPr>
        <w:numPr>
          <w:ilvl w:val="0"/>
          <w:numId w:val="1004"/>
        </w:numPr>
      </w:pPr>
      <w:r>
        <w:t xml:space="preserve">Clinical worsening at up to day 28. In the May 2023 (and February 2023) version, this was based on 6 RCTs. In earlier versions, the outcomes were not the exact same.</w:t>
      </w:r>
    </w:p>
    <w:p>
      <w:pPr>
        <w:numPr>
          <w:ilvl w:val="0"/>
          <w:numId w:val="1004"/>
        </w:numPr>
      </w:pPr>
      <w:r>
        <w:t xml:space="preserve">Clinical improvement at up to day 28. In the May 2023 (and February 2023) version, this was based on 6 RCTs. In earlier versions, the outcomes were not the exact same.</w:t>
      </w:r>
    </w:p>
    <w:p>
      <w:pPr>
        <w:numPr>
          <w:ilvl w:val="0"/>
          <w:numId w:val="1004"/>
        </w:numPr>
      </w:pPr>
      <w:r>
        <w:t xml:space="preserve">Grades 3 and 4 adverse events up to day 28. In May 2023 (and February 2023), this was based on 6 RCTs. In May 2021, this was based on 4 RCTs. In earlier versions, the outcomes were not the exact same. When looking at the May/February 2023 versions, it is not clear which studies were included; in the text it mentions the study Avendano-Sola 2021, but in the forest plots it mentions AlQahtani 2021. For this reason, we are not including these results.</w:t>
      </w:r>
    </w:p>
    <w:p>
      <w:pPr>
        <w:numPr>
          <w:ilvl w:val="0"/>
          <w:numId w:val="1004"/>
        </w:numPr>
      </w:pPr>
      <w:r>
        <w:t xml:space="preserve">Serious adverse events up to day 28. In May 2023 (and February 2023), this was based on 6 RCTs. In earlier versions, the outcomes were not the exact same.</w:t>
      </w:r>
    </w:p>
    <w:bookmarkEnd w:id="27"/>
    <w:bookmarkStart w:id="29" w:name="fluvoxamine-covid-19"/>
    <w:p>
      <w:pPr>
        <w:pStyle w:val="Heading2"/>
      </w:pPr>
      <w:r>
        <w:t xml:space="preserve">1.5</w:t>
      </w:r>
      <w:r>
        <w:t xml:space="preserve"> </w:t>
      </w:r>
      <w:hyperlink r:id="rId28">
        <w:r>
          <w:rPr>
            <w:rStyle w:val="Hyperlink"/>
          </w:rPr>
          <w:t xml:space="preserve">Fluvoxamine COVID-19</w:t>
        </w:r>
      </w:hyperlink>
    </w:p>
    <w:p>
      <w:pPr>
        <w:pStyle w:val="FirstParagraph"/>
      </w:pPr>
      <w:r>
        <w:t xml:space="preserve">The below outcomes are for September 2022 version.</w:t>
      </w:r>
    </w:p>
    <w:p>
      <w:pPr>
        <w:numPr>
          <w:ilvl w:val="0"/>
          <w:numId w:val="1005"/>
        </w:numPr>
      </w:pPr>
      <w:r>
        <w:t xml:space="preserve">All-cause mortality at day 28 based on 2 RCTs.</w:t>
      </w:r>
    </w:p>
    <w:p>
      <w:pPr>
        <w:numPr>
          <w:ilvl w:val="0"/>
          <w:numId w:val="1005"/>
        </w:numPr>
      </w:pPr>
      <w:r>
        <w:t xml:space="preserve">All-cause admission to hospital or death (before hospital admission) based on 2 RCTs.</w:t>
      </w:r>
    </w:p>
    <w:p>
      <w:pPr>
        <w:numPr>
          <w:ilvl w:val="0"/>
          <w:numId w:val="1005"/>
        </w:numPr>
      </w:pPr>
      <w:r>
        <w:t xml:space="preserve">Serious adverse events based on 2 RCTs.</w:t>
      </w:r>
    </w:p>
    <w:p>
      <w:pPr>
        <w:numPr>
          <w:ilvl w:val="0"/>
          <w:numId w:val="1005"/>
        </w:numPr>
      </w:pPr>
      <w:r>
        <w:t xml:space="preserve">Any adverse events based on 2 RCTs.</w:t>
      </w:r>
    </w:p>
    <w:bookmarkEnd w:id="29"/>
    <w:bookmarkStart w:id="31" w:name="inhaled-corticosteroids-covid-19"/>
    <w:p>
      <w:pPr>
        <w:pStyle w:val="Heading2"/>
      </w:pPr>
      <w:r>
        <w:t xml:space="preserve">1.6</w:t>
      </w:r>
      <w:r>
        <w:t xml:space="preserve"> </w:t>
      </w:r>
      <w:hyperlink r:id="rId30">
        <w:r>
          <w:rPr>
            <w:rStyle w:val="Hyperlink"/>
          </w:rPr>
          <w:t xml:space="preserve">Inhaled corticosteroids COVID-19</w:t>
        </w:r>
      </w:hyperlink>
    </w:p>
    <w:p>
      <w:pPr>
        <w:pStyle w:val="FirstParagraph"/>
      </w:pPr>
      <w:r>
        <w:t xml:space="preserve">The below outcomes are from March 2022.</w:t>
      </w:r>
    </w:p>
    <w:p>
      <w:pPr>
        <w:numPr>
          <w:ilvl w:val="0"/>
          <w:numId w:val="1006"/>
        </w:numPr>
      </w:pPr>
      <w:r>
        <w:t xml:space="preserve">All-cause mortality (up to 30 days) based on 3 studies.</w:t>
      </w:r>
    </w:p>
    <w:p>
      <w:pPr>
        <w:numPr>
          <w:ilvl w:val="0"/>
          <w:numId w:val="1006"/>
        </w:numPr>
      </w:pPr>
      <w:r>
        <w:t xml:space="preserve">Admission to hospital or death (up to 30 days) based on 2 studies.</w:t>
      </w:r>
    </w:p>
    <w:p>
      <w:pPr>
        <w:numPr>
          <w:ilvl w:val="0"/>
          <w:numId w:val="1006"/>
        </w:numPr>
      </w:pPr>
      <w:r>
        <w:t xml:space="preserve">Symptom resolution (all initial symptoms resolves at day 14) based on 2 studies.</w:t>
      </w:r>
    </w:p>
    <w:bookmarkEnd w:id="31"/>
    <w:bookmarkStart w:id="33" w:name="ivermectin-covid-19"/>
    <w:p>
      <w:pPr>
        <w:pStyle w:val="Heading2"/>
      </w:pPr>
      <w:r>
        <w:t xml:space="preserve">1.7</w:t>
      </w:r>
      <w:r>
        <w:t xml:space="preserve"> </w:t>
      </w:r>
      <w:hyperlink r:id="rId32">
        <w:r>
          <w:rPr>
            <w:rStyle w:val="Hyperlink"/>
          </w:rPr>
          <w:t xml:space="preserve">Ivermectin COVID-19</w:t>
        </w:r>
      </w:hyperlink>
    </w:p>
    <w:p>
      <w:pPr>
        <w:pStyle w:val="FirstParagraph"/>
      </w:pPr>
      <w:r>
        <w:t xml:space="preserve">Below outcomes are for those in inpatient settings with moderate to severe disease.</w:t>
      </w:r>
    </w:p>
    <w:p>
      <w:pPr>
        <w:numPr>
          <w:ilvl w:val="0"/>
          <w:numId w:val="1007"/>
        </w:numPr>
      </w:pPr>
      <w:r>
        <w:t xml:space="preserve">All-cause mortality at day 28. In the June 2022 version, the estimate was based on 3 RCTs. In the July 2021 version, it was based on 2 RCTs.</w:t>
      </w:r>
    </w:p>
    <w:p>
      <w:pPr>
        <w:numPr>
          <w:ilvl w:val="0"/>
          <w:numId w:val="1007"/>
        </w:numPr>
      </w:pPr>
      <w:r>
        <w:t xml:space="preserve">Serious adverse events. In the June 2022 version, this was based on 2 RCTs. This outcome was not present in earlier versions.</w:t>
      </w:r>
    </w:p>
    <w:p>
      <w:pPr>
        <w:numPr>
          <w:ilvl w:val="0"/>
          <w:numId w:val="1007"/>
        </w:numPr>
      </w:pPr>
      <w:r>
        <w:t xml:space="preserve">Any adverse events. In June 2022, this was based on 3 RCTs. In July 2021, this was based on 1 RCT.</w:t>
      </w:r>
    </w:p>
    <w:p>
      <w:pPr>
        <w:numPr>
          <w:ilvl w:val="0"/>
          <w:numId w:val="1007"/>
        </w:numPr>
      </w:pPr>
      <w:r>
        <w:t xml:space="preserve">Viral clearance at 7 days. In June 2022, this was based on 3 RCTS. In earlier versions, the outcome was not the exact same definition.</w:t>
      </w:r>
    </w:p>
    <w:bookmarkEnd w:id="33"/>
    <w:bookmarkStart w:id="35" w:name="janus-kinase-inhibitors-covid-19"/>
    <w:p>
      <w:pPr>
        <w:pStyle w:val="Heading2"/>
      </w:pPr>
      <w:r>
        <w:t xml:space="preserve">1.8</w:t>
      </w:r>
      <w:r>
        <w:t xml:space="preserve"> </w:t>
      </w:r>
      <w:hyperlink r:id="rId34">
        <w:r>
          <w:rPr>
            <w:rStyle w:val="Hyperlink"/>
          </w:rPr>
          <w:t xml:space="preserve">Janus kinase inhibitors COVID-19</w:t>
        </w:r>
      </w:hyperlink>
    </w:p>
    <w:p>
      <w:pPr>
        <w:pStyle w:val="FirstParagraph"/>
      </w:pPr>
      <w:r>
        <w:t xml:space="preserve">Outcomes for June 2022 version.</w:t>
      </w:r>
    </w:p>
    <w:p>
      <w:pPr>
        <w:numPr>
          <w:ilvl w:val="0"/>
          <w:numId w:val="1008"/>
        </w:numPr>
      </w:pPr>
      <w:r>
        <w:t xml:space="preserve">All-cause mortality (up to day 28) based on 6 RCTs.</w:t>
      </w:r>
    </w:p>
    <w:p>
      <w:pPr>
        <w:numPr>
          <w:ilvl w:val="0"/>
          <w:numId w:val="1008"/>
        </w:numPr>
      </w:pPr>
      <w:r>
        <w:t xml:space="preserve">All-cause mortality (up to day 60) based on 2 RCTs.</w:t>
      </w:r>
    </w:p>
    <w:p>
      <w:pPr>
        <w:numPr>
          <w:ilvl w:val="0"/>
          <w:numId w:val="1008"/>
        </w:numPr>
      </w:pPr>
      <w:r>
        <w:t xml:space="preserve">Adverse events (any grade) based on 3 RCTs.</w:t>
      </w:r>
    </w:p>
    <w:p>
      <w:pPr>
        <w:numPr>
          <w:ilvl w:val="0"/>
          <w:numId w:val="1008"/>
        </w:numPr>
      </w:pPr>
      <w:r>
        <w:t xml:space="preserve">Serious adverse events based on 4 RCTs.</w:t>
      </w:r>
    </w:p>
    <w:p>
      <w:pPr>
        <w:numPr>
          <w:ilvl w:val="0"/>
          <w:numId w:val="1008"/>
        </w:numPr>
      </w:pPr>
      <w:r>
        <w:t xml:space="preserve">Secondary infection based on 4 RCTs.</w:t>
      </w:r>
    </w:p>
    <w:bookmarkEnd w:id="35"/>
    <w:bookmarkStart w:id="37" w:name="non-small-cell-lung-cancer"/>
    <w:p>
      <w:pPr>
        <w:pStyle w:val="Heading2"/>
      </w:pPr>
      <w:r>
        <w:t xml:space="preserve">1.9</w:t>
      </w:r>
      <w:r>
        <w:t xml:space="preserve"> </w:t>
      </w:r>
      <w:hyperlink r:id="rId36">
        <w:r>
          <w:rPr>
            <w:rStyle w:val="Hyperlink"/>
          </w:rPr>
          <w:t xml:space="preserve">Non-small cell lung cancer</w:t>
        </w:r>
      </w:hyperlink>
    </w:p>
    <w:p>
      <w:pPr>
        <w:pStyle w:val="Compact"/>
        <w:numPr>
          <w:ilvl w:val="0"/>
          <w:numId w:val="1009"/>
        </w:numPr>
      </w:pPr>
      <w:r>
        <w:t xml:space="preserve">Outcome of adverse events of grade 3-4 (for same comparison above). In April 2021 (and December 2020), this was based on 5 studies.</w:t>
      </w:r>
    </w:p>
    <w:bookmarkEnd w:id="37"/>
    <w:bookmarkStart w:id="39" w:name="oral-anticoagulation"/>
    <w:p>
      <w:pPr>
        <w:pStyle w:val="Heading2"/>
      </w:pPr>
      <w:r>
        <w:t xml:space="preserve">1.10</w:t>
      </w:r>
      <w:r>
        <w:t xml:space="preserve"> </w:t>
      </w:r>
      <w:hyperlink r:id="rId38">
        <w:r>
          <w:rPr>
            <w:rStyle w:val="Hyperlink"/>
          </w:rPr>
          <w:t xml:space="preserve">Oral anticoagulation</w:t>
        </w:r>
      </w:hyperlink>
    </w:p>
    <w:p>
      <w:pPr>
        <w:pStyle w:val="FirstParagraph"/>
      </w:pPr>
      <w:r>
        <w:t xml:space="preserve">Looking at VKA compared to no prophylaxis</w:t>
      </w:r>
    </w:p>
    <w:p>
      <w:pPr>
        <w:numPr>
          <w:ilvl w:val="0"/>
          <w:numId w:val="1010"/>
        </w:numPr>
      </w:pPr>
      <w:r>
        <w:t xml:space="preserve">Mortality at 6 months. As of October 2021, this was based on 3 RCTs.</w:t>
      </w:r>
    </w:p>
    <w:p>
      <w:pPr>
        <w:numPr>
          <w:ilvl w:val="0"/>
          <w:numId w:val="1010"/>
        </w:numPr>
      </w:pPr>
      <w:r>
        <w:t xml:space="preserve">Mortality at 12 months. As of October 2021 (and December 2017), this was based on 5 RCTs.</w:t>
      </w:r>
    </w:p>
    <w:p>
      <w:pPr>
        <w:numPr>
          <w:ilvl w:val="0"/>
          <w:numId w:val="1010"/>
        </w:numPr>
      </w:pPr>
      <w:r>
        <w:t xml:space="preserve">Major bleeding (follow-up 12 months). As of October 2021 (and December 2017), this was based on 5 RCTs.</w:t>
      </w:r>
    </w:p>
    <w:p>
      <w:pPr>
        <w:numPr>
          <w:ilvl w:val="0"/>
          <w:numId w:val="1010"/>
        </w:numPr>
      </w:pPr>
      <w:r>
        <w:t xml:space="preserve">Minor bleeding (follow-up 12 months). As of October 2021 (and December 2017), this was based on 4 RCTs.</w:t>
      </w:r>
    </w:p>
    <w:bookmarkEnd w:id="39"/>
    <w:bookmarkStart w:id="41" w:name="remdesivir-covid-19"/>
    <w:p>
      <w:pPr>
        <w:pStyle w:val="Heading2"/>
      </w:pPr>
      <w:r>
        <w:t xml:space="preserve">1.11</w:t>
      </w:r>
      <w:r>
        <w:t xml:space="preserve"> </w:t>
      </w:r>
      <w:hyperlink r:id="rId40">
        <w:r>
          <w:rPr>
            <w:rStyle w:val="Hyperlink"/>
          </w:rPr>
          <w:t xml:space="preserve">Remdesivir COVID-19</w:t>
        </w:r>
      </w:hyperlink>
    </w:p>
    <w:p>
      <w:pPr>
        <w:pStyle w:val="FirstParagraph"/>
      </w:pPr>
      <w:r>
        <w:t xml:space="preserve">Below outcomes are for individuals with moderate to severe COVID-19.</w:t>
      </w:r>
    </w:p>
    <w:p>
      <w:pPr>
        <w:numPr>
          <w:ilvl w:val="0"/>
          <w:numId w:val="1011"/>
        </w:numPr>
      </w:pPr>
      <w:r>
        <w:t xml:space="preserve">All-cause mortality up to day 28. In January 2023 (and August 2021), this was based on 4 RCTs.</w:t>
      </w:r>
    </w:p>
    <w:p>
      <w:pPr>
        <w:numPr>
          <w:ilvl w:val="0"/>
          <w:numId w:val="1011"/>
        </w:numPr>
      </w:pPr>
      <w:r>
        <w:t xml:space="preserve">Adverse events (any grade) up to day 28. In January 2023, this was based on 4 RCTs. In August 2021, this was based on 3 RCTs.</w:t>
      </w:r>
    </w:p>
    <w:p>
      <w:pPr>
        <w:numPr>
          <w:ilvl w:val="0"/>
          <w:numId w:val="1011"/>
        </w:numPr>
      </w:pPr>
      <w:r>
        <w:t xml:space="preserve">Serious adverse events up to day 28. In January 2023, this was based on 4 RCTs. In August 2021, this was based on 3 RCTs.</w:t>
      </w:r>
    </w:p>
    <w:bookmarkEnd w:id="41"/>
    <w:bookmarkStart w:id="43" w:name="systemic-corticosteroids-covid-19"/>
    <w:p>
      <w:pPr>
        <w:pStyle w:val="Heading2"/>
      </w:pPr>
      <w:r>
        <w:t xml:space="preserve">1.12</w:t>
      </w:r>
      <w:r>
        <w:t xml:space="preserve"> </w:t>
      </w:r>
      <w:hyperlink r:id="rId42">
        <w:r>
          <w:rPr>
            <w:rStyle w:val="Hyperlink"/>
          </w:rPr>
          <w:t xml:space="preserve">Systemic corticosteroids COVID-19</w:t>
        </w:r>
      </w:hyperlink>
    </w:p>
    <w:p>
      <w:pPr>
        <w:pStyle w:val="FirstParagraph"/>
      </w:pPr>
      <w:r>
        <w:t xml:space="preserve">Below outcomes are for corticosteroids plus standard care vs standard care (plus/minus placebo).</w:t>
      </w:r>
    </w:p>
    <w:p>
      <w:pPr>
        <w:numPr>
          <w:ilvl w:val="0"/>
          <w:numId w:val="1012"/>
        </w:numPr>
      </w:pPr>
      <w:r>
        <w:t xml:space="preserve">All-cause mortality up to day 30. In November 2022, this was based on 10 RCTs. The outcome for August 2021 was split differently, and so can’t compare.</w:t>
      </w:r>
    </w:p>
    <w:p>
      <w:pPr>
        <w:numPr>
          <w:ilvl w:val="0"/>
          <w:numId w:val="1012"/>
        </w:numPr>
      </w:pPr>
      <w:r>
        <w:t xml:space="preserve">All-cause mortality up to day 120. In November 2022, this was based on 3 RCTs. The outcome for August 2021 was split differently, and so can’t compare.</w:t>
      </w:r>
    </w:p>
    <w:bookmarkEnd w:id="43"/>
    <w:bookmarkEnd w:id="44"/>
    <w:bookmarkStart w:id="67" w:name="risk-of-bias"/>
    <w:p>
      <w:pPr>
        <w:pStyle w:val="Heading1"/>
      </w:pPr>
      <w:r>
        <w:t xml:space="preserve">2. Risk of Bias</w:t>
      </w:r>
    </w:p>
    <w:p>
      <w:pPr>
        <w:pStyle w:val="FirstParagraph"/>
      </w:pPr>
      <w:r>
        <w:t xml:space="preserve">The risk of bias data should ideally have been completed by the time researchers use the update framework. Therefore, the risk of bias element of the certainty tool is about deciding:</w:t>
      </w:r>
    </w:p>
    <w:p>
      <w:pPr>
        <w:numPr>
          <w:ilvl w:val="0"/>
          <w:numId w:val="1013"/>
        </w:numPr>
      </w:pPr>
      <w:r>
        <w:t xml:space="preserve">What proportions of studies were categorised at different levels of risk</w:t>
      </w:r>
    </w:p>
    <w:p>
      <w:pPr>
        <w:numPr>
          <w:ilvl w:val="0"/>
          <w:numId w:val="1013"/>
        </w:numPr>
      </w:pPr>
      <w:r>
        <w:t xml:space="preserve">Whether any plausible or crucial bias that has been identified in studies is likely to seriously alter the results.</w:t>
      </w:r>
    </w:p>
    <w:p>
      <w:pPr>
        <w:pStyle w:val="FirstParagraph"/>
      </w:pPr>
      <w:r>
        <w:t xml:space="preserve">These two key factors - defined by Cochrane - decide whether to downgrade the results, and by how many levels. However, the Cochrane advice doesn’t give specifics to these factors (e.g., uses phrases such as</w:t>
      </w:r>
      <w:r>
        <w:t xml:space="preserve"> </w:t>
      </w:r>
      <w:r>
        <w:t xml:space="preserve">‘most information’</w:t>
      </w:r>
      <w:r>
        <w:t xml:space="preserve">, rather than a specific proportion).</w:t>
      </w:r>
    </w:p>
    <w:bookmarkStart w:id="47" w:name="cochrane-guidance"/>
    <w:p>
      <w:pPr>
        <w:pStyle w:val="Heading2"/>
      </w:pPr>
      <w:r>
        <w:t xml:space="preserve">2.1 Cochrane guidance</w:t>
      </w:r>
    </w:p>
    <w:bookmarkStart w:id="45" w:name="proportion-of-information"/>
    <w:p>
      <w:pPr>
        <w:pStyle w:val="Heading3"/>
      </w:pPr>
      <w:r>
        <w:t xml:space="preserve">2.1.1 Proportion of information</w:t>
      </w:r>
    </w:p>
    <w:p>
      <w:pPr>
        <w:pStyle w:val="FirstParagraph"/>
      </w:pPr>
      <w:r>
        <w:t xml:space="preserve">The three broad categories are:</w:t>
      </w:r>
    </w:p>
    <w:p>
      <w:pPr>
        <w:numPr>
          <w:ilvl w:val="0"/>
          <w:numId w:val="1014"/>
        </w:numPr>
      </w:pPr>
      <w:r>
        <w:t xml:space="preserve">Most information is from studies at low risk of bias</w:t>
      </w:r>
    </w:p>
    <w:p>
      <w:pPr>
        <w:numPr>
          <w:ilvl w:val="0"/>
          <w:numId w:val="1014"/>
        </w:numPr>
      </w:pPr>
      <w:r>
        <w:t xml:space="preserve">Most information is from studies at low or unclear risk of bias</w:t>
      </w:r>
    </w:p>
    <w:p>
      <w:pPr>
        <w:numPr>
          <w:ilvl w:val="0"/>
          <w:numId w:val="1014"/>
        </w:numPr>
      </w:pPr>
      <w:r>
        <w:t xml:space="preserve">Proportion of information from studies at high risk of bias is sufficient to affect the interpretation of results</w:t>
      </w:r>
    </w:p>
    <w:bookmarkEnd w:id="45"/>
    <w:bookmarkStart w:id="46" w:name="likely-to-alter-results"/>
    <w:p>
      <w:pPr>
        <w:pStyle w:val="Heading3"/>
      </w:pPr>
      <w:r>
        <w:t xml:space="preserve">2.1.2 Likely to alter results</w:t>
      </w:r>
    </w:p>
    <w:p>
      <w:pPr>
        <w:pStyle w:val="FirstParagraph"/>
      </w:pPr>
      <w:r>
        <w:t xml:space="preserve">Within category (2) above, it is further split into:</w:t>
      </w:r>
    </w:p>
    <w:p>
      <w:pPr>
        <w:numPr>
          <w:ilvl w:val="0"/>
          <w:numId w:val="1015"/>
        </w:numPr>
      </w:pPr>
      <w:r>
        <w:t xml:space="preserve">Plausible bias will</w:t>
      </w:r>
      <w:r>
        <w:t xml:space="preserve"> </w:t>
      </w:r>
      <w:r>
        <w:rPr>
          <w:b/>
          <w:bCs/>
        </w:rPr>
        <w:t xml:space="preserve">unlikely</w:t>
      </w:r>
      <w:r>
        <w:t xml:space="preserve"> </w:t>
      </w:r>
      <w:r>
        <w:t xml:space="preserve">seriously alter the results -&gt; no downgrading</w:t>
      </w:r>
    </w:p>
    <w:p>
      <w:pPr>
        <w:numPr>
          <w:ilvl w:val="0"/>
          <w:numId w:val="1015"/>
        </w:numPr>
      </w:pPr>
      <w:r>
        <w:t xml:space="preserve">Plausible bias will</w:t>
      </w:r>
      <w:r>
        <w:t xml:space="preserve"> </w:t>
      </w:r>
      <w:r>
        <w:rPr>
          <w:b/>
          <w:bCs/>
        </w:rPr>
        <w:t xml:space="preserve">likely</w:t>
      </w:r>
      <w:r>
        <w:t xml:space="preserve"> </w:t>
      </w:r>
      <w:r>
        <w:t xml:space="preserve">seriously alter the results -&gt; downgrade one level</w:t>
      </w:r>
    </w:p>
    <w:p>
      <w:pPr>
        <w:pStyle w:val="FirstParagraph"/>
      </w:pPr>
      <w:r>
        <w:t xml:space="preserve">Within category (3) above, it is further split into:</w:t>
      </w:r>
    </w:p>
    <w:p>
      <w:pPr>
        <w:numPr>
          <w:ilvl w:val="0"/>
          <w:numId w:val="1016"/>
        </w:numPr>
      </w:pPr>
      <w:r>
        <w:t xml:space="preserve">Crucial risk likely to</w:t>
      </w:r>
      <w:r>
        <w:t xml:space="preserve"> </w:t>
      </w:r>
      <w:r>
        <w:rPr>
          <w:b/>
          <w:bCs/>
        </w:rPr>
        <w:t xml:space="preserve">seriously</w:t>
      </w:r>
      <w:r>
        <w:t xml:space="preserve"> </w:t>
      </w:r>
      <w:r>
        <w:t xml:space="preserve">alter the results -&gt; downgrade one level</w:t>
      </w:r>
    </w:p>
    <w:p>
      <w:pPr>
        <w:numPr>
          <w:ilvl w:val="0"/>
          <w:numId w:val="1016"/>
        </w:numPr>
      </w:pPr>
      <w:r>
        <w:t xml:space="preserve">Crucial risk likely to</w:t>
      </w:r>
      <w:r>
        <w:t xml:space="preserve"> </w:t>
      </w:r>
      <w:r>
        <w:rPr>
          <w:b/>
          <w:bCs/>
        </w:rPr>
        <w:t xml:space="preserve">very seriously</w:t>
      </w:r>
      <w:r>
        <w:t xml:space="preserve"> </w:t>
      </w:r>
      <w:r>
        <w:t xml:space="preserve">alter the results -&gt; downgrade two levels</w:t>
      </w:r>
    </w:p>
    <w:bookmarkEnd w:id="46"/>
    <w:bookmarkEnd w:id="47"/>
    <w:bookmarkStart w:id="51" w:name="risk-of-bias-tools"/>
    <w:p>
      <w:pPr>
        <w:pStyle w:val="Heading2"/>
      </w:pPr>
      <w:r>
        <w:t xml:space="preserve">2.2 Risk of Bias tools</w:t>
      </w:r>
    </w:p>
    <w:p>
      <w:pPr>
        <w:pStyle w:val="FirstParagraph"/>
      </w:pPr>
      <w:r>
        <w:t xml:space="preserve">There are differences between ROB1 and RoB2 (which both feature in the datasets). Whilst RoB 2 is the later version and thus recommended, it is a lot more time consuming - as such, many researchers still stick with RoB 1. Therefore, it would be ideal if the certainty tool could (technically) function regardless of which RoB tool was used.</w:t>
      </w:r>
    </w:p>
    <w:p>
      <w:pPr>
        <w:pStyle w:val="BodyText"/>
      </w:pPr>
      <w:r>
        <w:t xml:space="preserve">In the Cochrane data/reports, when RoB 1 tool was used an overall rating doesn’t appear to be calculated. When this is the case, we can use Stewart et al’s probability matrices to give an overall rating that can be used (as RoB 2 gives an overall rating). Note - in the overall probability matrix for risk of bias, for some reason there aren’t rows for when</w:t>
      </w:r>
      <w:r>
        <w:t xml:space="preserve"> </w:t>
      </w:r>
      <w:r>
        <w:t xml:space="preserve">‘Other’</w:t>
      </w:r>
      <w:r>
        <w:t xml:space="preserve"> </w:t>
      </w:r>
      <w:r>
        <w:t xml:space="preserve">could be classified as</w:t>
      </w:r>
      <w:r>
        <w:t xml:space="preserve"> </w:t>
      </w:r>
      <w:r>
        <w:t xml:space="preserve">‘unclear’</w:t>
      </w:r>
      <w:r>
        <w:t xml:space="preserve">. Therefore, in such cases, we’ve made the assumption that</w:t>
      </w:r>
      <w:r>
        <w:t xml:space="preserve"> </w:t>
      </w:r>
      <w:r>
        <w:t xml:space="preserve">‘unclear’</w:t>
      </w:r>
      <w:r>
        <w:t xml:space="preserve"> </w:t>
      </w:r>
      <w:r>
        <w:t xml:space="preserve">holds the same significance as if it was rated as</w:t>
      </w:r>
      <w:r>
        <w:t xml:space="preserve"> </w:t>
      </w:r>
      <w:r>
        <w:t xml:space="preserve">‘high’</w:t>
      </w:r>
      <w:r>
        <w:t xml:space="preserve"> </w:t>
      </w:r>
      <w:r>
        <w:t xml:space="preserve">(especially given that Stewart’s network appeared to be more</w:t>
      </w:r>
      <w:r>
        <w:t xml:space="preserve"> </w:t>
      </w:r>
      <w:r>
        <w:t xml:space="preserve">‘optimistic’</w:t>
      </w:r>
      <w:r>
        <w:t xml:space="preserve"> </w:t>
      </w:r>
      <w:r>
        <w:t xml:space="preserve">than Cochrane, and researchers have indicated that they wish for more false positives, than false negatives).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C:\Users\crn4\AppData\Local\Apps\Quarto\share\formats\docx\note.png" id="50"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Different results</w:t>
            </w:r>
          </w:p>
        </w:tc>
      </w:tr>
      <w:tr>
        <w:trPr>
          <w:cantSplit/>
        </w:trPr>
        <w:tc>
          <w:tcPr>
            <w:tcMar>
              <w:top w:w="108" w:type="dxa"/>
              <w:bottom w:w="108" w:type="dxa"/>
            </w:tcMar>
          </w:tcPr>
          <w:p>
            <w:pPr>
              <w:pStyle w:val="BodyText"/>
            </w:pPr>
            <w:pPr>
              <w:spacing w:before="16" w:after="16"/>
            </w:pPr>
            <w:r>
              <w:t xml:space="preserve">The developed tool may behave differently depending on the Risk of Bias tool that was used. Often, the ROB1 tool was used across all outcomes (rather than individually), and the overall rating for each study is having to be calculated. Therefore, the resulting overall RoBs may be missing important factors that are only specific to certain outcomes (see where chronic rhinosinusitis example is looked at further in section</w:t>
            </w:r>
            <w:r>
              <w:t xml:space="preserve"> </w:t>
            </w:r>
            <w:hyperlink w:anchor="Xfb01bbb3ddde67b3942ef4d78d38a1b3333636b">
              <w:r>
                <w:rPr>
                  <w:rStyle w:val="Hyperlink"/>
                </w:rPr>
                <w:t xml:space="preserve">Section 2.3.1</w:t>
              </w:r>
            </w:hyperlink>
            <w:r>
              <w:t xml:space="preserve">). Either the tool only gets used on ROB2 datasets, or it comes with a warning if using ROB1, and maybe the</w:t>
            </w:r>
            <w:r>
              <w:t xml:space="preserve"> </w:t>
            </w:r>
            <w:r>
              <w:t xml:space="preserve">‘adjustment factor’</w:t>
            </w:r>
            <w:r>
              <w:t xml:space="preserve"> </w:t>
            </w:r>
            <w:r>
              <w:t xml:space="preserve">idea can</w:t>
            </w:r>
            <w:r>
              <w:t xml:space="preserve"> </w:t>
            </w:r>
            <w:r>
              <w:t xml:space="preserve">‘fix’</w:t>
            </w:r>
            <w:r>
              <w:t xml:space="preserve"> </w:t>
            </w:r>
            <w:r>
              <w:t xml:space="preserve">these cases.</w:t>
            </w:r>
          </w:p>
        </w:tc>
      </w:tr>
    </w:tbl>
    <w:bookmarkEnd w:id="51"/>
    <w:bookmarkStart w:id="66" w:name="design-of-rob-element"/>
    <w:p>
      <w:pPr>
        <w:pStyle w:val="Heading2"/>
      </w:pPr>
      <w:r>
        <w:t xml:space="preserve">2.3 Design of RoB element</w:t>
      </w:r>
    </w:p>
    <w:p>
      <w:pPr>
        <w:pStyle w:val="FirstParagraph"/>
      </w:pPr>
      <w:r>
        <w:t xml:space="preserve">I’ve created a function that calculates the weighted average risk of bias, based on the meta-analytic weights used and the overall risk of bias for each study (with respect to the specific outcome where possible). Calculating a weighted average may take into account both of the guidance elements mentioned above (as a high risk study that gives a small weight is unlikely to change the results (depending on how different the estimate is from the pooled result)).</w:t>
      </w:r>
    </w:p>
    <w:p>
      <w:pPr>
        <w:pStyle w:val="BodyText"/>
      </w:pPr>
      <w:r>
        <w:t xml:space="preserve">Let’s see what the weighted average RoB is for each of our datasets.</w:t>
      </w:r>
    </w:p>
    <w:tbl>
      <w:tblPr>
        <w:tblStyle w:val="Table"/>
        <w:tblW w:type="pct" w:w="5000"/>
        <w:tblLayout w:type="fixed"/>
        <w:tblLook w:firstRow="1" w:lastRow="0" w:firstColumn="0" w:lastColumn="0" w:noHBand="0" w:noVBand="0" w:val="0020"/>
      </w:tblPr>
      <w:tblGrid>
        <w:gridCol w:w="2834"/>
        <w:gridCol w:w="917"/>
        <w:gridCol w:w="1584"/>
        <w:gridCol w:w="750"/>
        <w:gridCol w:w="1167"/>
        <w:gridCol w:w="666"/>
      </w:tblGrid>
      <w:tr>
        <w:trPr>
          <w:tblHeader w:val="on"/>
        </w:trPr>
        <w:tc>
          <w:tcPr/>
          <w:p>
            <w:pPr>
              <w:pStyle w:val="Compact"/>
              <w:jc w:val="left"/>
            </w:pPr>
            <w:r>
              <w:t xml:space="preserve">Review</w:t>
            </w:r>
          </w:p>
        </w:tc>
        <w:tc>
          <w:tcPr/>
          <w:p>
            <w:pPr>
              <w:pStyle w:val="Compact"/>
              <w:jc w:val="left"/>
            </w:pPr>
            <w:r>
              <w:t xml:space="preserve">Version</w:t>
            </w:r>
          </w:p>
        </w:tc>
        <w:tc>
          <w:tcPr/>
          <w:p>
            <w:pPr>
              <w:pStyle w:val="Compact"/>
              <w:jc w:val="left"/>
            </w:pPr>
            <w:r>
              <w:t xml:space="preserve">Outcome</w:t>
            </w:r>
          </w:p>
        </w:tc>
        <w:tc>
          <w:tcPr/>
          <w:p>
            <w:pPr>
              <w:pStyle w:val="Compact"/>
              <w:jc w:val="right"/>
            </w:pPr>
            <w:r>
              <w:t xml:space="preserve">Rob_tool</w:t>
            </w:r>
          </w:p>
        </w:tc>
        <w:tc>
          <w:tcPr/>
          <w:p>
            <w:pPr>
              <w:pStyle w:val="Compact"/>
              <w:jc w:val="right"/>
            </w:pPr>
            <w:r>
              <w:t xml:space="preserve">Downgrade RoB</w:t>
            </w:r>
          </w:p>
        </w:tc>
        <w:tc>
          <w:tcPr/>
          <w:p>
            <w:pPr>
              <w:pStyle w:val="Compact"/>
              <w:jc w:val="right"/>
            </w:pPr>
            <w:r>
              <w:t xml:space="preserve">RoB_avg</w:t>
            </w:r>
          </w:p>
        </w:tc>
      </w:tr>
      <w:tr>
        <w:tc>
          <w:tcPr/>
          <w:p>
            <w:pPr>
              <w:pStyle w:val="Compact"/>
              <w:jc w:val="left"/>
            </w:pPr>
            <w:r>
              <w:t xml:space="preserve">Chronic rhinosinusitis</w:t>
            </w:r>
          </w:p>
        </w:tc>
        <w:tc>
          <w:tcPr/>
          <w:p>
            <w:pPr>
              <w:pStyle w:val="Compact"/>
              <w:jc w:val="left"/>
            </w:pPr>
            <w:r>
              <w:t xml:space="preserve">2021-03-01</w:t>
            </w:r>
          </w:p>
        </w:tc>
        <w:tc>
          <w:tcPr/>
          <w:p>
            <w:pPr>
              <w:pStyle w:val="Compact"/>
              <w:jc w:val="left"/>
            </w:pPr>
            <w:r>
              <w:t xml:space="preserve">QoL</w:t>
            </w:r>
          </w:p>
        </w:tc>
        <w:tc>
          <w:tcPr/>
          <w:p>
            <w:pPr>
              <w:pStyle w:val="Compact"/>
              <w:jc w:val="right"/>
            </w:pPr>
            <w:r>
              <w:t xml:space="preserve">1</w:t>
            </w:r>
          </w:p>
        </w:tc>
        <w:tc>
          <w:tcPr/>
          <w:p>
            <w:pPr>
              <w:pStyle w:val="Compact"/>
              <w:jc w:val="right"/>
            </w:pPr>
            <w:r>
              <w:t xml:space="preserve">0</w:t>
            </w:r>
          </w:p>
        </w:tc>
        <w:tc>
          <w:tcPr/>
          <w:p>
            <w:pPr>
              <w:pStyle w:val="Compact"/>
              <w:jc w:val="right"/>
            </w:pPr>
            <w:r>
              <w:t xml:space="preserve">1.00</w:t>
            </w:r>
          </w:p>
        </w:tc>
      </w:tr>
      <w:tr>
        <w:tc>
          <w:tcPr/>
          <w:p>
            <w:pPr>
              <w:pStyle w:val="Compact"/>
              <w:jc w:val="left"/>
            </w:pPr>
            <w:r>
              <w:t xml:space="preserve">Chronic rhinosinusitis</w:t>
            </w:r>
          </w:p>
        </w:tc>
        <w:tc>
          <w:tcPr/>
          <w:p>
            <w:pPr>
              <w:pStyle w:val="Compact"/>
              <w:jc w:val="left"/>
            </w:pPr>
            <w:r>
              <w:t xml:space="preserve">2021-03-01</w:t>
            </w:r>
          </w:p>
        </w:tc>
        <w:tc>
          <w:tcPr/>
          <w:p>
            <w:pPr>
              <w:pStyle w:val="Compact"/>
              <w:jc w:val="left"/>
            </w:pPr>
            <w:r>
              <w:t xml:space="preserve">VAS</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w:t>
            </w:r>
          </w:p>
        </w:tc>
      </w:tr>
      <w:tr>
        <w:tc>
          <w:tcPr/>
          <w:p>
            <w:pPr>
              <w:pStyle w:val="Compact"/>
              <w:jc w:val="left"/>
            </w:pPr>
            <w:r>
              <w:t xml:space="preserve">Chronic rhinosinusitis</w:t>
            </w:r>
          </w:p>
        </w:tc>
        <w:tc>
          <w:tcPr/>
          <w:p>
            <w:pPr>
              <w:pStyle w:val="Compact"/>
              <w:jc w:val="left"/>
            </w:pPr>
            <w:r>
              <w:t xml:space="preserve">2021-03-01</w:t>
            </w:r>
          </w:p>
        </w:tc>
        <w:tc>
          <w:tcPr/>
          <w:p>
            <w:pPr>
              <w:pStyle w:val="Compact"/>
              <w:jc w:val="left"/>
            </w:pPr>
            <w:r>
              <w:t xml:space="preserve">SAEs</w:t>
            </w:r>
          </w:p>
        </w:tc>
        <w:tc>
          <w:tcPr/>
          <w:p>
            <w:pPr>
              <w:pStyle w:val="Compact"/>
              <w:jc w:val="right"/>
            </w:pPr>
            <w:r>
              <w:t xml:space="preserve">1</w:t>
            </w:r>
          </w:p>
        </w:tc>
        <w:tc>
          <w:tcPr/>
          <w:p>
            <w:pPr>
              <w:pStyle w:val="Compact"/>
              <w:jc w:val="right"/>
            </w:pPr>
            <w:r>
              <w:t xml:space="preserve">0</w:t>
            </w:r>
          </w:p>
        </w:tc>
        <w:tc>
          <w:tcPr/>
          <w:p>
            <w:pPr>
              <w:pStyle w:val="Compact"/>
              <w:jc w:val="right"/>
            </w:pPr>
            <w:r>
              <w:t xml:space="preserve">1.00</w:t>
            </w:r>
          </w:p>
        </w:tc>
      </w:tr>
      <w:tr>
        <w:tc>
          <w:tcPr/>
          <w:p>
            <w:pPr>
              <w:pStyle w:val="Compact"/>
              <w:jc w:val="left"/>
            </w:pPr>
            <w:r>
              <w:t xml:space="preserve">Chronic rhinosinusitis</w:t>
            </w:r>
          </w:p>
        </w:tc>
        <w:tc>
          <w:tcPr/>
          <w:p>
            <w:pPr>
              <w:pStyle w:val="Compact"/>
              <w:jc w:val="left"/>
            </w:pPr>
            <w:r>
              <w:t xml:space="preserve">2021-03-01</w:t>
            </w:r>
          </w:p>
        </w:tc>
        <w:tc>
          <w:tcPr/>
          <w:p>
            <w:pPr>
              <w:pStyle w:val="Compact"/>
              <w:jc w:val="left"/>
            </w:pPr>
            <w:r>
              <w:t xml:space="preserve">Avoidance</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w:t>
            </w:r>
          </w:p>
        </w:tc>
      </w:tr>
      <w:tr>
        <w:tc>
          <w:tcPr/>
          <w:p>
            <w:pPr>
              <w:pStyle w:val="Compact"/>
              <w:jc w:val="left"/>
            </w:pPr>
            <w:r>
              <w:t xml:space="preserve">Chronic rhinosinusitis</w:t>
            </w:r>
          </w:p>
        </w:tc>
        <w:tc>
          <w:tcPr/>
          <w:p>
            <w:pPr>
              <w:pStyle w:val="Compact"/>
              <w:jc w:val="left"/>
            </w:pPr>
            <w:r>
              <w:t xml:space="preserve">2021-03-01</w:t>
            </w:r>
          </w:p>
        </w:tc>
        <w:tc>
          <w:tcPr/>
          <w:p>
            <w:pPr>
              <w:pStyle w:val="Compact"/>
              <w:jc w:val="left"/>
            </w:pPr>
            <w:r>
              <w:t xml:space="preserve">AEs</w:t>
            </w:r>
          </w:p>
        </w:tc>
        <w:tc>
          <w:tcPr/>
          <w:p>
            <w:pPr>
              <w:pStyle w:val="Compact"/>
              <w:jc w:val="right"/>
            </w:pPr>
            <w:r>
              <w:t xml:space="preserve">1</w:t>
            </w:r>
          </w:p>
        </w:tc>
        <w:tc>
          <w:tcPr/>
          <w:p>
            <w:pPr>
              <w:pStyle w:val="Compact"/>
              <w:jc w:val="right"/>
            </w:pPr>
            <w:r>
              <w:t xml:space="preserve">0</w:t>
            </w:r>
          </w:p>
        </w:tc>
        <w:tc>
          <w:tcPr/>
          <w:p>
            <w:pPr>
              <w:pStyle w:val="Compact"/>
              <w:jc w:val="right"/>
            </w:pPr>
            <w:r>
              <w:t xml:space="preserve">1.00</w:t>
            </w:r>
          </w:p>
        </w:tc>
      </w:tr>
      <w:tr>
        <w:tc>
          <w:tcPr/>
          <w:p>
            <w:pPr>
              <w:pStyle w:val="Compact"/>
              <w:jc w:val="left"/>
            </w:pPr>
            <w:r>
              <w:t xml:space="preserve">Convalescent plasma</w:t>
            </w:r>
          </w:p>
        </w:tc>
        <w:tc>
          <w:tcPr/>
          <w:p>
            <w:pPr>
              <w:pStyle w:val="Compact"/>
              <w:jc w:val="left"/>
            </w:pPr>
            <w:r>
              <w:t xml:space="preserve">2021-05-01</w:t>
            </w:r>
          </w:p>
        </w:tc>
        <w:tc>
          <w:tcPr/>
          <w:p>
            <w:pPr>
              <w:pStyle w:val="Compact"/>
              <w:jc w:val="left"/>
            </w:pPr>
            <w:r>
              <w:t xml:space="preserve">AEs</w:t>
            </w:r>
          </w:p>
        </w:tc>
        <w:tc>
          <w:tcPr/>
          <w:p>
            <w:pPr>
              <w:pStyle w:val="Compact"/>
              <w:jc w:val="right"/>
            </w:pPr>
            <w:r>
              <w:t xml:space="preserve">2</w:t>
            </w:r>
          </w:p>
        </w:tc>
        <w:tc>
          <w:tcPr/>
          <w:p>
            <w:pPr>
              <w:pStyle w:val="Compact"/>
              <w:jc w:val="right"/>
            </w:pPr>
            <w:r>
              <w:t xml:space="preserve">0</w:t>
            </w:r>
          </w:p>
        </w:tc>
        <w:tc>
          <w:tcPr/>
          <w:p>
            <w:pPr>
              <w:pStyle w:val="Compact"/>
              <w:jc w:val="right"/>
            </w:pPr>
            <w:r>
              <w:t xml:space="preserve">1.00</w:t>
            </w:r>
          </w:p>
        </w:tc>
      </w:tr>
      <w:tr>
        <w:tc>
          <w:tcPr/>
          <w:p>
            <w:pPr>
              <w:pStyle w:val="Compact"/>
              <w:jc w:val="left"/>
            </w:pPr>
            <w:r>
              <w:t xml:space="preserve">Inhaled corticosteroids COVID-19</w:t>
            </w:r>
          </w:p>
        </w:tc>
        <w:tc>
          <w:tcPr/>
          <w:p>
            <w:pPr>
              <w:pStyle w:val="Compact"/>
              <w:jc w:val="left"/>
            </w:pPr>
            <w:r>
              <w:t xml:space="preserve">2022-03-01</w:t>
            </w:r>
          </w:p>
        </w:tc>
        <w:tc>
          <w:tcPr/>
          <w:p>
            <w:pPr>
              <w:pStyle w:val="Compact"/>
              <w:jc w:val="left"/>
            </w:pPr>
            <w:r>
              <w:t xml:space="preserve">Mortality</w:t>
            </w:r>
          </w:p>
        </w:tc>
        <w:tc>
          <w:tcPr/>
          <w:p>
            <w:pPr>
              <w:pStyle w:val="Compact"/>
              <w:jc w:val="right"/>
            </w:pPr>
            <w:r>
              <w:t xml:space="preserve">2</w:t>
            </w:r>
          </w:p>
        </w:tc>
        <w:tc>
          <w:tcPr/>
          <w:p>
            <w:pPr>
              <w:pStyle w:val="Compact"/>
              <w:jc w:val="right"/>
            </w:pPr>
            <w:r>
              <w:t xml:space="preserve">0</w:t>
            </w:r>
          </w:p>
        </w:tc>
        <w:tc>
          <w:tcPr/>
          <w:p>
            <w:pPr>
              <w:pStyle w:val="Compact"/>
              <w:jc w:val="right"/>
            </w:pPr>
            <w:r>
              <w:t xml:space="preserve">1.00</w:t>
            </w:r>
          </w:p>
        </w:tc>
      </w:tr>
      <w:tr>
        <w:tc>
          <w:tcPr/>
          <w:p>
            <w:pPr>
              <w:pStyle w:val="Compact"/>
              <w:jc w:val="left"/>
            </w:pPr>
            <w:r>
              <w:t xml:space="preserve">Inhaled corticosteroids COVID-19</w:t>
            </w:r>
          </w:p>
        </w:tc>
        <w:tc>
          <w:tcPr/>
          <w:p>
            <w:pPr>
              <w:pStyle w:val="Compact"/>
              <w:jc w:val="left"/>
            </w:pPr>
            <w:r>
              <w:t xml:space="preserve">2022-03-01</w:t>
            </w:r>
          </w:p>
        </w:tc>
        <w:tc>
          <w:tcPr/>
          <w:p>
            <w:pPr>
              <w:pStyle w:val="Compact"/>
              <w:jc w:val="left"/>
            </w:pPr>
            <w:r>
              <w:t xml:space="preserve">Hospital or death</w:t>
            </w:r>
          </w:p>
        </w:tc>
        <w:tc>
          <w:tcPr/>
          <w:p>
            <w:pPr>
              <w:pStyle w:val="Compact"/>
              <w:jc w:val="right"/>
            </w:pPr>
            <w:r>
              <w:t xml:space="preserve">2</w:t>
            </w:r>
          </w:p>
        </w:tc>
        <w:tc>
          <w:tcPr/>
          <w:p>
            <w:pPr>
              <w:pStyle w:val="Compact"/>
              <w:jc w:val="right"/>
            </w:pPr>
            <w:r>
              <w:t xml:space="preserve">0</w:t>
            </w:r>
          </w:p>
        </w:tc>
        <w:tc>
          <w:tcPr/>
          <w:p>
            <w:pPr>
              <w:pStyle w:val="Compact"/>
              <w:jc w:val="right"/>
            </w:pPr>
            <w:r>
              <w:t xml:space="preserve">1.00</w:t>
            </w:r>
          </w:p>
        </w:tc>
      </w:tr>
      <w:tr>
        <w:tc>
          <w:tcPr/>
          <w:p>
            <w:pPr>
              <w:pStyle w:val="Compact"/>
              <w:jc w:val="left"/>
            </w:pPr>
            <w:r>
              <w:t xml:space="preserve">Janus kinase inhibitors COVID-19</w:t>
            </w:r>
          </w:p>
        </w:tc>
        <w:tc>
          <w:tcPr/>
          <w:p>
            <w:pPr>
              <w:pStyle w:val="Compact"/>
              <w:jc w:val="left"/>
            </w:pPr>
            <w:r>
              <w:t xml:space="preserve">2022-06-01</w:t>
            </w:r>
          </w:p>
        </w:tc>
        <w:tc>
          <w:tcPr/>
          <w:p>
            <w:pPr>
              <w:pStyle w:val="Compact"/>
              <w:jc w:val="left"/>
            </w:pPr>
            <w:r>
              <w:t xml:space="preserve">Mortality60</w:t>
            </w:r>
          </w:p>
        </w:tc>
        <w:tc>
          <w:tcPr/>
          <w:p>
            <w:pPr>
              <w:pStyle w:val="Compact"/>
              <w:jc w:val="right"/>
            </w:pPr>
            <w:r>
              <w:t xml:space="preserve">2</w:t>
            </w:r>
          </w:p>
        </w:tc>
        <w:tc>
          <w:tcPr/>
          <w:p>
            <w:pPr>
              <w:pStyle w:val="Compact"/>
              <w:jc w:val="right"/>
            </w:pPr>
            <w:r>
              <w:t xml:space="preserve">0</w:t>
            </w:r>
          </w:p>
        </w:tc>
        <w:tc>
          <w:tcPr/>
          <w:p>
            <w:pPr>
              <w:pStyle w:val="Compact"/>
              <w:jc w:val="right"/>
            </w:pPr>
            <w:r>
              <w:t xml:space="preserve">1.00</w:t>
            </w:r>
          </w:p>
        </w:tc>
      </w:tr>
      <w:tr>
        <w:tc>
          <w:tcPr/>
          <w:p>
            <w:pPr>
              <w:pStyle w:val="Compact"/>
              <w:jc w:val="left"/>
            </w:pPr>
            <w:r>
              <w:t xml:space="preserve">Fluvoxamine COVID-19</w:t>
            </w:r>
          </w:p>
        </w:tc>
        <w:tc>
          <w:tcPr/>
          <w:p>
            <w:pPr>
              <w:pStyle w:val="Compact"/>
              <w:jc w:val="left"/>
            </w:pPr>
            <w:r>
              <w:t xml:space="preserve">2022-09-01</w:t>
            </w:r>
          </w:p>
        </w:tc>
        <w:tc>
          <w:tcPr/>
          <w:p>
            <w:pPr>
              <w:pStyle w:val="Compact"/>
              <w:jc w:val="left"/>
            </w:pPr>
            <w:r>
              <w:t xml:space="preserve">Mortality</w:t>
            </w:r>
          </w:p>
        </w:tc>
        <w:tc>
          <w:tcPr/>
          <w:p>
            <w:pPr>
              <w:pStyle w:val="Compact"/>
              <w:jc w:val="right"/>
            </w:pPr>
            <w:r>
              <w:t xml:space="preserve">2</w:t>
            </w:r>
          </w:p>
        </w:tc>
        <w:tc>
          <w:tcPr/>
          <w:p>
            <w:pPr>
              <w:pStyle w:val="Compact"/>
              <w:jc w:val="right"/>
            </w:pPr>
            <w:r>
              <w:t xml:space="preserve">0</w:t>
            </w:r>
          </w:p>
        </w:tc>
        <w:tc>
          <w:tcPr/>
          <w:p>
            <w:pPr>
              <w:pStyle w:val="Compact"/>
              <w:jc w:val="right"/>
            </w:pPr>
            <w:r>
              <w:t xml:space="preserve">1.00</w:t>
            </w:r>
          </w:p>
        </w:tc>
      </w:tr>
      <w:tr>
        <w:tc>
          <w:tcPr/>
          <w:p>
            <w:pPr>
              <w:pStyle w:val="Compact"/>
              <w:jc w:val="left"/>
            </w:pPr>
            <w:r>
              <w:t xml:space="preserve">Fluvoxamine COVID-19</w:t>
            </w:r>
          </w:p>
        </w:tc>
        <w:tc>
          <w:tcPr/>
          <w:p>
            <w:pPr>
              <w:pStyle w:val="Compact"/>
              <w:jc w:val="left"/>
            </w:pPr>
            <w:r>
              <w:t xml:space="preserve">2022-09-01</w:t>
            </w:r>
          </w:p>
        </w:tc>
        <w:tc>
          <w:tcPr/>
          <w:p>
            <w:pPr>
              <w:pStyle w:val="Compact"/>
              <w:jc w:val="left"/>
            </w:pPr>
            <w:r>
              <w:t xml:space="preserve">Hospital or death</w:t>
            </w:r>
          </w:p>
        </w:tc>
        <w:tc>
          <w:tcPr/>
          <w:p>
            <w:pPr>
              <w:pStyle w:val="Compact"/>
              <w:jc w:val="right"/>
            </w:pPr>
            <w:r>
              <w:t xml:space="preserve">2</w:t>
            </w:r>
          </w:p>
        </w:tc>
        <w:tc>
          <w:tcPr/>
          <w:p>
            <w:pPr>
              <w:pStyle w:val="Compact"/>
              <w:jc w:val="right"/>
            </w:pPr>
            <w:r>
              <w:t xml:space="preserve">0</w:t>
            </w:r>
          </w:p>
        </w:tc>
        <w:tc>
          <w:tcPr/>
          <w:p>
            <w:pPr>
              <w:pStyle w:val="Compact"/>
              <w:jc w:val="right"/>
            </w:pPr>
            <w:r>
              <w:t xml:space="preserve">1.00</w:t>
            </w:r>
          </w:p>
        </w:tc>
      </w:tr>
      <w:tr>
        <w:tc>
          <w:tcPr/>
          <w:p>
            <w:pPr>
              <w:pStyle w:val="Compact"/>
              <w:jc w:val="left"/>
            </w:pPr>
            <w:r>
              <w:t xml:space="preserve">Antibiotics COVID-19</w:t>
            </w:r>
          </w:p>
        </w:tc>
        <w:tc>
          <w:tcPr/>
          <w:p>
            <w:pPr>
              <w:pStyle w:val="Compact"/>
              <w:jc w:val="left"/>
            </w:pPr>
            <w:r>
              <w:t xml:space="preserve">2021-10-01</w:t>
            </w:r>
          </w:p>
        </w:tc>
        <w:tc>
          <w:tcPr/>
          <w:p>
            <w:pPr>
              <w:pStyle w:val="Compact"/>
              <w:jc w:val="left"/>
            </w:pPr>
            <w:r>
              <w:t xml:space="preserve">Improvement</w:t>
            </w:r>
          </w:p>
        </w:tc>
        <w:tc>
          <w:tcPr/>
          <w:p>
            <w:pPr>
              <w:pStyle w:val="Compact"/>
              <w:jc w:val="right"/>
            </w:pPr>
            <w:r>
              <w:t xml:space="preserve">2</w:t>
            </w:r>
          </w:p>
        </w:tc>
        <w:tc>
          <w:tcPr/>
          <w:p>
            <w:pPr>
              <w:pStyle w:val="Compact"/>
              <w:jc w:val="right"/>
            </w:pPr>
            <w:r>
              <w:t xml:space="preserve">0</w:t>
            </w:r>
          </w:p>
        </w:tc>
        <w:tc>
          <w:tcPr/>
          <w:p>
            <w:pPr>
              <w:pStyle w:val="Compact"/>
              <w:jc w:val="right"/>
            </w:pPr>
            <w:r>
              <w:t xml:space="preserve">1.00</w:t>
            </w:r>
          </w:p>
        </w:tc>
      </w:tr>
      <w:tr>
        <w:tc>
          <w:tcPr/>
          <w:p>
            <w:pPr>
              <w:pStyle w:val="Compact"/>
              <w:jc w:val="left"/>
            </w:pPr>
            <w:r>
              <w:t xml:space="preserve">Antibiotics COVID-19</w:t>
            </w:r>
          </w:p>
        </w:tc>
        <w:tc>
          <w:tcPr/>
          <w:p>
            <w:pPr>
              <w:pStyle w:val="Compact"/>
              <w:jc w:val="left"/>
            </w:pPr>
            <w:r>
              <w:t xml:space="preserve">2021-10-01</w:t>
            </w:r>
          </w:p>
        </w:tc>
        <w:tc>
          <w:tcPr/>
          <w:p>
            <w:pPr>
              <w:pStyle w:val="Compact"/>
              <w:jc w:val="left"/>
            </w:pPr>
            <w:r>
              <w:t xml:space="preserve">Mortality</w:t>
            </w:r>
          </w:p>
        </w:tc>
        <w:tc>
          <w:tcPr/>
          <w:p>
            <w:pPr>
              <w:pStyle w:val="Compact"/>
              <w:jc w:val="right"/>
            </w:pPr>
            <w:r>
              <w:t xml:space="preserve">2</w:t>
            </w:r>
          </w:p>
        </w:tc>
        <w:tc>
          <w:tcPr/>
          <w:p>
            <w:pPr>
              <w:pStyle w:val="Compact"/>
              <w:jc w:val="right"/>
            </w:pPr>
            <w:r>
              <w:t xml:space="preserve">0</w:t>
            </w:r>
          </w:p>
        </w:tc>
        <w:tc>
          <w:tcPr/>
          <w:p>
            <w:pPr>
              <w:pStyle w:val="Compact"/>
              <w:jc w:val="right"/>
            </w:pPr>
            <w:r>
              <w:t xml:space="preserve">1.00</w:t>
            </w:r>
          </w:p>
        </w:tc>
      </w:tr>
      <w:tr>
        <w:tc>
          <w:tcPr/>
          <w:p>
            <w:pPr>
              <w:pStyle w:val="Compact"/>
              <w:jc w:val="left"/>
            </w:pPr>
            <w:r>
              <w:t xml:space="preserve">Convalescent plasma</w:t>
            </w:r>
          </w:p>
        </w:tc>
        <w:tc>
          <w:tcPr/>
          <w:p>
            <w:pPr>
              <w:pStyle w:val="Compact"/>
              <w:jc w:val="left"/>
            </w:pPr>
            <w:r>
              <w:t xml:space="preserve">2023-02-01</w:t>
            </w:r>
          </w:p>
        </w:tc>
        <w:tc>
          <w:tcPr/>
          <w:p>
            <w:pPr>
              <w:pStyle w:val="Compact"/>
              <w:jc w:val="left"/>
            </w:pPr>
            <w:r>
              <w:t xml:space="preserve">Improvement</w:t>
            </w:r>
          </w:p>
        </w:tc>
        <w:tc>
          <w:tcPr/>
          <w:p>
            <w:pPr>
              <w:pStyle w:val="Compact"/>
              <w:jc w:val="right"/>
            </w:pPr>
            <w:r>
              <w:t xml:space="preserve">2</w:t>
            </w:r>
          </w:p>
        </w:tc>
        <w:tc>
          <w:tcPr/>
          <w:p>
            <w:pPr>
              <w:pStyle w:val="Compact"/>
              <w:jc w:val="right"/>
            </w:pPr>
            <w:r>
              <w:t xml:space="preserve">0</w:t>
            </w:r>
          </w:p>
        </w:tc>
        <w:tc>
          <w:tcPr/>
          <w:p>
            <w:pPr>
              <w:pStyle w:val="Compact"/>
              <w:jc w:val="right"/>
            </w:pPr>
            <w:r>
              <w:t xml:space="preserve">1.01</w:t>
            </w:r>
          </w:p>
        </w:tc>
      </w:tr>
      <w:tr>
        <w:tc>
          <w:tcPr/>
          <w:p>
            <w:pPr>
              <w:pStyle w:val="Compact"/>
              <w:jc w:val="left"/>
            </w:pPr>
            <w:r>
              <w:t xml:space="preserve">Convalescent plasma</w:t>
            </w:r>
          </w:p>
        </w:tc>
        <w:tc>
          <w:tcPr/>
          <w:p>
            <w:pPr>
              <w:pStyle w:val="Compact"/>
              <w:jc w:val="left"/>
            </w:pPr>
            <w:r>
              <w:t xml:space="preserve">2023-02-01</w:t>
            </w:r>
          </w:p>
        </w:tc>
        <w:tc>
          <w:tcPr/>
          <w:p>
            <w:pPr>
              <w:pStyle w:val="Compact"/>
              <w:jc w:val="left"/>
            </w:pPr>
            <w:r>
              <w:t xml:space="preserve">Worsening</w:t>
            </w:r>
          </w:p>
        </w:tc>
        <w:tc>
          <w:tcPr/>
          <w:p>
            <w:pPr>
              <w:pStyle w:val="Compact"/>
              <w:jc w:val="right"/>
            </w:pPr>
            <w:r>
              <w:t xml:space="preserve">2</w:t>
            </w:r>
          </w:p>
        </w:tc>
        <w:tc>
          <w:tcPr/>
          <w:p>
            <w:pPr>
              <w:pStyle w:val="Compact"/>
              <w:jc w:val="right"/>
            </w:pPr>
            <w:r>
              <w:t xml:space="preserve">0</w:t>
            </w:r>
          </w:p>
        </w:tc>
        <w:tc>
          <w:tcPr/>
          <w:p>
            <w:pPr>
              <w:pStyle w:val="Compact"/>
              <w:jc w:val="right"/>
            </w:pPr>
            <w:r>
              <w:t xml:space="preserve">1.04</w:t>
            </w:r>
          </w:p>
        </w:tc>
      </w:tr>
      <w:tr>
        <w:tc>
          <w:tcPr/>
          <w:p>
            <w:pPr>
              <w:pStyle w:val="Compact"/>
              <w:jc w:val="left"/>
            </w:pPr>
            <w:r>
              <w:t xml:space="preserve">Convalescent plasma</w:t>
            </w:r>
          </w:p>
        </w:tc>
        <w:tc>
          <w:tcPr/>
          <w:p>
            <w:pPr>
              <w:pStyle w:val="Compact"/>
              <w:jc w:val="left"/>
            </w:pPr>
            <w:r>
              <w:t xml:space="preserve">2023-02-01</w:t>
            </w:r>
          </w:p>
        </w:tc>
        <w:tc>
          <w:tcPr/>
          <w:p>
            <w:pPr>
              <w:pStyle w:val="Compact"/>
              <w:jc w:val="left"/>
            </w:pPr>
            <w:r>
              <w:t xml:space="preserve">Mortality</w:t>
            </w:r>
          </w:p>
        </w:tc>
        <w:tc>
          <w:tcPr/>
          <w:p>
            <w:pPr>
              <w:pStyle w:val="Compact"/>
              <w:jc w:val="right"/>
            </w:pPr>
            <w:r>
              <w:t xml:space="preserve">2</w:t>
            </w:r>
          </w:p>
        </w:tc>
        <w:tc>
          <w:tcPr/>
          <w:p>
            <w:pPr>
              <w:pStyle w:val="Compact"/>
              <w:jc w:val="right"/>
            </w:pPr>
            <w:r>
              <w:t xml:space="preserve">0</w:t>
            </w:r>
          </w:p>
        </w:tc>
        <w:tc>
          <w:tcPr/>
          <w:p>
            <w:pPr>
              <w:pStyle w:val="Compact"/>
              <w:jc w:val="right"/>
            </w:pPr>
            <w:r>
              <w:t xml:space="preserve">1.04</w:t>
            </w:r>
          </w:p>
        </w:tc>
      </w:tr>
      <w:tr>
        <w:tc>
          <w:tcPr/>
          <w:p>
            <w:pPr>
              <w:pStyle w:val="Compact"/>
              <w:jc w:val="left"/>
            </w:pPr>
            <w:r>
              <w:t xml:space="preserve">Remdesivir COVID-19</w:t>
            </w:r>
          </w:p>
        </w:tc>
        <w:tc>
          <w:tcPr/>
          <w:p>
            <w:pPr>
              <w:pStyle w:val="Compact"/>
              <w:jc w:val="left"/>
            </w:pPr>
            <w:r>
              <w:t xml:space="preserve">2023-01-01</w:t>
            </w:r>
          </w:p>
        </w:tc>
        <w:tc>
          <w:tcPr/>
          <w:p>
            <w:pPr>
              <w:pStyle w:val="Compact"/>
              <w:jc w:val="left"/>
            </w:pPr>
            <w:r>
              <w:t xml:space="preserve">Mortality</w:t>
            </w:r>
          </w:p>
        </w:tc>
        <w:tc>
          <w:tcPr/>
          <w:p>
            <w:pPr>
              <w:pStyle w:val="Compact"/>
              <w:jc w:val="right"/>
            </w:pPr>
            <w:r>
              <w:t xml:space="preserve">2</w:t>
            </w:r>
          </w:p>
        </w:tc>
        <w:tc>
          <w:tcPr/>
          <w:p>
            <w:pPr>
              <w:pStyle w:val="Compact"/>
              <w:jc w:val="right"/>
            </w:pPr>
            <w:r>
              <w:t xml:space="preserve">0</w:t>
            </w:r>
          </w:p>
        </w:tc>
        <w:tc>
          <w:tcPr/>
          <w:p>
            <w:pPr>
              <w:pStyle w:val="Compact"/>
              <w:jc w:val="right"/>
            </w:pPr>
            <w:r>
              <w:t xml:space="preserve">1.04</w:t>
            </w:r>
          </w:p>
        </w:tc>
      </w:tr>
      <w:tr>
        <w:tc>
          <w:tcPr/>
          <w:p>
            <w:pPr>
              <w:pStyle w:val="Compact"/>
              <w:jc w:val="left"/>
            </w:pPr>
            <w:r>
              <w:t xml:space="preserve">Antibiotics COVID-19</w:t>
            </w:r>
          </w:p>
        </w:tc>
        <w:tc>
          <w:tcPr/>
          <w:p>
            <w:pPr>
              <w:pStyle w:val="Compact"/>
              <w:jc w:val="left"/>
            </w:pPr>
            <w:r>
              <w:t xml:space="preserve">2021-10-01</w:t>
            </w:r>
          </w:p>
        </w:tc>
        <w:tc>
          <w:tcPr/>
          <w:p>
            <w:pPr>
              <w:pStyle w:val="Compact"/>
              <w:jc w:val="left"/>
            </w:pPr>
            <w:r>
              <w:t xml:space="preserve">Arrhythmias</w:t>
            </w:r>
          </w:p>
        </w:tc>
        <w:tc>
          <w:tcPr/>
          <w:p>
            <w:pPr>
              <w:pStyle w:val="Compact"/>
              <w:jc w:val="right"/>
            </w:pPr>
            <w:r>
              <w:t xml:space="preserve">2</w:t>
            </w:r>
          </w:p>
        </w:tc>
        <w:tc>
          <w:tcPr/>
          <w:p>
            <w:pPr>
              <w:pStyle w:val="Compact"/>
              <w:jc w:val="right"/>
            </w:pPr>
            <w:r>
              <w:t xml:space="preserve">0</w:t>
            </w:r>
          </w:p>
        </w:tc>
        <w:tc>
          <w:tcPr/>
          <w:p>
            <w:pPr>
              <w:pStyle w:val="Compact"/>
              <w:jc w:val="right"/>
            </w:pPr>
            <w:r>
              <w:t xml:space="preserve">1.04</w:t>
            </w:r>
          </w:p>
        </w:tc>
      </w:tr>
      <w:tr>
        <w:tc>
          <w:tcPr/>
          <w:p>
            <w:pPr>
              <w:pStyle w:val="Compact"/>
              <w:jc w:val="left"/>
            </w:pPr>
            <w:r>
              <w:t xml:space="preserve">Convalescent plasma</w:t>
            </w:r>
          </w:p>
        </w:tc>
        <w:tc>
          <w:tcPr/>
          <w:p>
            <w:pPr>
              <w:pStyle w:val="Compact"/>
              <w:jc w:val="left"/>
            </w:pPr>
            <w:r>
              <w:t xml:space="preserve">2021-05-01</w:t>
            </w:r>
          </w:p>
        </w:tc>
        <w:tc>
          <w:tcPr/>
          <w:p>
            <w:pPr>
              <w:pStyle w:val="Compact"/>
              <w:jc w:val="left"/>
            </w:pPr>
            <w:r>
              <w:t xml:space="preserve">Mortality</w:t>
            </w:r>
          </w:p>
        </w:tc>
        <w:tc>
          <w:tcPr/>
          <w:p>
            <w:pPr>
              <w:pStyle w:val="Compact"/>
              <w:jc w:val="right"/>
            </w:pPr>
            <w:r>
              <w:t xml:space="preserve">2</w:t>
            </w:r>
          </w:p>
        </w:tc>
        <w:tc>
          <w:tcPr/>
          <w:p>
            <w:pPr>
              <w:pStyle w:val="Compact"/>
              <w:jc w:val="right"/>
            </w:pPr>
            <w:r>
              <w:t xml:space="preserve">0</w:t>
            </w:r>
          </w:p>
        </w:tc>
        <w:tc>
          <w:tcPr/>
          <w:p>
            <w:pPr>
              <w:pStyle w:val="Compact"/>
              <w:jc w:val="right"/>
            </w:pPr>
            <w:r>
              <w:t xml:space="preserve">1.04</w:t>
            </w:r>
          </w:p>
        </w:tc>
      </w:tr>
      <w:tr>
        <w:tc>
          <w:tcPr/>
          <w:p>
            <w:pPr>
              <w:pStyle w:val="Compact"/>
              <w:jc w:val="left"/>
            </w:pPr>
            <w:r>
              <w:t xml:space="preserve">Oral anticoagulation</w:t>
            </w:r>
          </w:p>
        </w:tc>
        <w:tc>
          <w:tcPr/>
          <w:p>
            <w:pPr>
              <w:pStyle w:val="Compact"/>
              <w:jc w:val="left"/>
            </w:pPr>
            <w:r>
              <w:t xml:space="preserve">2021-10-01</w:t>
            </w:r>
          </w:p>
        </w:tc>
        <w:tc>
          <w:tcPr/>
          <w:p>
            <w:pPr>
              <w:pStyle w:val="Compact"/>
              <w:jc w:val="left"/>
            </w:pPr>
            <w:r>
              <w:t xml:space="preserve">Minor bleeding</w:t>
            </w:r>
          </w:p>
        </w:tc>
        <w:tc>
          <w:tcPr/>
          <w:p>
            <w:pPr>
              <w:pStyle w:val="Compact"/>
              <w:jc w:val="right"/>
            </w:pPr>
            <w:r>
              <w:t xml:space="preserve">1</w:t>
            </w:r>
          </w:p>
        </w:tc>
        <w:tc>
          <w:tcPr/>
          <w:p>
            <w:pPr>
              <w:pStyle w:val="Compact"/>
              <w:jc w:val="right"/>
            </w:pPr>
            <w:r>
              <w:t xml:space="preserve">1</w:t>
            </w:r>
          </w:p>
        </w:tc>
        <w:tc>
          <w:tcPr/>
          <w:p>
            <w:pPr>
              <w:pStyle w:val="Compact"/>
              <w:jc w:val="right"/>
            </w:pPr>
            <w:r>
              <w:t xml:space="preserve">1.54</w:t>
            </w:r>
          </w:p>
        </w:tc>
      </w:tr>
      <w:tr>
        <w:tc>
          <w:tcPr/>
          <w:p>
            <w:pPr>
              <w:pStyle w:val="Compact"/>
              <w:jc w:val="left"/>
            </w:pPr>
            <w:r>
              <w:t xml:space="preserve">Janus kinase inhibitors COVID-19</w:t>
            </w:r>
          </w:p>
        </w:tc>
        <w:tc>
          <w:tcPr/>
          <w:p>
            <w:pPr>
              <w:pStyle w:val="Compact"/>
              <w:jc w:val="left"/>
            </w:pPr>
            <w:r>
              <w:t xml:space="preserve">2022-06-01</w:t>
            </w:r>
          </w:p>
        </w:tc>
        <w:tc>
          <w:tcPr/>
          <w:p>
            <w:pPr>
              <w:pStyle w:val="Compact"/>
              <w:jc w:val="left"/>
            </w:pPr>
            <w:r>
              <w:t xml:space="preserve">SAEs</w:t>
            </w:r>
          </w:p>
        </w:tc>
        <w:tc>
          <w:tcPr/>
          <w:p>
            <w:pPr>
              <w:pStyle w:val="Compact"/>
              <w:jc w:val="right"/>
            </w:pPr>
            <w:r>
              <w:t xml:space="preserve">2</w:t>
            </w:r>
          </w:p>
        </w:tc>
        <w:tc>
          <w:tcPr/>
          <w:p>
            <w:pPr>
              <w:pStyle w:val="Compact"/>
              <w:jc w:val="right"/>
            </w:pPr>
            <w:r>
              <w:t xml:space="preserve">1</w:t>
            </w:r>
          </w:p>
        </w:tc>
        <w:tc>
          <w:tcPr/>
          <w:p>
            <w:pPr>
              <w:pStyle w:val="Compact"/>
              <w:jc w:val="right"/>
            </w:pPr>
            <w:r>
              <w:t xml:space="preserve">1.68</w:t>
            </w:r>
          </w:p>
        </w:tc>
      </w:tr>
      <w:tr>
        <w:tc>
          <w:tcPr/>
          <w:p>
            <w:pPr>
              <w:pStyle w:val="Compact"/>
              <w:jc w:val="left"/>
            </w:pPr>
            <w:r>
              <w:t xml:space="preserve">Systemic corticosteroids COVID-19</w:t>
            </w:r>
          </w:p>
        </w:tc>
        <w:tc>
          <w:tcPr/>
          <w:p>
            <w:pPr>
              <w:pStyle w:val="Compact"/>
              <w:jc w:val="left"/>
            </w:pPr>
            <w:r>
              <w:t xml:space="preserve">2022-11-01</w:t>
            </w:r>
          </w:p>
        </w:tc>
        <w:tc>
          <w:tcPr/>
          <w:p>
            <w:pPr>
              <w:pStyle w:val="Compact"/>
              <w:jc w:val="left"/>
            </w:pPr>
            <w:r>
              <w:t xml:space="preserve">Mortality120</w:t>
            </w:r>
          </w:p>
        </w:tc>
        <w:tc>
          <w:tcPr/>
          <w:p>
            <w:pPr>
              <w:pStyle w:val="Compact"/>
              <w:jc w:val="right"/>
            </w:pPr>
            <w:r>
              <w:t xml:space="preserve">2</w:t>
            </w:r>
          </w:p>
        </w:tc>
        <w:tc>
          <w:tcPr/>
          <w:p>
            <w:pPr>
              <w:pStyle w:val="Compact"/>
              <w:jc w:val="right"/>
            </w:pPr>
            <w:r>
              <w:t xml:space="preserve">1</w:t>
            </w:r>
          </w:p>
        </w:tc>
        <w:tc>
          <w:tcPr/>
          <w:p>
            <w:pPr>
              <w:pStyle w:val="Compact"/>
              <w:jc w:val="right"/>
            </w:pPr>
            <w:r>
              <w:t xml:space="preserve">1.69</w:t>
            </w:r>
          </w:p>
        </w:tc>
      </w:tr>
      <w:tr>
        <w:tc>
          <w:tcPr/>
          <w:p>
            <w:pPr>
              <w:pStyle w:val="Compact"/>
              <w:jc w:val="left"/>
            </w:pPr>
            <w:r>
              <w:t xml:space="preserve">Janus kinase inhibitors COVID-19</w:t>
            </w:r>
          </w:p>
        </w:tc>
        <w:tc>
          <w:tcPr/>
          <w:p>
            <w:pPr>
              <w:pStyle w:val="Compact"/>
              <w:jc w:val="left"/>
            </w:pPr>
            <w:r>
              <w:t xml:space="preserve">2022-06-01</w:t>
            </w:r>
          </w:p>
        </w:tc>
        <w:tc>
          <w:tcPr/>
          <w:p>
            <w:pPr>
              <w:pStyle w:val="Compact"/>
              <w:jc w:val="left"/>
            </w:pPr>
            <w:r>
              <w:t xml:space="preserve">Mortality28</w:t>
            </w:r>
          </w:p>
        </w:tc>
        <w:tc>
          <w:tcPr/>
          <w:p>
            <w:pPr>
              <w:pStyle w:val="Compact"/>
              <w:jc w:val="right"/>
            </w:pPr>
            <w:r>
              <w:t xml:space="preserve">2</w:t>
            </w:r>
          </w:p>
        </w:tc>
        <w:tc>
          <w:tcPr/>
          <w:p>
            <w:pPr>
              <w:pStyle w:val="Compact"/>
              <w:jc w:val="right"/>
            </w:pPr>
            <w:r>
              <w:t xml:space="preserve">1</w:t>
            </w:r>
          </w:p>
        </w:tc>
        <w:tc>
          <w:tcPr/>
          <w:p>
            <w:pPr>
              <w:pStyle w:val="Compact"/>
              <w:jc w:val="right"/>
            </w:pPr>
            <w:r>
              <w:t xml:space="preserve">1.77</w:t>
            </w:r>
          </w:p>
        </w:tc>
      </w:tr>
      <w:tr>
        <w:tc>
          <w:tcPr/>
          <w:p>
            <w:pPr>
              <w:pStyle w:val="Compact"/>
              <w:jc w:val="left"/>
            </w:pPr>
            <w:r>
              <w:t xml:space="preserve">Non-small cell lung cancer</w:t>
            </w:r>
          </w:p>
        </w:tc>
        <w:tc>
          <w:tcPr/>
          <w:p>
            <w:pPr>
              <w:pStyle w:val="Compact"/>
              <w:jc w:val="left"/>
            </w:pPr>
            <w:r>
              <w:t xml:space="preserve">2021-04-01</w:t>
            </w:r>
          </w:p>
        </w:tc>
        <w:tc>
          <w:tcPr/>
          <w:p>
            <w:pPr>
              <w:pStyle w:val="Compact"/>
              <w:jc w:val="left"/>
            </w:pPr>
            <w:r>
              <w:t xml:space="preserve">AEs</w:t>
            </w:r>
          </w:p>
        </w:tc>
        <w:tc>
          <w:tcPr/>
          <w:p>
            <w:pPr>
              <w:pStyle w:val="Compact"/>
              <w:jc w:val="right"/>
            </w:pPr>
            <w:r>
              <w:t xml:space="preserve">1</w:t>
            </w:r>
          </w:p>
        </w:tc>
        <w:tc>
          <w:tcPr/>
          <w:p>
            <w:pPr>
              <w:pStyle w:val="Compact"/>
              <w:jc w:val="right"/>
            </w:pPr>
            <w:r>
              <w:t xml:space="preserve">1</w:t>
            </w:r>
          </w:p>
        </w:tc>
        <w:tc>
          <w:tcPr/>
          <w:p>
            <w:pPr>
              <w:pStyle w:val="Compact"/>
              <w:jc w:val="right"/>
            </w:pPr>
            <w:r>
              <w:t xml:space="preserve">1.78</w:t>
            </w:r>
          </w:p>
        </w:tc>
      </w:tr>
      <w:tr>
        <w:tc>
          <w:tcPr/>
          <w:p>
            <w:pPr>
              <w:pStyle w:val="Compact"/>
              <w:jc w:val="left"/>
            </w:pPr>
            <w:r>
              <w:t xml:space="preserve">Convalescent plasma</w:t>
            </w:r>
          </w:p>
        </w:tc>
        <w:tc>
          <w:tcPr/>
          <w:p>
            <w:pPr>
              <w:pStyle w:val="Compact"/>
              <w:jc w:val="left"/>
            </w:pPr>
            <w:r>
              <w:t xml:space="preserve">2023-02-01</w:t>
            </w:r>
          </w:p>
        </w:tc>
        <w:tc>
          <w:tcPr/>
          <w:p>
            <w:pPr>
              <w:pStyle w:val="Compact"/>
              <w:jc w:val="left"/>
            </w:pPr>
            <w:r>
              <w:t xml:space="preserve">SAEs</w:t>
            </w:r>
          </w:p>
        </w:tc>
        <w:tc>
          <w:tcPr/>
          <w:p>
            <w:pPr>
              <w:pStyle w:val="Compact"/>
              <w:jc w:val="right"/>
            </w:pPr>
            <w:r>
              <w:t xml:space="preserve">2</w:t>
            </w:r>
          </w:p>
        </w:tc>
        <w:tc>
          <w:tcPr/>
          <w:p>
            <w:pPr>
              <w:pStyle w:val="Compact"/>
              <w:jc w:val="right"/>
            </w:pPr>
            <w:r>
              <w:t xml:space="preserve">0</w:t>
            </w:r>
          </w:p>
        </w:tc>
        <w:tc>
          <w:tcPr/>
          <w:p>
            <w:pPr>
              <w:pStyle w:val="Compact"/>
              <w:jc w:val="right"/>
            </w:pPr>
            <w:r>
              <w:t xml:space="preserve">1.79</w:t>
            </w:r>
          </w:p>
        </w:tc>
      </w:tr>
      <w:tr>
        <w:tc>
          <w:tcPr/>
          <w:p>
            <w:pPr>
              <w:pStyle w:val="Compact"/>
              <w:jc w:val="left"/>
            </w:pPr>
            <w:r>
              <w:t xml:space="preserve">Antibiotics COVID-19</w:t>
            </w:r>
          </w:p>
        </w:tc>
        <w:tc>
          <w:tcPr/>
          <w:p>
            <w:pPr>
              <w:pStyle w:val="Compact"/>
              <w:jc w:val="left"/>
            </w:pPr>
            <w:r>
              <w:t xml:space="preserve">2021-10-01</w:t>
            </w:r>
          </w:p>
        </w:tc>
        <w:tc>
          <w:tcPr/>
          <w:p>
            <w:pPr>
              <w:pStyle w:val="Compact"/>
              <w:jc w:val="left"/>
            </w:pPr>
            <w:r>
              <w:t xml:space="preserve">AEs</w:t>
            </w:r>
          </w:p>
        </w:tc>
        <w:tc>
          <w:tcPr/>
          <w:p>
            <w:pPr>
              <w:pStyle w:val="Compact"/>
              <w:jc w:val="right"/>
            </w:pPr>
            <w:r>
              <w:t xml:space="preserve">2</w:t>
            </w:r>
          </w:p>
        </w:tc>
        <w:tc>
          <w:tcPr/>
          <w:p>
            <w:pPr>
              <w:pStyle w:val="Compact"/>
              <w:jc w:val="right"/>
            </w:pPr>
            <w:r>
              <w:t xml:space="preserve">1</w:t>
            </w:r>
          </w:p>
        </w:tc>
        <w:tc>
          <w:tcPr/>
          <w:p>
            <w:pPr>
              <w:pStyle w:val="Compact"/>
              <w:jc w:val="right"/>
            </w:pPr>
            <w:r>
              <w:t xml:space="preserve">1.89</w:t>
            </w:r>
          </w:p>
        </w:tc>
      </w:tr>
      <w:tr>
        <w:tc>
          <w:tcPr/>
          <w:p>
            <w:pPr>
              <w:pStyle w:val="Compact"/>
              <w:jc w:val="left"/>
            </w:pPr>
            <w:r>
              <w:t xml:space="preserve">Antibiotics COVID-19</w:t>
            </w:r>
          </w:p>
        </w:tc>
        <w:tc>
          <w:tcPr/>
          <w:p>
            <w:pPr>
              <w:pStyle w:val="Compact"/>
              <w:jc w:val="left"/>
            </w:pPr>
            <w:r>
              <w:t xml:space="preserve">2021-10-01</w:t>
            </w:r>
          </w:p>
        </w:tc>
        <w:tc>
          <w:tcPr/>
          <w:p>
            <w:pPr>
              <w:pStyle w:val="Compact"/>
              <w:jc w:val="left"/>
            </w:pPr>
            <w:r>
              <w:t xml:space="preserve">SAEs</w:t>
            </w:r>
          </w:p>
        </w:tc>
        <w:tc>
          <w:tcPr/>
          <w:p>
            <w:pPr>
              <w:pStyle w:val="Compact"/>
              <w:jc w:val="right"/>
            </w:pPr>
            <w:r>
              <w:t xml:space="preserve">2</w:t>
            </w:r>
          </w:p>
        </w:tc>
        <w:tc>
          <w:tcPr/>
          <w:p>
            <w:pPr>
              <w:pStyle w:val="Compact"/>
              <w:jc w:val="right"/>
            </w:pPr>
            <w:r>
              <w:t xml:space="preserve">1</w:t>
            </w:r>
          </w:p>
        </w:tc>
        <w:tc>
          <w:tcPr/>
          <w:p>
            <w:pPr>
              <w:pStyle w:val="Compact"/>
              <w:jc w:val="right"/>
            </w:pPr>
            <w:r>
              <w:t xml:space="preserve">1.98</w:t>
            </w:r>
          </w:p>
        </w:tc>
      </w:tr>
      <w:tr>
        <w:tc>
          <w:tcPr/>
          <w:p>
            <w:pPr>
              <w:pStyle w:val="Compact"/>
              <w:jc w:val="left"/>
            </w:pPr>
            <w:r>
              <w:t xml:space="preserve">Systemic corticosteroids COVID-19</w:t>
            </w:r>
          </w:p>
        </w:tc>
        <w:tc>
          <w:tcPr/>
          <w:p>
            <w:pPr>
              <w:pStyle w:val="Compact"/>
              <w:jc w:val="left"/>
            </w:pPr>
            <w:r>
              <w:t xml:space="preserve">2022-11-01</w:t>
            </w:r>
          </w:p>
        </w:tc>
        <w:tc>
          <w:tcPr/>
          <w:p>
            <w:pPr>
              <w:pStyle w:val="Compact"/>
              <w:jc w:val="left"/>
            </w:pPr>
            <w:r>
              <w:t xml:space="preserve">Mortality30</w:t>
            </w:r>
          </w:p>
        </w:tc>
        <w:tc>
          <w:tcPr/>
          <w:p>
            <w:pPr>
              <w:pStyle w:val="Compact"/>
              <w:jc w:val="right"/>
            </w:pPr>
            <w:r>
              <w:t xml:space="preserve">2</w:t>
            </w:r>
          </w:p>
        </w:tc>
        <w:tc>
          <w:tcPr/>
          <w:p>
            <w:pPr>
              <w:pStyle w:val="Compact"/>
              <w:jc w:val="right"/>
            </w:pPr>
            <w:r>
              <w:t xml:space="preserve">1</w:t>
            </w:r>
          </w:p>
        </w:tc>
        <w:tc>
          <w:tcPr/>
          <w:p>
            <w:pPr>
              <w:pStyle w:val="Compact"/>
              <w:jc w:val="right"/>
            </w:pPr>
            <w:r>
              <w:t xml:space="preserve">2.00</w:t>
            </w:r>
          </w:p>
        </w:tc>
      </w:tr>
      <w:tr>
        <w:tc>
          <w:tcPr/>
          <w:p>
            <w:pPr>
              <w:pStyle w:val="Compact"/>
              <w:jc w:val="left"/>
            </w:pPr>
            <w:r>
              <w:t xml:space="preserve">Ivermectin COVID-19</w:t>
            </w:r>
          </w:p>
        </w:tc>
        <w:tc>
          <w:tcPr/>
          <w:p>
            <w:pPr>
              <w:pStyle w:val="Compact"/>
              <w:jc w:val="left"/>
            </w:pPr>
            <w:r>
              <w:t xml:space="preserve">2022-06-01</w:t>
            </w:r>
          </w:p>
        </w:tc>
        <w:tc>
          <w:tcPr/>
          <w:p>
            <w:pPr>
              <w:pStyle w:val="Compact"/>
              <w:jc w:val="left"/>
            </w:pPr>
            <w:r>
              <w:t xml:space="preserve">Mortality</w:t>
            </w:r>
          </w:p>
        </w:tc>
        <w:tc>
          <w:tcPr/>
          <w:p>
            <w:pPr>
              <w:pStyle w:val="Compact"/>
              <w:jc w:val="right"/>
            </w:pPr>
            <w:r>
              <w:t xml:space="preserve">2</w:t>
            </w:r>
          </w:p>
        </w:tc>
        <w:tc>
          <w:tcPr/>
          <w:p>
            <w:pPr>
              <w:pStyle w:val="Compact"/>
              <w:jc w:val="right"/>
            </w:pPr>
            <w:r>
              <w:t xml:space="preserve">1</w:t>
            </w:r>
          </w:p>
        </w:tc>
        <w:tc>
          <w:tcPr/>
          <w:p>
            <w:pPr>
              <w:pStyle w:val="Compact"/>
              <w:jc w:val="right"/>
            </w:pPr>
            <w:r>
              <w:t xml:space="preserve">2.00</w:t>
            </w:r>
          </w:p>
        </w:tc>
      </w:tr>
      <w:tr>
        <w:tc>
          <w:tcPr/>
          <w:p>
            <w:pPr>
              <w:pStyle w:val="Compact"/>
              <w:jc w:val="left"/>
            </w:pPr>
            <w:r>
              <w:t xml:space="preserve">Ivermectin COVID-19</w:t>
            </w:r>
          </w:p>
        </w:tc>
        <w:tc>
          <w:tcPr/>
          <w:p>
            <w:pPr>
              <w:pStyle w:val="Compact"/>
              <w:jc w:val="left"/>
            </w:pPr>
            <w:r>
              <w:t xml:space="preserve">2021-07-01</w:t>
            </w:r>
          </w:p>
        </w:tc>
        <w:tc>
          <w:tcPr/>
          <w:p>
            <w:pPr>
              <w:pStyle w:val="Compact"/>
              <w:jc w:val="left"/>
            </w:pPr>
            <w:r>
              <w:t xml:space="preserve">Mortality</w:t>
            </w:r>
          </w:p>
        </w:tc>
        <w:tc>
          <w:tcPr/>
          <w:p>
            <w:pPr>
              <w:pStyle w:val="Compact"/>
              <w:jc w:val="right"/>
            </w:pPr>
            <w:r>
              <w:t xml:space="preserve">2</w:t>
            </w:r>
          </w:p>
        </w:tc>
        <w:tc>
          <w:tcPr/>
          <w:p>
            <w:pPr>
              <w:pStyle w:val="Compact"/>
              <w:jc w:val="right"/>
            </w:pPr>
            <w:r>
              <w:t xml:space="preserve">1</w:t>
            </w:r>
          </w:p>
        </w:tc>
        <w:tc>
          <w:tcPr/>
          <w:p>
            <w:pPr>
              <w:pStyle w:val="Compact"/>
              <w:jc w:val="right"/>
            </w:pPr>
            <w:r>
              <w:t xml:space="preserve">2.00</w:t>
            </w:r>
          </w:p>
        </w:tc>
      </w:tr>
      <w:tr>
        <w:tc>
          <w:tcPr/>
          <w:p>
            <w:pPr>
              <w:pStyle w:val="Compact"/>
              <w:jc w:val="left"/>
            </w:pPr>
            <w:r>
              <w:t xml:space="preserve">Ivermectin COVID-19</w:t>
            </w:r>
          </w:p>
        </w:tc>
        <w:tc>
          <w:tcPr/>
          <w:p>
            <w:pPr>
              <w:pStyle w:val="Compact"/>
              <w:jc w:val="left"/>
            </w:pPr>
            <w:r>
              <w:t xml:space="preserve">2022-06-01</w:t>
            </w:r>
          </w:p>
        </w:tc>
        <w:tc>
          <w:tcPr/>
          <w:p>
            <w:pPr>
              <w:pStyle w:val="Compact"/>
              <w:jc w:val="left"/>
            </w:pPr>
            <w:r>
              <w:t xml:space="preserve">SAEs</w:t>
            </w:r>
          </w:p>
        </w:tc>
        <w:tc>
          <w:tcPr/>
          <w:p>
            <w:pPr>
              <w:pStyle w:val="Compact"/>
              <w:jc w:val="right"/>
            </w:pPr>
            <w:r>
              <w:t xml:space="preserve">2</w:t>
            </w:r>
          </w:p>
        </w:tc>
        <w:tc>
          <w:tcPr/>
          <w:p>
            <w:pPr>
              <w:pStyle w:val="Compact"/>
              <w:jc w:val="right"/>
            </w:pPr>
            <w:r>
              <w:t xml:space="preserve">1</w:t>
            </w:r>
          </w:p>
        </w:tc>
        <w:tc>
          <w:tcPr/>
          <w:p>
            <w:pPr>
              <w:pStyle w:val="Compact"/>
              <w:jc w:val="right"/>
            </w:pPr>
            <w:r>
              <w:t xml:space="preserve">2.00</w:t>
            </w:r>
          </w:p>
        </w:tc>
      </w:tr>
      <w:tr>
        <w:tc>
          <w:tcPr/>
          <w:p>
            <w:pPr>
              <w:pStyle w:val="Compact"/>
              <w:jc w:val="left"/>
            </w:pPr>
            <w:r>
              <w:t xml:space="preserve">Remdesivir COVID-19</w:t>
            </w:r>
          </w:p>
        </w:tc>
        <w:tc>
          <w:tcPr/>
          <w:p>
            <w:pPr>
              <w:pStyle w:val="Compact"/>
              <w:jc w:val="left"/>
            </w:pPr>
            <w:r>
              <w:t xml:space="preserve">2023-01-01</w:t>
            </w:r>
          </w:p>
        </w:tc>
        <w:tc>
          <w:tcPr/>
          <w:p>
            <w:pPr>
              <w:pStyle w:val="Compact"/>
              <w:jc w:val="left"/>
            </w:pPr>
            <w:r>
              <w:t xml:space="preserve">AEs</w:t>
            </w:r>
          </w:p>
        </w:tc>
        <w:tc>
          <w:tcPr/>
          <w:p>
            <w:pPr>
              <w:pStyle w:val="Compact"/>
              <w:jc w:val="right"/>
            </w:pPr>
            <w:r>
              <w:t xml:space="preserve">2</w:t>
            </w:r>
          </w:p>
        </w:tc>
        <w:tc>
          <w:tcPr/>
          <w:p>
            <w:pPr>
              <w:pStyle w:val="Compact"/>
              <w:jc w:val="right"/>
            </w:pPr>
            <w:r>
              <w:t xml:space="preserve">1</w:t>
            </w:r>
          </w:p>
        </w:tc>
        <w:tc>
          <w:tcPr/>
          <w:p>
            <w:pPr>
              <w:pStyle w:val="Compact"/>
              <w:jc w:val="right"/>
            </w:pPr>
            <w:r>
              <w:t xml:space="preserve">2.00</w:t>
            </w:r>
          </w:p>
        </w:tc>
      </w:tr>
      <w:tr>
        <w:tc>
          <w:tcPr/>
          <w:p>
            <w:pPr>
              <w:pStyle w:val="Compact"/>
              <w:jc w:val="left"/>
            </w:pPr>
            <w:r>
              <w:t xml:space="preserve">Remdesivir COVID-19</w:t>
            </w:r>
          </w:p>
        </w:tc>
        <w:tc>
          <w:tcPr/>
          <w:p>
            <w:pPr>
              <w:pStyle w:val="Compact"/>
              <w:jc w:val="left"/>
            </w:pPr>
            <w:r>
              <w:t xml:space="preserve">2023-01-01</w:t>
            </w:r>
          </w:p>
        </w:tc>
        <w:tc>
          <w:tcPr/>
          <w:p>
            <w:pPr>
              <w:pStyle w:val="Compact"/>
              <w:jc w:val="left"/>
            </w:pPr>
            <w:r>
              <w:t xml:space="preserve">SAEs</w:t>
            </w:r>
          </w:p>
        </w:tc>
        <w:tc>
          <w:tcPr/>
          <w:p>
            <w:pPr>
              <w:pStyle w:val="Compact"/>
              <w:jc w:val="right"/>
            </w:pPr>
            <w:r>
              <w:t xml:space="preserve">2</w:t>
            </w:r>
          </w:p>
        </w:tc>
        <w:tc>
          <w:tcPr/>
          <w:p>
            <w:pPr>
              <w:pStyle w:val="Compact"/>
              <w:jc w:val="right"/>
            </w:pPr>
            <w:r>
              <w:t xml:space="preserve">1</w:t>
            </w:r>
          </w:p>
        </w:tc>
        <w:tc>
          <w:tcPr/>
          <w:p>
            <w:pPr>
              <w:pStyle w:val="Compact"/>
              <w:jc w:val="right"/>
            </w:pPr>
            <w:r>
              <w:t xml:space="preserve">2.00</w:t>
            </w:r>
          </w:p>
        </w:tc>
      </w:tr>
      <w:tr>
        <w:tc>
          <w:tcPr/>
          <w:p>
            <w:pPr>
              <w:pStyle w:val="Compact"/>
              <w:jc w:val="left"/>
            </w:pPr>
            <w:r>
              <w:t xml:space="preserve">Remdesivir COVID-19</w:t>
            </w:r>
          </w:p>
        </w:tc>
        <w:tc>
          <w:tcPr/>
          <w:p>
            <w:pPr>
              <w:pStyle w:val="Compact"/>
              <w:jc w:val="left"/>
            </w:pPr>
            <w:r>
              <w:t xml:space="preserve">2021-08-01</w:t>
            </w:r>
          </w:p>
        </w:tc>
        <w:tc>
          <w:tcPr/>
          <w:p>
            <w:pPr>
              <w:pStyle w:val="Compact"/>
              <w:jc w:val="left"/>
            </w:pPr>
            <w:r>
              <w:t xml:space="preserve">AEs</w:t>
            </w:r>
          </w:p>
        </w:tc>
        <w:tc>
          <w:tcPr/>
          <w:p>
            <w:pPr>
              <w:pStyle w:val="Compact"/>
              <w:jc w:val="right"/>
            </w:pPr>
            <w:r>
              <w:t xml:space="preserve">2</w:t>
            </w:r>
          </w:p>
        </w:tc>
        <w:tc>
          <w:tcPr/>
          <w:p>
            <w:pPr>
              <w:pStyle w:val="Compact"/>
              <w:jc w:val="right"/>
            </w:pPr>
            <w:r>
              <w:t xml:space="preserve">1</w:t>
            </w:r>
          </w:p>
        </w:tc>
        <w:tc>
          <w:tcPr/>
          <w:p>
            <w:pPr>
              <w:pStyle w:val="Compact"/>
              <w:jc w:val="right"/>
            </w:pPr>
            <w:r>
              <w:t xml:space="preserve">2.00</w:t>
            </w:r>
          </w:p>
        </w:tc>
      </w:tr>
      <w:tr>
        <w:tc>
          <w:tcPr/>
          <w:p>
            <w:pPr>
              <w:pStyle w:val="Compact"/>
              <w:jc w:val="left"/>
            </w:pPr>
            <w:r>
              <w:t xml:space="preserve">Remdesivir COVID-19</w:t>
            </w:r>
          </w:p>
        </w:tc>
        <w:tc>
          <w:tcPr/>
          <w:p>
            <w:pPr>
              <w:pStyle w:val="Compact"/>
              <w:jc w:val="left"/>
            </w:pPr>
            <w:r>
              <w:t xml:space="preserve">2021-08-01</w:t>
            </w:r>
          </w:p>
        </w:tc>
        <w:tc>
          <w:tcPr/>
          <w:p>
            <w:pPr>
              <w:pStyle w:val="Compact"/>
              <w:jc w:val="left"/>
            </w:pPr>
            <w:r>
              <w:t xml:space="preserve">SAEs</w:t>
            </w:r>
          </w:p>
        </w:tc>
        <w:tc>
          <w:tcPr/>
          <w:p>
            <w:pPr>
              <w:pStyle w:val="Compact"/>
              <w:jc w:val="right"/>
            </w:pPr>
            <w:r>
              <w:t xml:space="preserve">2</w:t>
            </w:r>
          </w:p>
        </w:tc>
        <w:tc>
          <w:tcPr/>
          <w:p>
            <w:pPr>
              <w:pStyle w:val="Compact"/>
              <w:jc w:val="right"/>
            </w:pPr>
            <w:r>
              <w:t xml:space="preserve">1</w:t>
            </w:r>
          </w:p>
        </w:tc>
        <w:tc>
          <w:tcPr/>
          <w:p>
            <w:pPr>
              <w:pStyle w:val="Compact"/>
              <w:jc w:val="right"/>
            </w:pPr>
            <w:r>
              <w:t xml:space="preserve">2.00</w:t>
            </w:r>
          </w:p>
        </w:tc>
      </w:tr>
      <w:tr>
        <w:tc>
          <w:tcPr/>
          <w:p>
            <w:pPr>
              <w:pStyle w:val="Compact"/>
              <w:jc w:val="left"/>
            </w:pPr>
            <w:r>
              <w:t xml:space="preserve">Janus kinase inhibitors COVID-19</w:t>
            </w:r>
          </w:p>
        </w:tc>
        <w:tc>
          <w:tcPr/>
          <w:p>
            <w:pPr>
              <w:pStyle w:val="Compact"/>
              <w:jc w:val="left"/>
            </w:pPr>
            <w:r>
              <w:t xml:space="preserve">2022-06-01</w:t>
            </w:r>
          </w:p>
        </w:tc>
        <w:tc>
          <w:tcPr/>
          <w:p>
            <w:pPr>
              <w:pStyle w:val="Compact"/>
              <w:jc w:val="left"/>
            </w:pPr>
            <w:r>
              <w:t xml:space="preserve">AEs</w:t>
            </w:r>
          </w:p>
        </w:tc>
        <w:tc>
          <w:tcPr/>
          <w:p>
            <w:pPr>
              <w:pStyle w:val="Compact"/>
              <w:jc w:val="right"/>
            </w:pPr>
            <w:r>
              <w:t xml:space="preserve">2</w:t>
            </w:r>
          </w:p>
        </w:tc>
        <w:tc>
          <w:tcPr/>
          <w:p>
            <w:pPr>
              <w:pStyle w:val="Compact"/>
              <w:jc w:val="right"/>
            </w:pPr>
            <w:r>
              <w:t xml:space="preserve">1</w:t>
            </w:r>
          </w:p>
        </w:tc>
        <w:tc>
          <w:tcPr/>
          <w:p>
            <w:pPr>
              <w:pStyle w:val="Compact"/>
              <w:jc w:val="right"/>
            </w:pPr>
            <w:r>
              <w:t xml:space="preserve">2.00</w:t>
            </w:r>
          </w:p>
        </w:tc>
      </w:tr>
      <w:tr>
        <w:tc>
          <w:tcPr/>
          <w:p>
            <w:pPr>
              <w:pStyle w:val="Compact"/>
              <w:jc w:val="left"/>
            </w:pPr>
            <w:r>
              <w:t xml:space="preserve">Ivermectin COVID-19</w:t>
            </w:r>
          </w:p>
        </w:tc>
        <w:tc>
          <w:tcPr/>
          <w:p>
            <w:pPr>
              <w:pStyle w:val="Compact"/>
              <w:jc w:val="left"/>
            </w:pPr>
            <w:r>
              <w:t xml:space="preserve">2022-06-01</w:t>
            </w:r>
          </w:p>
        </w:tc>
        <w:tc>
          <w:tcPr/>
          <w:p>
            <w:pPr>
              <w:pStyle w:val="Compact"/>
              <w:jc w:val="left"/>
            </w:pPr>
            <w:r>
              <w:t xml:space="preserve">Viral clearance</w:t>
            </w:r>
          </w:p>
        </w:tc>
        <w:tc>
          <w:tcPr/>
          <w:p>
            <w:pPr>
              <w:pStyle w:val="Compact"/>
              <w:jc w:val="right"/>
            </w:pPr>
            <w:r>
              <w:t xml:space="preserve">2</w:t>
            </w:r>
          </w:p>
        </w:tc>
        <w:tc>
          <w:tcPr/>
          <w:p>
            <w:pPr>
              <w:pStyle w:val="Compact"/>
              <w:jc w:val="right"/>
            </w:pPr>
            <w:r>
              <w:t xml:space="preserve">1</w:t>
            </w:r>
          </w:p>
        </w:tc>
        <w:tc>
          <w:tcPr/>
          <w:p>
            <w:pPr>
              <w:pStyle w:val="Compact"/>
              <w:jc w:val="right"/>
            </w:pPr>
            <w:r>
              <w:t xml:space="preserve">2.09</w:t>
            </w:r>
          </w:p>
        </w:tc>
      </w:tr>
      <w:tr>
        <w:tc>
          <w:tcPr/>
          <w:p>
            <w:pPr>
              <w:pStyle w:val="Compact"/>
              <w:jc w:val="left"/>
            </w:pPr>
            <w:r>
              <w:t xml:space="preserve">Janus kinase inhibitors COVID-19</w:t>
            </w:r>
          </w:p>
        </w:tc>
        <w:tc>
          <w:tcPr/>
          <w:p>
            <w:pPr>
              <w:pStyle w:val="Compact"/>
              <w:jc w:val="left"/>
            </w:pPr>
            <w:r>
              <w:t xml:space="preserve">2022-06-01</w:t>
            </w:r>
          </w:p>
        </w:tc>
        <w:tc>
          <w:tcPr/>
          <w:p>
            <w:pPr>
              <w:pStyle w:val="Compact"/>
              <w:jc w:val="left"/>
            </w:pPr>
            <w:r>
              <w:t xml:space="preserve">Infection</w:t>
            </w:r>
          </w:p>
        </w:tc>
        <w:tc>
          <w:tcPr/>
          <w:p>
            <w:pPr>
              <w:pStyle w:val="Compact"/>
              <w:jc w:val="right"/>
            </w:pPr>
            <w:r>
              <w:t xml:space="preserve">2</w:t>
            </w:r>
          </w:p>
        </w:tc>
        <w:tc>
          <w:tcPr/>
          <w:p>
            <w:pPr>
              <w:pStyle w:val="Compact"/>
              <w:jc w:val="right"/>
            </w:pPr>
            <w:r>
              <w:t xml:space="preserve">1</w:t>
            </w:r>
          </w:p>
        </w:tc>
        <w:tc>
          <w:tcPr/>
          <w:p>
            <w:pPr>
              <w:pStyle w:val="Compact"/>
              <w:jc w:val="right"/>
            </w:pPr>
            <w:r>
              <w:t xml:space="preserve">2.62</w:t>
            </w:r>
          </w:p>
        </w:tc>
      </w:tr>
      <w:tr>
        <w:tc>
          <w:tcPr/>
          <w:p>
            <w:pPr>
              <w:pStyle w:val="Compact"/>
              <w:jc w:val="left"/>
            </w:pPr>
            <w:r>
              <w:t xml:space="preserve">Ivermectin COVID-19</w:t>
            </w:r>
          </w:p>
        </w:tc>
        <w:tc>
          <w:tcPr/>
          <w:p>
            <w:pPr>
              <w:pStyle w:val="Compact"/>
              <w:jc w:val="left"/>
            </w:pPr>
            <w:r>
              <w:t xml:space="preserve">2022-06-01</w:t>
            </w:r>
          </w:p>
        </w:tc>
        <w:tc>
          <w:tcPr/>
          <w:p>
            <w:pPr>
              <w:pStyle w:val="Compact"/>
              <w:jc w:val="left"/>
            </w:pPr>
            <w:r>
              <w:t xml:space="preserve">AEs</w:t>
            </w:r>
          </w:p>
        </w:tc>
        <w:tc>
          <w:tcPr/>
          <w:p>
            <w:pPr>
              <w:pStyle w:val="Compact"/>
              <w:jc w:val="right"/>
            </w:pPr>
            <w:r>
              <w:t xml:space="preserve">2</w:t>
            </w:r>
          </w:p>
        </w:tc>
        <w:tc>
          <w:tcPr/>
          <w:p>
            <w:pPr>
              <w:pStyle w:val="Compact"/>
              <w:jc w:val="right"/>
            </w:pPr>
            <w:r>
              <w:t xml:space="preserve">1</w:t>
            </w:r>
          </w:p>
        </w:tc>
        <w:tc>
          <w:tcPr/>
          <w:p>
            <w:pPr>
              <w:pStyle w:val="Compact"/>
              <w:jc w:val="right"/>
            </w:pPr>
            <w:r>
              <w:t xml:space="preserve">2.64</w:t>
            </w:r>
          </w:p>
        </w:tc>
      </w:tr>
      <w:tr>
        <w:tc>
          <w:tcPr/>
          <w:p>
            <w:pPr>
              <w:pStyle w:val="Compact"/>
              <w:jc w:val="left"/>
            </w:pPr>
            <w:r>
              <w:t xml:space="preserve">Oral anticoagulation</w:t>
            </w:r>
          </w:p>
        </w:tc>
        <w:tc>
          <w:tcPr/>
          <w:p>
            <w:pPr>
              <w:pStyle w:val="Compact"/>
              <w:jc w:val="left"/>
            </w:pPr>
            <w:r>
              <w:t xml:space="preserve">2021-10-01</w:t>
            </w:r>
          </w:p>
        </w:tc>
        <w:tc>
          <w:tcPr/>
          <w:p>
            <w:pPr>
              <w:pStyle w:val="Compact"/>
              <w:jc w:val="left"/>
            </w:pPr>
            <w:r>
              <w:t xml:space="preserve">Mortality12</w:t>
            </w:r>
          </w:p>
        </w:tc>
        <w:tc>
          <w:tcPr/>
          <w:p>
            <w:pPr>
              <w:pStyle w:val="Compact"/>
              <w:jc w:val="right"/>
            </w:pPr>
            <w:r>
              <w:t xml:space="preserve">1</w:t>
            </w:r>
          </w:p>
        </w:tc>
        <w:tc>
          <w:tcPr/>
          <w:p>
            <w:pPr>
              <w:pStyle w:val="Compact"/>
              <w:jc w:val="right"/>
            </w:pPr>
            <w:r>
              <w:t xml:space="preserve">0</w:t>
            </w:r>
          </w:p>
        </w:tc>
        <w:tc>
          <w:tcPr/>
          <w:p>
            <w:pPr>
              <w:pStyle w:val="Compact"/>
              <w:jc w:val="right"/>
            </w:pPr>
            <w:r>
              <w:t xml:space="preserve">2.66</w:t>
            </w:r>
          </w:p>
        </w:tc>
      </w:tr>
      <w:tr>
        <w:tc>
          <w:tcPr/>
          <w:p>
            <w:pPr>
              <w:pStyle w:val="Compact"/>
              <w:jc w:val="left"/>
            </w:pPr>
            <w:r>
              <w:t xml:space="preserve">Oral anticoagulation</w:t>
            </w:r>
          </w:p>
        </w:tc>
        <w:tc>
          <w:tcPr/>
          <w:p>
            <w:pPr>
              <w:pStyle w:val="Compact"/>
              <w:jc w:val="left"/>
            </w:pPr>
            <w:r>
              <w:t xml:space="preserve">2021-10-01</w:t>
            </w:r>
          </w:p>
        </w:tc>
        <w:tc>
          <w:tcPr/>
          <w:p>
            <w:pPr>
              <w:pStyle w:val="Compact"/>
              <w:jc w:val="left"/>
            </w:pPr>
            <w:r>
              <w:t xml:space="preserve">Major bleeding</w:t>
            </w:r>
          </w:p>
        </w:tc>
        <w:tc>
          <w:tcPr/>
          <w:p>
            <w:pPr>
              <w:pStyle w:val="Compact"/>
              <w:jc w:val="right"/>
            </w:pPr>
            <w:r>
              <w:t xml:space="preserve">1</w:t>
            </w:r>
          </w:p>
        </w:tc>
        <w:tc>
          <w:tcPr/>
          <w:p>
            <w:pPr>
              <w:pStyle w:val="Compact"/>
              <w:jc w:val="right"/>
            </w:pPr>
            <w:r>
              <w:t xml:space="preserve">1</w:t>
            </w:r>
          </w:p>
        </w:tc>
        <w:tc>
          <w:tcPr/>
          <w:p>
            <w:pPr>
              <w:pStyle w:val="Compact"/>
              <w:jc w:val="right"/>
            </w:pPr>
            <w:r>
              <w:t xml:space="preserve">2.72</w:t>
            </w:r>
          </w:p>
        </w:tc>
      </w:tr>
      <w:tr>
        <w:tc>
          <w:tcPr/>
          <w:p>
            <w:pPr>
              <w:pStyle w:val="Compact"/>
              <w:jc w:val="left"/>
            </w:pPr>
            <w:r>
              <w:t xml:space="preserve">Oral anticoagulation</w:t>
            </w:r>
          </w:p>
        </w:tc>
        <w:tc>
          <w:tcPr/>
          <w:p>
            <w:pPr>
              <w:pStyle w:val="Compact"/>
              <w:jc w:val="left"/>
            </w:pPr>
            <w:r>
              <w:t xml:space="preserve">2021-10-01</w:t>
            </w:r>
          </w:p>
        </w:tc>
        <w:tc>
          <w:tcPr/>
          <w:p>
            <w:pPr>
              <w:pStyle w:val="Compact"/>
              <w:jc w:val="left"/>
            </w:pPr>
            <w:r>
              <w:t xml:space="preserve">Mortality6</w:t>
            </w:r>
          </w:p>
        </w:tc>
        <w:tc>
          <w:tcPr/>
          <w:p>
            <w:pPr>
              <w:pStyle w:val="Compact"/>
              <w:jc w:val="right"/>
            </w:pPr>
            <w:r>
              <w:t xml:space="preserve">1</w:t>
            </w:r>
          </w:p>
        </w:tc>
        <w:tc>
          <w:tcPr/>
          <w:p>
            <w:pPr>
              <w:pStyle w:val="Compact"/>
              <w:jc w:val="right"/>
            </w:pPr>
            <w:r>
              <w:t xml:space="preserve">0</w:t>
            </w:r>
          </w:p>
        </w:tc>
        <w:tc>
          <w:tcPr/>
          <w:p>
            <w:pPr>
              <w:pStyle w:val="Compact"/>
              <w:jc w:val="right"/>
            </w:pPr>
            <w:r>
              <w:t xml:space="preserve">2.88</w:t>
            </w:r>
          </w:p>
        </w:tc>
      </w:tr>
      <w:tr>
        <w:tc>
          <w:tcPr/>
          <w:p>
            <w:pPr>
              <w:pStyle w:val="Compact"/>
              <w:jc w:val="left"/>
            </w:pPr>
            <w:r>
              <w:t xml:space="preserve">Colchicine COVID-19</w:t>
            </w:r>
          </w:p>
        </w:tc>
        <w:tc>
          <w:tcPr/>
          <w:p>
            <w:pPr>
              <w:pStyle w:val="Compact"/>
              <w:jc w:val="left"/>
            </w:pPr>
            <w:r>
              <w:t xml:space="preserve">2021-10-01</w:t>
            </w:r>
          </w:p>
        </w:tc>
        <w:tc>
          <w:tcPr/>
          <w:p>
            <w:pPr>
              <w:pStyle w:val="Compact"/>
              <w:jc w:val="left"/>
            </w:pPr>
            <w:r>
              <w:t xml:space="preserve">Mortality</w:t>
            </w:r>
          </w:p>
        </w:tc>
        <w:tc>
          <w:tcPr/>
          <w:p>
            <w:pPr>
              <w:pStyle w:val="Compact"/>
              <w:jc w:val="right"/>
            </w:pPr>
            <w:r>
              <w:t xml:space="preserve">2</w:t>
            </w:r>
          </w:p>
        </w:tc>
        <w:tc>
          <w:tcPr/>
          <w:p>
            <w:pPr>
              <w:pStyle w:val="Compact"/>
              <w:jc w:val="right"/>
            </w:pPr>
            <w:r>
              <w:t xml:space="preserve">1</w:t>
            </w:r>
          </w:p>
        </w:tc>
        <w:tc>
          <w:tcPr/>
          <w:p>
            <w:pPr>
              <w:pStyle w:val="Compact"/>
              <w:jc w:val="right"/>
            </w:pPr>
            <w:r>
              <w:t xml:space="preserve">3.00</w:t>
            </w:r>
          </w:p>
        </w:tc>
      </w:tr>
      <w:tr>
        <w:tc>
          <w:tcPr/>
          <w:p>
            <w:pPr>
              <w:pStyle w:val="Compact"/>
              <w:jc w:val="left"/>
            </w:pPr>
            <w:r>
              <w:t xml:space="preserve">Colchicine COVID-19</w:t>
            </w:r>
          </w:p>
        </w:tc>
        <w:tc>
          <w:tcPr/>
          <w:p>
            <w:pPr>
              <w:pStyle w:val="Compact"/>
              <w:jc w:val="left"/>
            </w:pPr>
            <w:r>
              <w:t xml:space="preserve">2021-10-01</w:t>
            </w:r>
          </w:p>
        </w:tc>
        <w:tc>
          <w:tcPr/>
          <w:p>
            <w:pPr>
              <w:pStyle w:val="Compact"/>
              <w:jc w:val="left"/>
            </w:pPr>
            <w:r>
              <w:t xml:space="preserve">Worsening</w:t>
            </w:r>
          </w:p>
        </w:tc>
        <w:tc>
          <w:tcPr/>
          <w:p>
            <w:pPr>
              <w:pStyle w:val="Compact"/>
              <w:jc w:val="right"/>
            </w:pPr>
            <w:r>
              <w:t xml:space="preserve">2</w:t>
            </w:r>
          </w:p>
        </w:tc>
        <w:tc>
          <w:tcPr/>
          <w:p>
            <w:pPr>
              <w:pStyle w:val="Compact"/>
              <w:jc w:val="right"/>
            </w:pPr>
            <w:r>
              <w:t xml:space="preserve">1</w:t>
            </w:r>
          </w:p>
        </w:tc>
        <w:tc>
          <w:tcPr/>
          <w:p>
            <w:pPr>
              <w:pStyle w:val="Compact"/>
              <w:jc w:val="right"/>
            </w:pPr>
            <w:r>
              <w:t xml:space="preserve">3.00</w:t>
            </w:r>
          </w:p>
        </w:tc>
      </w:tr>
      <w:tr>
        <w:tc>
          <w:tcPr/>
          <w:p>
            <w:pPr>
              <w:pStyle w:val="Compact"/>
              <w:jc w:val="left"/>
            </w:pPr>
            <w:r>
              <w:t xml:space="preserve">Inhaled corticosteroids COVID-19</w:t>
            </w:r>
          </w:p>
        </w:tc>
        <w:tc>
          <w:tcPr/>
          <w:p>
            <w:pPr>
              <w:pStyle w:val="Compact"/>
              <w:jc w:val="left"/>
            </w:pPr>
            <w:r>
              <w:t xml:space="preserve">2022-03-01</w:t>
            </w:r>
          </w:p>
        </w:tc>
        <w:tc>
          <w:tcPr/>
          <w:p>
            <w:pPr>
              <w:pStyle w:val="Compact"/>
              <w:jc w:val="left"/>
            </w:pPr>
            <w:r>
              <w:t xml:space="preserve">Symptom resolution</w:t>
            </w:r>
          </w:p>
        </w:tc>
        <w:tc>
          <w:tcPr/>
          <w:p>
            <w:pPr>
              <w:pStyle w:val="Compact"/>
              <w:jc w:val="right"/>
            </w:pPr>
            <w:r>
              <w:t xml:space="preserve">2</w:t>
            </w:r>
          </w:p>
        </w:tc>
        <w:tc>
          <w:tcPr/>
          <w:p>
            <w:pPr>
              <w:pStyle w:val="Compact"/>
              <w:jc w:val="right"/>
            </w:pPr>
            <w:r>
              <w:t xml:space="preserve">1</w:t>
            </w:r>
          </w:p>
        </w:tc>
        <w:tc>
          <w:tcPr/>
          <w:p>
            <w:pPr>
              <w:pStyle w:val="Compact"/>
              <w:jc w:val="right"/>
            </w:pPr>
            <w:r>
              <w:t xml:space="preserve">3.00</w:t>
            </w:r>
          </w:p>
        </w:tc>
      </w:tr>
      <w:tr>
        <w:tc>
          <w:tcPr/>
          <w:p>
            <w:pPr>
              <w:pStyle w:val="Compact"/>
              <w:jc w:val="left"/>
            </w:pPr>
            <w:r>
              <w:t xml:space="preserve">Fluvoxamine COVID-19</w:t>
            </w:r>
          </w:p>
        </w:tc>
        <w:tc>
          <w:tcPr/>
          <w:p>
            <w:pPr>
              <w:pStyle w:val="Compact"/>
              <w:jc w:val="left"/>
            </w:pPr>
            <w:r>
              <w:t xml:space="preserve">2022-09-01</w:t>
            </w:r>
          </w:p>
        </w:tc>
        <w:tc>
          <w:tcPr/>
          <w:p>
            <w:pPr>
              <w:pStyle w:val="Compact"/>
              <w:jc w:val="left"/>
            </w:pPr>
            <w:r>
              <w:t xml:space="preserve">SAEs</w:t>
            </w:r>
          </w:p>
        </w:tc>
        <w:tc>
          <w:tcPr/>
          <w:p>
            <w:pPr>
              <w:pStyle w:val="Compact"/>
              <w:jc w:val="right"/>
            </w:pPr>
            <w:r>
              <w:t xml:space="preserve">2</w:t>
            </w:r>
          </w:p>
        </w:tc>
        <w:tc>
          <w:tcPr/>
          <w:p>
            <w:pPr>
              <w:pStyle w:val="Compact"/>
              <w:jc w:val="right"/>
            </w:pPr>
            <w:r>
              <w:t xml:space="preserve">1</w:t>
            </w:r>
          </w:p>
        </w:tc>
        <w:tc>
          <w:tcPr/>
          <w:p>
            <w:pPr>
              <w:pStyle w:val="Compact"/>
              <w:jc w:val="right"/>
            </w:pPr>
            <w:r>
              <w:t xml:space="preserve">3.00</w:t>
            </w:r>
          </w:p>
        </w:tc>
      </w:tr>
      <w:tr>
        <w:tc>
          <w:tcPr/>
          <w:p>
            <w:pPr>
              <w:pStyle w:val="Compact"/>
              <w:jc w:val="left"/>
            </w:pPr>
            <w:r>
              <w:t xml:space="preserve">Fluvoxamine COVID-19</w:t>
            </w:r>
          </w:p>
        </w:tc>
        <w:tc>
          <w:tcPr/>
          <w:p>
            <w:pPr>
              <w:pStyle w:val="Compact"/>
              <w:jc w:val="left"/>
            </w:pPr>
            <w:r>
              <w:t xml:space="preserve">2022-09-01</w:t>
            </w:r>
          </w:p>
        </w:tc>
        <w:tc>
          <w:tcPr/>
          <w:p>
            <w:pPr>
              <w:pStyle w:val="Compact"/>
              <w:jc w:val="left"/>
            </w:pPr>
            <w:r>
              <w:t xml:space="preserve">AEs</w:t>
            </w:r>
          </w:p>
        </w:tc>
        <w:tc>
          <w:tcPr/>
          <w:p>
            <w:pPr>
              <w:pStyle w:val="Compact"/>
              <w:jc w:val="right"/>
            </w:pPr>
            <w:r>
              <w:t xml:space="preserve">2</w:t>
            </w:r>
          </w:p>
        </w:tc>
        <w:tc>
          <w:tcPr/>
          <w:p>
            <w:pPr>
              <w:pStyle w:val="Compact"/>
              <w:jc w:val="right"/>
            </w:pPr>
            <w:r>
              <w:t xml:space="preserve">1</w:t>
            </w:r>
          </w:p>
        </w:tc>
        <w:tc>
          <w:tcPr/>
          <w:p>
            <w:pPr>
              <w:pStyle w:val="Compact"/>
              <w:jc w:val="right"/>
            </w:pPr>
            <w:r>
              <w:t xml:space="preserve">3.00</w:t>
            </w:r>
          </w:p>
        </w:tc>
      </w:tr>
    </w:tbl>
    <w:p>
      <w:pPr>
        <w:pStyle w:val="BodyText"/>
      </w:pPr>
      <w:r>
        <w:t xml:space="preserve">From the above, one can see that at a weighted average RoB score of 1.5, the reviews started getting downgraded by 1 level. None of the example datasets downgraded by two levels for risk of bias, yet some did have the maximum weighted average RoB score of 3.</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C:\Users\crn4\AppData\Local\Apps\Quarto\share\formats\docx\important.png" id="54"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Proposed threshold</w:t>
            </w:r>
          </w:p>
        </w:tc>
      </w:tr>
      <w:tr>
        <w:trPr>
          <w:cantSplit/>
        </w:trPr>
        <w:tc>
          <w:tcPr>
            <w:tcMar>
              <w:top w:w="108" w:type="dxa"/>
              <w:bottom w:w="108" w:type="dxa"/>
            </w:tcMar>
          </w:tcPr>
          <w:p>
            <w:pPr>
              <w:pStyle w:val="BodyText"/>
            </w:pPr>
            <w:pPr>
              <w:spacing w:before="16"/>
            </w:pPr>
            <w:r>
              <w:t xml:space="preserve">Based on the current data, a basic default threshold would be that when the weighted average RoB score is:</w:t>
            </w:r>
          </w:p>
          <w:p>
            <w:pPr>
              <w:numPr>
                <w:ilvl w:val="0"/>
                <w:numId w:val="1017"/>
              </w:numPr>
            </w:pPr>
            <w:r>
              <w:t xml:space="preserve">Greater than or equal to 1.5 - downgrade by one level</w:t>
            </w:r>
          </w:p>
          <w:p>
            <w:pPr>
              <w:numPr>
                <w:ilvl w:val="0"/>
                <w:numId w:val="1017"/>
              </w:numPr>
            </w:pPr>
            <w:r>
              <w:t xml:space="preserve">When to downgrade two levels is less simple and explored further below</w:t>
            </w:r>
          </w:p>
        </w:tc>
      </w:tr>
    </w:tbl>
    <w:p>
      <w:pPr>
        <w:pStyle w:val="FirstParagraph"/>
      </w:pPr>
      <w:r>
        <w:t xml:space="preserve">In the next sections, I’m going to investigate a bit further the studies that didn’t quite follow the general pattern to see if there is anything else quantifiable that can be used to</w:t>
      </w:r>
      <w:r>
        <w:t xml:space="preserve"> </w:t>
      </w:r>
      <w:r>
        <w:t xml:space="preserve">‘fine-tune’</w:t>
      </w:r>
      <w:r>
        <w:t xml:space="preserve"> </w:t>
      </w:r>
      <w:r>
        <w:t xml:space="preserve">the tool.</w:t>
      </w:r>
    </w:p>
    <w:bookmarkStart w:id="58" w:name="Xfb01bbb3ddde67b3942ef4d78d38a1b3333636b"/>
    <w:p>
      <w:pPr>
        <w:pStyle w:val="Heading3"/>
      </w:pPr>
      <w:r>
        <w:t xml:space="preserve">2.3.1 Downgraded 1 level, but score of less than 1.5</w:t>
      </w:r>
    </w:p>
    <w:p>
      <w:pPr>
        <w:pStyle w:val="FirstParagraph"/>
      </w:pPr>
      <w:r>
        <w:t xml:space="preserve">In the chronic rhinosinusitis dataset, for outcomes VAS (disease severity) and avoidance of surgery, the weighted average RoB score was 1 (the lowest possible), yet the authors downgraded the evidence by one level for risk of bias. Note that they used the RoB 1 tool, and assessed it across all outcomes.</w:t>
      </w:r>
    </w:p>
    <w:p>
      <w:pPr>
        <w:pStyle w:val="BodyText"/>
      </w:pPr>
      <w:r>
        <w:t xml:space="preserve">For VAS, this was due to</w:t>
      </w:r>
      <w:r>
        <w:t xml:space="preserve"> </w:t>
      </w:r>
      <w:r>
        <w:t xml:space="preserve">“s</w:t>
      </w:r>
      <w:r>
        <w:rPr>
          <w:i/>
          <w:iCs/>
        </w:rPr>
        <w:t xml:space="preserve">tudy limitations: methods or criteria used in the measurement of the outcome were not validated</w:t>
      </w:r>
      <w:r>
        <w:t xml:space="preserve">”</w:t>
      </w:r>
      <w:r>
        <w:t xml:space="preserve">. In the risk of bias table that is available, the only related information I can find is within the</w:t>
      </w:r>
      <w:r>
        <w:t xml:space="preserve"> </w:t>
      </w:r>
      <w:r>
        <w:t xml:space="preserve">‘selective reporting’</w:t>
      </w:r>
      <w:r>
        <w:t xml:space="preserve"> </w:t>
      </w:r>
      <w:r>
        <w:t xml:space="preserve">field, that there was some lack of clarity regarding the choice of measurement tool, and that for VAS specifically, the outcome was not pre-specified in the original trial registry data. This led to an overall rating of</w:t>
      </w:r>
      <w:r>
        <w:t xml:space="preserve"> </w:t>
      </w:r>
      <w:r>
        <w:t xml:space="preserve">‘Unclear risk’</w:t>
      </w:r>
      <w:r>
        <w:t xml:space="preserve"> </w:t>
      </w:r>
      <w:r>
        <w:t xml:space="preserve">for all 3 studies (note, across all outcomes).</w:t>
      </w:r>
    </w:p>
    <w:p>
      <w:pPr>
        <w:pStyle w:val="BodyText"/>
      </w:pPr>
      <w:r>
        <w:t xml:space="preserve">For avoidance of surgery, this was due to</w:t>
      </w:r>
      <w:r>
        <w:t xml:space="preserve"> </w:t>
      </w:r>
      <w:r>
        <w:t xml:space="preserve">“</w:t>
      </w:r>
      <w:r>
        <w:rPr>
          <w:i/>
          <w:iCs/>
        </w:rPr>
        <w:t xml:space="preserve">serious limitations: the criteria used for requiring/not requiring</w:t>
      </w:r>
      <w:r>
        <w:rPr>
          <w:i/>
          <w:iCs/>
        </w:rPr>
        <w:t xml:space="preserve"> </w:t>
      </w:r>
      <w:r>
        <w:rPr>
          <w:i/>
          <w:iCs/>
        </w:rPr>
        <w:t xml:space="preserve">‘rescue surgery’</w:t>
      </w:r>
      <w:r>
        <w:rPr>
          <w:i/>
          <w:iCs/>
        </w:rPr>
        <w:t xml:space="preserve"> </w:t>
      </w:r>
      <w:r>
        <w:rPr>
          <w:i/>
          <w:iCs/>
        </w:rPr>
        <w:t xml:space="preserve">were unclear</w:t>
      </w:r>
      <w:r>
        <w:t xml:space="preserve">”</w:t>
      </w:r>
      <w:r>
        <w:t xml:space="preserve">. This is similar to the above outcome, in that</w:t>
      </w:r>
      <w:r>
        <w:t xml:space="preserve"> </w:t>
      </w:r>
      <w:r>
        <w:t xml:space="preserve">‘lack of clarity’</w:t>
      </w:r>
      <w:r>
        <w:t xml:space="preserve"> </w:t>
      </w:r>
      <w:r>
        <w:t xml:space="preserve">is mentioned. Specifically, the number of participants who required surgery was missing. As above, this led to an overall rating of</w:t>
      </w:r>
      <w:r>
        <w:t xml:space="preserve"> </w:t>
      </w:r>
      <w:r>
        <w:t xml:space="preserve">‘Unclear’</w:t>
      </w:r>
      <w:r>
        <w:t xml:space="preserve"> </w:t>
      </w:r>
      <w:r>
        <w:t xml:space="preserve">risk for all 3 studies.</w:t>
      </w:r>
    </w:p>
    <w:p>
      <w:pPr>
        <w:pStyle w:val="BodyText"/>
      </w:pPr>
      <w:r>
        <w:t xml:space="preserve">As the researchers didn’t give an overall risk of bias, my function had to estimate it, and it put all 3 studies as most likely being</w:t>
      </w:r>
      <w:r>
        <w:t xml:space="preserve"> </w:t>
      </w:r>
      <w:r>
        <w:t xml:space="preserve">‘low risk’</w:t>
      </w:r>
      <w:r>
        <w:t xml:space="preserve"> </w:t>
      </w:r>
      <w:r>
        <w:t xml:space="preserve">(note, with 100% probability according to Stewart et. al.’s network).</w:t>
      </w:r>
    </w:p>
    <w:bookmarkStart w:id="57" w:name="what-does-this-mean"/>
    <w:p>
      <w:pPr>
        <w:pStyle w:val="Heading4"/>
      </w:pPr>
      <w:r>
        <w:t xml:space="preserve">2.3.1.1 What does this mean?</w:t>
      </w:r>
    </w:p>
    <w:p>
      <w:pPr>
        <w:pStyle w:val="FirstParagraph"/>
      </w:pPr>
      <w:r>
        <w:t xml:space="preserve">The big problem here is that the RoB 1 tool doesn’t distinguish between different outcomes, and just considers it all together, yet GRADE wants researchers to consider each selection of evidence regarding each specific outcome. This is essentially incompatible.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C:\Users\crn4\AppData\Local\Apps\Quarto\share\formats\docx\important.png" id="56"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RoB 1 caution</w:t>
            </w:r>
          </w:p>
        </w:tc>
      </w:tr>
      <w:tr>
        <w:trPr>
          <w:cantSplit/>
        </w:trPr>
        <w:tc>
          <w:tcPr>
            <w:tcMar>
              <w:top w:w="108" w:type="dxa"/>
              <w:bottom w:w="108" w:type="dxa"/>
            </w:tcMar>
          </w:tcPr>
          <w:p>
            <w:pPr>
              <w:pStyle w:val="BodyText"/>
            </w:pPr>
            <w:pPr>
              <w:spacing w:before="16" w:after="16"/>
            </w:pPr>
            <w:r>
              <w:t xml:space="preserve">My suggestion is therefore to say that this tool will not perform as well if RoB 1 is being used, due to the above. Researchers can use the proposed tool, but with caution, and will likely have to use the adjustment factor proposed in the below section</w:t>
            </w:r>
            <w:r>
              <w:t xml:space="preserve"> </w:t>
            </w:r>
            <w:hyperlink w:anchor="sec-adjustment-factor">
              <w:r>
                <w:rPr>
                  <w:rStyle w:val="Hyperlink"/>
                </w:rPr>
                <w:t xml:space="preserve">Section 2.3.4</w:t>
              </w:r>
            </w:hyperlink>
            <w:r>
              <w:t xml:space="preserve">.</w:t>
            </w:r>
          </w:p>
        </w:tc>
      </w:tr>
    </w:tbl>
    <w:bookmarkEnd w:id="57"/>
    <w:bookmarkEnd w:id="58"/>
    <w:bookmarkStart w:id="60" w:name="Xb0a02e0c9e7ff751f93c4ed76d92e33fbc0f7b2"/>
    <w:p>
      <w:pPr>
        <w:pStyle w:val="Heading3"/>
      </w:pPr>
      <w:r>
        <w:t xml:space="preserve">2.3.2 Didn’t downgrade, but score of more than 1.5</w:t>
      </w:r>
    </w:p>
    <w:p>
      <w:pPr>
        <w:pStyle w:val="FirstParagraph"/>
      </w:pPr>
      <w:r>
        <w:t xml:space="preserve">In the convalescent plasma dataset, for serious adverse events a weighted average RoB score of 1.79 was given for the Feburary 2023 version (which was the same studies in May 2023). In the oral anticoagulation dataset, for outcomes mortality at 6 months and 12 months, a weighted average RoB score of 2.88 and 2.66 was given respectively. Yet for these three outcomes, the researchers did not downgrade the evidence regarding risk of bias.</w:t>
      </w:r>
    </w:p>
    <w:p>
      <w:pPr>
        <w:pStyle w:val="BodyText"/>
      </w:pPr>
      <w:r>
        <w:t xml:space="preserve">For serious adverse events in the convalescent plasma dataset, most of the studies were of</w:t>
      </w:r>
      <w:r>
        <w:t xml:space="preserve"> </w:t>
      </w:r>
      <w:r>
        <w:t xml:space="preserve">‘some concerns’</w:t>
      </w:r>
      <w:r>
        <w:t xml:space="preserve">. The RoB score for serious adverse events of 1.79 not matching up with downgrading isn’t of huge concern and could be categorised as being down to</w:t>
      </w:r>
      <w:r>
        <w:t xml:space="preserve"> </w:t>
      </w:r>
      <w:r>
        <w:t xml:space="preserve">‘difference of opinion’</w:t>
      </w:r>
      <w:r>
        <w:t xml:space="preserve"> </w:t>
      </w:r>
      <w:r>
        <w:t xml:space="preserve">on their significance.</w:t>
      </w:r>
    </w:p>
    <w:p>
      <w:pPr>
        <w:pStyle w:val="BodyText"/>
      </w:pPr>
      <w:r>
        <w:t xml:space="preserve">For the mortality outcomes in the oral anticoagulation dataset, the researchers stated that there was</w:t>
      </w:r>
      <w:r>
        <w:t xml:space="preserve"> </w:t>
      </w:r>
      <w:r>
        <w:t xml:space="preserve">“</w:t>
      </w:r>
      <w:r>
        <w:rPr>
          <w:i/>
          <w:iCs/>
        </w:rPr>
        <w:t xml:space="preserve">some concern with risk of bias associated with unclear allocation concealment, taken into account when downgrading from high to moderate certainty</w:t>
      </w:r>
      <w:r>
        <w:t xml:space="preserve">”</w:t>
      </w:r>
      <w:r>
        <w:t xml:space="preserve">. For both outcomes, the GRADE rating was</w:t>
      </w:r>
      <w:r>
        <w:t xml:space="preserve"> </w:t>
      </w:r>
      <w:r>
        <w:t xml:space="preserve">‘Moderate’</w:t>
      </w:r>
      <w:r>
        <w:t xml:space="preserve">, downgraded by one level due to serious imprecision. It would seem that the researchers felt this downgrading incorporated the concerns regarding risk of bias, and so no further downgrading was required.</w:t>
      </w:r>
    </w:p>
    <w:bookmarkStart w:id="59" w:name="what-does-this-mean-1"/>
    <w:p>
      <w:pPr>
        <w:pStyle w:val="Heading4"/>
      </w:pPr>
      <w:r>
        <w:t xml:space="preserve">2.3.2.1 What does this mean?</w:t>
      </w:r>
    </w:p>
    <w:p>
      <w:pPr>
        <w:pStyle w:val="FirstParagraph"/>
      </w:pPr>
      <w:r>
        <w:t xml:space="preserve">Both scenarios could be corrected with the adjustment factor being proposed below. For convalescent plasma, the</w:t>
      </w:r>
      <w:r>
        <w:t xml:space="preserve"> </w:t>
      </w:r>
      <w:r>
        <w:t xml:space="preserve">‘difference of opinions’</w:t>
      </w:r>
      <w:r>
        <w:t xml:space="preserve"> </w:t>
      </w:r>
      <w:r>
        <w:t xml:space="preserve">between the default settings and the researchers could be adjusted by changing the threshold (going from 1.5 to 1.8 wouldn’t be a huge adjustment). For oral coagulation, the researchers are clearly doing their own thing regarding risk of bias, which they can account for by changing the threshold for downgrading (again) due to risk of bias to a much higher value.</w:t>
      </w:r>
    </w:p>
    <w:bookmarkEnd w:id="59"/>
    <w:bookmarkEnd w:id="60"/>
    <w:bookmarkStart w:id="64" w:name="downgraded-only-1-level-but-score-of-3"/>
    <w:p>
      <w:pPr>
        <w:pStyle w:val="Heading3"/>
      </w:pPr>
      <w:r>
        <w:t xml:space="preserve">2.3.3 Downgraded only 1 level, but score of 3</w:t>
      </w:r>
    </w:p>
    <w:p>
      <w:pPr>
        <w:pStyle w:val="FirstParagraph"/>
      </w:pPr>
      <w:r>
        <w:t xml:space="preserve">There were five instances where all studies have overall high risk of bias, yet the review team only downgraded the evidence by one level due to risk of bias (Colchicine COVID-19 - mortality and worsening; inhaled corticosteroids COVID-19 - symptom resolution; fluvoxamine COVID-19 - serious adverse effects and any adverse effects). The guidelines for downgrading for two levels has the additional factor than any crucial risk identified needs to also likely very seriously alter the results. The standard way to assess this would be to conduct a sensitivity analysis, removing the studies that had high risk of bias. However, in the case where all studies were deemed to be high risk (such as these five examples), this would result in no effect estimate being available, and therefore, no comparison available.</w:t>
      </w:r>
    </w:p>
    <w:bookmarkStart w:id="63" w:name="what-does-this-mean-2"/>
    <w:p>
      <w:pPr>
        <w:pStyle w:val="Heading4"/>
      </w:pPr>
      <w:r>
        <w:t xml:space="preserve">2.3.3.1 What does this mean?</w:t>
      </w:r>
    </w:p>
    <w:p>
      <w:pPr>
        <w:pStyle w:val="FirstParagraph"/>
      </w:pPr>
      <w:r>
        <w:t xml:space="preserve">I get the feeling that is is</w:t>
      </w:r>
      <w:r>
        <w:t xml:space="preserve"> </w:t>
      </w:r>
      <w:r>
        <w:rPr>
          <w:i/>
          <w:iCs/>
        </w:rPr>
        <w:t xml:space="preserve">very</w:t>
      </w:r>
      <w:r>
        <w:t xml:space="preserve"> </w:t>
      </w:r>
      <w:r>
        <w:t xml:space="preserve">rare for the evidence to be downgraded by two levels due to risk of bias. This is from experience from extracting data (found no examples), and the fact that where there is a high amount of risk of bias, a sensitivity analysis may not be informative (as described above).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C:\Users\crn4\AppData\Local\Apps\Quarto\share\formats\docx\important.png" id="62"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Default second threshold</w:t>
            </w:r>
          </w:p>
        </w:tc>
      </w:tr>
      <w:tr>
        <w:trPr>
          <w:cantSplit/>
        </w:trPr>
        <w:tc>
          <w:tcPr>
            <w:tcMar>
              <w:top w:w="108" w:type="dxa"/>
              <w:bottom w:w="108" w:type="dxa"/>
            </w:tcMar>
          </w:tcPr>
          <w:p>
            <w:pPr>
              <w:pStyle w:val="BodyText"/>
            </w:pPr>
            <w:pPr>
              <w:spacing w:before="16" w:after="16"/>
            </w:pPr>
            <w:r>
              <w:t xml:space="preserve">Therefore, I think it would be useful to have an option in the tool to state that there is</w:t>
            </w:r>
            <w:r>
              <w:t xml:space="preserve"> </w:t>
            </w:r>
            <w:r>
              <w:rPr>
                <w:b/>
                <w:bCs/>
              </w:rPr>
              <w:t xml:space="preserve">only one threshold</w:t>
            </w:r>
            <w:r>
              <w:t xml:space="preserve"> </w:t>
            </w:r>
            <w:r>
              <w:t xml:space="preserve">(i.e., for downgrading one level), and for that option to be the default. If reviewers wish to, they can change this themselves and add a second threshold (that they define) for when to downgrade two levels.</w:t>
            </w:r>
          </w:p>
        </w:tc>
      </w:tr>
    </w:tbl>
    <w:bookmarkEnd w:id="63"/>
    <w:bookmarkEnd w:id="64"/>
    <w:bookmarkStart w:id="65" w:name="sec-adjustment-factor"/>
    <w:p>
      <w:pPr>
        <w:pStyle w:val="Heading3"/>
      </w:pPr>
      <w:r>
        <w:t xml:space="preserve">2.3.4 Adjustment factor</w:t>
      </w:r>
    </w:p>
    <w:p>
      <w:pPr>
        <w:pStyle w:val="FirstParagraph"/>
      </w:pPr>
      <w:r>
        <w:t xml:space="preserve">So far, the idea of an adjustment factor seems sensible as, with the current approach, some research teams downgrade based on risk of bias due to different thresholds/criteria (see sections above); the data collected did not give a straight relationship with the weighted average RoB.</w:t>
      </w:r>
    </w:p>
    <w:p>
      <w:pPr>
        <w:pStyle w:val="BodyText"/>
      </w:pPr>
      <w:r>
        <w:t xml:space="preserve">A first approach to this, that is very rudimentary, is to move the default threshold such that the weighted average RoB</w:t>
      </w:r>
      <w:r>
        <w:t xml:space="preserve"> </w:t>
      </w:r>
      <w:r>
        <w:t xml:space="preserve">‘correctly’</w:t>
      </w:r>
      <w:r>
        <w:t xml:space="preserve"> </w:t>
      </w:r>
      <w:r>
        <w:t xml:space="preserve">matches to the set levels the researchers downgraded the outcome for in the most recent version. The new thresholds are then used when considering the review with new studies. This can be thought of as</w:t>
      </w:r>
      <w:r>
        <w:t xml:space="preserve"> </w:t>
      </w:r>
      <w:r>
        <w:t xml:space="preserve">‘calibrating’</w:t>
      </w:r>
      <w:r>
        <w:t xml:space="preserve"> </w:t>
      </w:r>
      <w:r>
        <w:t xml:space="preserve">the tool to the review, and so it’ll be focusing on the</w:t>
      </w:r>
      <w:r>
        <w:t xml:space="preserve"> </w:t>
      </w:r>
      <w:r>
        <w:rPr>
          <w:u w:val="single"/>
        </w:rPr>
        <w:t xml:space="preserve">likely change</w:t>
      </w:r>
      <w:r>
        <w:t xml:space="preserve"> </w:t>
      </w:r>
      <w:r>
        <w:t xml:space="preserve">from the addition of new studies, rather than a change due to the differences between researchers judgement and tool defaults.</w:t>
      </w:r>
    </w:p>
    <w:p>
      <w:pPr>
        <w:pStyle w:val="BodyText"/>
      </w:pPr>
      <w:r>
        <w:t xml:space="preserve">This has been added to the developed function(s) regarding risk of bias.</w:t>
      </w:r>
    </w:p>
    <w:bookmarkEnd w:id="65"/>
    <w:bookmarkEnd w:id="66"/>
    <w:bookmarkEnd w:id="67"/>
    <w:bookmarkStart w:id="81" w:name="imprecision"/>
    <w:p>
      <w:pPr>
        <w:pStyle w:val="Heading1"/>
      </w:pPr>
      <w:r>
        <w:t xml:space="preserve">3. Imprecision</w:t>
      </w:r>
    </w:p>
    <w:p>
      <w:pPr>
        <w:pStyle w:val="FirstParagraph"/>
      </w:pPr>
      <w:r>
        <w:t xml:space="preserve">The following are suggested ways to quantitatively assess imprecision:</w:t>
      </w:r>
    </w:p>
    <w:p>
      <w:pPr>
        <w:numPr>
          <w:ilvl w:val="0"/>
          <w:numId w:val="1018"/>
        </w:numPr>
      </w:pPr>
      <w:r>
        <w:t xml:space="preserve">Are there enough events?</w:t>
      </w:r>
    </w:p>
    <w:p>
      <w:pPr>
        <w:numPr>
          <w:ilvl w:val="0"/>
          <w:numId w:val="1018"/>
        </w:numPr>
      </w:pPr>
      <w:r>
        <w:t xml:space="preserve">Is the sample size large enough?</w:t>
      </w:r>
    </w:p>
    <w:p>
      <w:pPr>
        <w:numPr>
          <w:ilvl w:val="0"/>
          <w:numId w:val="1018"/>
        </w:numPr>
      </w:pPr>
      <w:r>
        <w:t xml:space="preserve">Does the confidence interval cover multiple messages?</w:t>
      </w:r>
    </w:p>
    <w:p>
      <w:pPr>
        <w:pStyle w:val="FirstParagraph"/>
      </w:pPr>
      <w:r>
        <w:t xml:space="preserve">Let’s consider each one in a bit more detail regarding practically incorporating it into the tool.</w:t>
      </w:r>
    </w:p>
    <w:bookmarkStart w:id="68" w:name="are-there-enough-events"/>
    <w:p>
      <w:pPr>
        <w:pStyle w:val="Heading2"/>
      </w:pPr>
      <w:r>
        <w:t xml:space="preserve">3.1 Are there enough events?</w:t>
      </w:r>
    </w:p>
    <w:p>
      <w:pPr>
        <w:pStyle w:val="FirstParagraph"/>
      </w:pPr>
      <w:r>
        <w:t xml:space="preserve">Based on what the smoking review does, they have the following rule based on the total number of events across all arms and all studies:</w:t>
      </w:r>
    </w:p>
    <w:p>
      <w:pPr>
        <w:numPr>
          <w:ilvl w:val="0"/>
          <w:numId w:val="1019"/>
        </w:numPr>
      </w:pPr>
      <w:r>
        <w:t xml:space="preserve">If there are &lt; 100 events - downgrade 2 levels</w:t>
      </w:r>
    </w:p>
    <w:p>
      <w:pPr>
        <w:numPr>
          <w:ilvl w:val="0"/>
          <w:numId w:val="1019"/>
        </w:numPr>
      </w:pPr>
      <w:r>
        <w:t xml:space="preserve">If there are &lt; 300 events - downgrade 1 level</w:t>
      </w:r>
    </w:p>
    <w:p>
      <w:pPr>
        <w:pStyle w:val="FirstParagraph"/>
      </w:pPr>
      <w:r>
        <w:t xml:space="preserve">However, one does need to consider rare events, and so these thresholds will likely have to be editable. Furthermore, it is only suitable for reviews of dichotomous outcomes. Otherwise, this is a pretty easy method to implement.</w:t>
      </w:r>
    </w:p>
    <w:bookmarkEnd w:id="68"/>
    <w:bookmarkStart w:id="69" w:name="X8124e1d8ce3105348c9b4c19ca2ddd54645f52e"/>
    <w:p>
      <w:pPr>
        <w:pStyle w:val="Heading2"/>
      </w:pPr>
      <w:r>
        <w:t xml:space="preserve">3.2 Does the confidence interval cover multiple messages?</w:t>
      </w:r>
    </w:p>
    <w:p>
      <w:pPr>
        <w:pStyle w:val="FirstParagraph"/>
      </w:pPr>
      <w:r>
        <w:t xml:space="preserve">This approach is a very practical way of assessing imprecision by actively seeing if the review is suggesting multiple</w:t>
      </w:r>
      <w:r>
        <w:t xml:space="preserve"> </w:t>
      </w:r>
      <w:r>
        <w:t xml:space="preserve">‘messages’</w:t>
      </w:r>
      <w:r>
        <w:t xml:space="preserve"> </w:t>
      </w:r>
      <w:r>
        <w:t xml:space="preserve">(i.e., clinical harm and benefit), a direct consequence of imprecision. It does so by the following categories:</w:t>
      </w:r>
    </w:p>
    <w:p>
      <w:pPr>
        <w:numPr>
          <w:ilvl w:val="0"/>
          <w:numId w:val="1020"/>
        </w:numPr>
      </w:pPr>
      <w:r>
        <w:t xml:space="preserve">If the confidence interval (CI) includes a meaningfully positive or negative effect, as well as no meaningful effect in the opposite direction, then downgrade 1 level</w:t>
      </w:r>
    </w:p>
    <w:p>
      <w:pPr>
        <w:numPr>
          <w:ilvl w:val="0"/>
          <w:numId w:val="1020"/>
        </w:numPr>
      </w:pPr>
      <w:r>
        <w:t xml:space="preserve">If the CI includes both meaningfully positive and negative effects, then downgrade 2 levels</w:t>
      </w:r>
    </w:p>
    <w:p>
      <w:pPr>
        <w:pStyle w:val="FirstParagraph"/>
      </w:pPr>
      <w:r>
        <w:t xml:space="preserve">The main element that needs defining in this approach is what value translates to a</w:t>
      </w:r>
      <w:r>
        <w:t xml:space="preserve"> </w:t>
      </w:r>
      <w:r>
        <w:t xml:space="preserve">‘meaningful’</w:t>
      </w:r>
      <w:r>
        <w:t xml:space="preserve"> </w:t>
      </w:r>
      <w:r>
        <w:t xml:space="preserve">effect? The following defaults have been suggested by the literature:</w:t>
      </w:r>
    </w:p>
    <w:p>
      <w:pPr>
        <w:numPr>
          <w:ilvl w:val="0"/>
          <w:numId w:val="1021"/>
        </w:numPr>
      </w:pPr>
      <w:r>
        <w:t xml:space="preserve">For dichotomous outcomes, a meaningful effect is when the relative risk reduction or increase is greater than 25%</w:t>
      </w:r>
    </w:p>
    <w:p>
      <w:pPr>
        <w:numPr>
          <w:ilvl w:val="0"/>
          <w:numId w:val="1021"/>
        </w:numPr>
      </w:pPr>
      <w:r>
        <w:t xml:space="preserve">For continuous outcomes, the minimal importance difference should be used if known, otherwise a default of +/- 0.5 can be used.</w:t>
      </w:r>
    </w:p>
    <w:p>
      <w:pPr>
        <w:pStyle w:val="FirstParagraph"/>
      </w:pPr>
      <w:r>
        <w:t xml:space="preserve">Again, as with considering number of events, these thresholds need to be editable by the reviewers where appropriate. This includes where the review topic is considering rare events.</w:t>
      </w:r>
    </w:p>
    <w:bookmarkEnd w:id="69"/>
    <w:bookmarkStart w:id="70" w:name="is-the-sample-size-large-enough"/>
    <w:p>
      <w:pPr>
        <w:pStyle w:val="Heading2"/>
      </w:pPr>
      <w:r>
        <w:t xml:space="preserve">3.3 Is the sample size large enough?</w:t>
      </w:r>
    </w:p>
    <w:p>
      <w:pPr>
        <w:pStyle w:val="FirstParagraph"/>
      </w:pPr>
      <w:r>
        <w:t xml:space="preserve">This has been suggested by multiple sources. For dichotomous outcomes, it has been suggested to consider whether the total sample size across all trials included in the review is lower than an optimal information size. If so, downgrade 1 level. However, how should the optimal information size be calculated? It is often suggested to calculate the value as if it is a single trial and compare, but there are equations out there for calculating the optimal number of trials and average trial sample size for a meta-analysis. For continuous outcomes, a</w:t>
      </w:r>
      <w:r>
        <w:t xml:space="preserve"> </w:t>
      </w:r>
      <w:r>
        <w:t xml:space="preserve">‘rule of thumb’</w:t>
      </w:r>
      <w:r>
        <w:t xml:space="preserve"> </w:t>
      </w:r>
      <w:r>
        <w:t xml:space="preserve">that has been suggested is that is there are &lt; 400 participants in total across the review, then downgrade 1 level.</w:t>
      </w:r>
    </w:p>
    <w:p>
      <w:pPr>
        <w:pStyle w:val="BodyText"/>
      </w:pPr>
      <w:r>
        <w:t xml:space="preserve">Due to the discrepancies around how to calculate an optimal information size, I’m tempted to not utilise this approach. Additionally, I believe the other two approaches above probably cover any imprecision that would be</w:t>
      </w:r>
      <w:r>
        <w:t xml:space="preserve"> </w:t>
      </w:r>
      <w:r>
        <w:t xml:space="preserve">‘found’</w:t>
      </w:r>
      <w:r>
        <w:t xml:space="preserve"> </w:t>
      </w:r>
      <w:r>
        <w:t xml:space="preserve">by considering the total sample size of the review.</w:t>
      </w:r>
    </w:p>
    <w:bookmarkEnd w:id="70"/>
    <w:bookmarkStart w:id="71" w:name="testing-tool"/>
    <w:p>
      <w:pPr>
        <w:pStyle w:val="Heading2"/>
      </w:pPr>
      <w:r>
        <w:t xml:space="preserve">3.4 Testing tool</w:t>
      </w:r>
    </w:p>
    <w:p>
      <w:pPr>
        <w:pStyle w:val="FirstParagraph"/>
      </w:pPr>
      <w:r>
        <w:t xml:space="preserve">We have two approaches for downgrading, both of which can lead to downgrading 2 levels. However, the tool can only downgrade a maximum of 2 levels (as per GRADE guidance). Where both approaches are appropriate (i.e., for dichotomous outcomes), the maximum number of levels downgraded will be taken.</w:t>
      </w:r>
      <w:r>
        <w:t xml:space="preserve"> </w:t>
      </w:r>
      <w:r>
        <w:t xml:space="preserve">‘Summing’</w:t>
      </w:r>
      <w:r>
        <w:t xml:space="preserve"> </w:t>
      </w:r>
      <w:r>
        <w:t xml:space="preserve">them doesn’t make sense as both approaches are attempting to</w:t>
      </w:r>
      <w:r>
        <w:t xml:space="preserve"> </w:t>
      </w:r>
      <w:r>
        <w:t xml:space="preserve">‘measure’</w:t>
      </w:r>
      <w:r>
        <w:t xml:space="preserve"> </w:t>
      </w:r>
      <w:r>
        <w:t xml:space="preserve">the same thing, and so they shouldn’t accumulate. Taking the maximum was preferred over taking the minimum as it ensures that any information indicative of imprecision isn’t ignored. This approach also follows how the e-cigarettes review team assess imprecision.</w:t>
      </w:r>
    </w:p>
    <w:p>
      <w:pPr>
        <w:pStyle w:val="BodyText"/>
      </w:pPr>
      <w:r>
        <w:t xml:space="preserve">Let’s see how well the tool performs at predicting the imprecision grading levels using the default values suggested by the literature.</w:t>
      </w:r>
    </w:p>
    <w:tbl>
      <w:tblPr>
        <w:tblStyle w:val="Table"/>
        <w:tblW w:type="pct" w:w="5000"/>
        <w:tblLayout w:type="fixed"/>
        <w:tblLook w:firstRow="1" w:lastRow="0" w:firstColumn="0" w:lastColumn="0" w:noHBand="0" w:noVBand="0" w:val="0020"/>
      </w:tblPr>
      <w:tblGrid>
        <w:gridCol w:w="2024"/>
        <w:gridCol w:w="655"/>
        <w:gridCol w:w="1131"/>
        <w:gridCol w:w="1310"/>
        <w:gridCol w:w="774"/>
        <w:gridCol w:w="893"/>
        <w:gridCol w:w="1131"/>
      </w:tblGrid>
      <w:tr>
        <w:trPr>
          <w:tblHeader w:val="on"/>
        </w:trPr>
        <w:tc>
          <w:tcPr/>
          <w:p>
            <w:pPr>
              <w:pStyle w:val="Compact"/>
              <w:jc w:val="left"/>
            </w:pPr>
            <w:r>
              <w:t xml:space="preserve">Review</w:t>
            </w:r>
          </w:p>
        </w:tc>
        <w:tc>
          <w:tcPr/>
          <w:p>
            <w:pPr>
              <w:pStyle w:val="Compact"/>
              <w:jc w:val="left"/>
            </w:pPr>
            <w:r>
              <w:t xml:space="preserve">Version</w:t>
            </w:r>
          </w:p>
        </w:tc>
        <w:tc>
          <w:tcPr/>
          <w:p>
            <w:pPr>
              <w:pStyle w:val="Compact"/>
              <w:jc w:val="left"/>
            </w:pPr>
            <w:r>
              <w:t xml:space="preserve">Outcome</w:t>
            </w:r>
          </w:p>
        </w:tc>
        <w:tc>
          <w:tcPr/>
          <w:p>
            <w:pPr>
              <w:pStyle w:val="Compact"/>
              <w:jc w:val="right"/>
            </w:pPr>
            <w:r>
              <w:t xml:space="preserve">Downgrade Imprecision</w:t>
            </w:r>
          </w:p>
        </w:tc>
        <w:tc>
          <w:tcPr/>
          <w:p>
            <w:pPr>
              <w:pStyle w:val="Compact"/>
              <w:jc w:val="right"/>
            </w:pPr>
            <w:r>
              <w:t xml:space="preserve">total_events</w:t>
            </w:r>
          </w:p>
        </w:tc>
        <w:tc>
          <w:tcPr/>
          <w:p>
            <w:pPr>
              <w:pStyle w:val="Compact"/>
              <w:jc w:val="left"/>
            </w:pPr>
            <w:r>
              <w:t xml:space="preserve">CI</w:t>
            </w:r>
          </w:p>
        </w:tc>
        <w:tc>
          <w:tcPr/>
          <w:p>
            <w:pPr>
              <w:pStyle w:val="Compact"/>
              <w:jc w:val="right"/>
            </w:pPr>
            <w:r>
              <w:t xml:space="preserve">imprecision_levels</w:t>
            </w:r>
          </w:p>
        </w:tc>
      </w:tr>
      <w:tr>
        <w:tc>
          <w:tcPr/>
          <w:p>
            <w:pPr>
              <w:pStyle w:val="Compact"/>
              <w:jc w:val="left"/>
            </w:pPr>
            <w:r>
              <w:t xml:space="preserve">Ivermectin COVID-19</w:t>
            </w:r>
          </w:p>
        </w:tc>
        <w:tc>
          <w:tcPr/>
          <w:p>
            <w:pPr>
              <w:pStyle w:val="Compact"/>
              <w:jc w:val="left"/>
            </w:pPr>
            <w:r>
              <w:t xml:space="preserve">2022-06-01</w:t>
            </w:r>
          </w:p>
        </w:tc>
        <w:tc>
          <w:tcPr/>
          <w:p>
            <w:pPr>
              <w:pStyle w:val="Compact"/>
              <w:jc w:val="left"/>
            </w:pPr>
            <w:r>
              <w:t xml:space="preserve">SAEs</w:t>
            </w:r>
          </w:p>
        </w:tc>
        <w:tc>
          <w:tcPr/>
          <w:p>
            <w:pPr>
              <w:pStyle w:val="Compact"/>
              <w:jc w:val="right"/>
            </w:pPr>
            <w:r>
              <w:t xml:space="preserve">2</w:t>
            </w:r>
          </w:p>
        </w:tc>
        <w:tc>
          <w:tcPr/>
          <w:p>
            <w:pPr>
              <w:pStyle w:val="Compact"/>
              <w:jc w:val="right"/>
            </w:pPr>
            <w:r>
              <w:t xml:space="preserve">1</w:t>
            </w:r>
          </w:p>
        </w:tc>
        <w:tc>
          <w:tcPr/>
          <w:p>
            <w:pPr>
              <w:pStyle w:val="Compact"/>
              <w:jc w:val="left"/>
            </w:pPr>
            <w:r>
              <w:t xml:space="preserve">0.09, 11.71</w:t>
            </w:r>
          </w:p>
        </w:tc>
        <w:tc>
          <w:tcPr/>
          <w:p>
            <w:pPr>
              <w:pStyle w:val="Compact"/>
              <w:jc w:val="right"/>
            </w:pPr>
            <w:r>
              <w:t xml:space="preserve">2</w:t>
            </w:r>
          </w:p>
        </w:tc>
      </w:tr>
      <w:tr>
        <w:tc>
          <w:tcPr/>
          <w:p>
            <w:pPr>
              <w:pStyle w:val="Compact"/>
              <w:jc w:val="left"/>
            </w:pPr>
            <w:r>
              <w:t xml:space="preserve">Ivermectin COVID-19</w:t>
            </w:r>
          </w:p>
        </w:tc>
        <w:tc>
          <w:tcPr/>
          <w:p>
            <w:pPr>
              <w:pStyle w:val="Compact"/>
              <w:jc w:val="left"/>
            </w:pPr>
            <w:r>
              <w:t xml:space="preserve">2022-06-01</w:t>
            </w:r>
          </w:p>
        </w:tc>
        <w:tc>
          <w:tcPr/>
          <w:p>
            <w:pPr>
              <w:pStyle w:val="Compact"/>
              <w:jc w:val="left"/>
            </w:pPr>
            <w:r>
              <w:t xml:space="preserve">Mortality</w:t>
            </w:r>
          </w:p>
        </w:tc>
        <w:tc>
          <w:tcPr/>
          <w:p>
            <w:pPr>
              <w:pStyle w:val="Compact"/>
              <w:jc w:val="right"/>
            </w:pPr>
            <w:r>
              <w:t xml:space="preserve">2</w:t>
            </w:r>
          </w:p>
        </w:tc>
        <w:tc>
          <w:tcPr/>
          <w:p>
            <w:pPr>
              <w:pStyle w:val="Compact"/>
              <w:jc w:val="right"/>
            </w:pPr>
            <w:r>
              <w:t xml:space="preserve">14</w:t>
            </w:r>
          </w:p>
        </w:tc>
        <w:tc>
          <w:tcPr/>
          <w:p>
            <w:pPr>
              <w:pStyle w:val="Compact"/>
              <w:jc w:val="left"/>
            </w:pPr>
            <w:r>
              <w:t xml:space="preserve">0.25, 1.83</w:t>
            </w:r>
          </w:p>
        </w:tc>
        <w:tc>
          <w:tcPr/>
          <w:p>
            <w:pPr>
              <w:pStyle w:val="Compact"/>
              <w:jc w:val="right"/>
            </w:pPr>
            <w:r>
              <w:t xml:space="preserve">2</w:t>
            </w:r>
          </w:p>
        </w:tc>
      </w:tr>
      <w:tr>
        <w:tc>
          <w:tcPr/>
          <w:p>
            <w:pPr>
              <w:pStyle w:val="Compact"/>
              <w:jc w:val="left"/>
            </w:pPr>
            <w:r>
              <w:t xml:space="preserve">Ivermectin COVID-19</w:t>
            </w:r>
          </w:p>
        </w:tc>
        <w:tc>
          <w:tcPr/>
          <w:p>
            <w:pPr>
              <w:pStyle w:val="Compact"/>
              <w:jc w:val="left"/>
            </w:pPr>
            <w:r>
              <w:t xml:space="preserve">2021-07-01</w:t>
            </w:r>
          </w:p>
        </w:tc>
        <w:tc>
          <w:tcPr/>
          <w:p>
            <w:pPr>
              <w:pStyle w:val="Compact"/>
              <w:jc w:val="left"/>
            </w:pPr>
            <w:r>
              <w:t xml:space="preserve">Mortality</w:t>
            </w:r>
          </w:p>
        </w:tc>
        <w:tc>
          <w:tcPr/>
          <w:p>
            <w:pPr>
              <w:pStyle w:val="Compact"/>
              <w:jc w:val="right"/>
            </w:pPr>
            <w:r>
              <w:t xml:space="preserve">2</w:t>
            </w:r>
          </w:p>
        </w:tc>
        <w:tc>
          <w:tcPr/>
          <w:p>
            <w:pPr>
              <w:pStyle w:val="Compact"/>
              <w:jc w:val="right"/>
            </w:pPr>
            <w:r>
              <w:t xml:space="preserve">14</w:t>
            </w:r>
          </w:p>
        </w:tc>
        <w:tc>
          <w:tcPr/>
          <w:p>
            <w:pPr>
              <w:pStyle w:val="Compact"/>
              <w:jc w:val="left"/>
            </w:pPr>
            <w:r>
              <w:t xml:space="preserve">0.16, 2.36</w:t>
            </w:r>
          </w:p>
        </w:tc>
        <w:tc>
          <w:tcPr/>
          <w:p>
            <w:pPr>
              <w:pStyle w:val="Compact"/>
              <w:jc w:val="right"/>
            </w:pPr>
            <w:r>
              <w:t xml:space="preserve">2</w:t>
            </w:r>
          </w:p>
        </w:tc>
      </w:tr>
      <w:tr>
        <w:tc>
          <w:tcPr/>
          <w:p>
            <w:pPr>
              <w:pStyle w:val="Compact"/>
              <w:jc w:val="left"/>
            </w:pPr>
            <w:r>
              <w:t xml:space="preserve">Inhaled corticosteroids COVID-19</w:t>
            </w:r>
          </w:p>
        </w:tc>
        <w:tc>
          <w:tcPr/>
          <w:p>
            <w:pPr>
              <w:pStyle w:val="Compact"/>
              <w:jc w:val="left"/>
            </w:pPr>
            <w:r>
              <w:t xml:space="preserve">2022-03-01</w:t>
            </w:r>
          </w:p>
        </w:tc>
        <w:tc>
          <w:tcPr/>
          <w:p>
            <w:pPr>
              <w:pStyle w:val="Compact"/>
              <w:jc w:val="left"/>
            </w:pPr>
            <w:r>
              <w:t xml:space="preserve">Mortality</w:t>
            </w:r>
          </w:p>
        </w:tc>
        <w:tc>
          <w:tcPr/>
          <w:p>
            <w:pPr>
              <w:pStyle w:val="Compact"/>
              <w:jc w:val="right"/>
            </w:pPr>
            <w:r>
              <w:t xml:space="preserve">2</w:t>
            </w:r>
          </w:p>
        </w:tc>
        <w:tc>
          <w:tcPr/>
          <w:p>
            <w:pPr>
              <w:pStyle w:val="Compact"/>
              <w:jc w:val="right"/>
            </w:pPr>
            <w:r>
              <w:t xml:space="preserve">16</w:t>
            </w:r>
          </w:p>
        </w:tc>
        <w:tc>
          <w:tcPr/>
          <w:p>
            <w:pPr>
              <w:pStyle w:val="Compact"/>
              <w:jc w:val="left"/>
            </w:pPr>
            <w:r>
              <w:t xml:space="preserve">0.25, 1.67</w:t>
            </w:r>
          </w:p>
        </w:tc>
        <w:tc>
          <w:tcPr/>
          <w:p>
            <w:pPr>
              <w:pStyle w:val="Compact"/>
              <w:jc w:val="right"/>
            </w:pPr>
            <w:r>
              <w:t xml:space="preserve">2</w:t>
            </w:r>
          </w:p>
        </w:tc>
      </w:tr>
      <w:tr>
        <w:tc>
          <w:tcPr/>
          <w:p>
            <w:pPr>
              <w:pStyle w:val="Compact"/>
              <w:jc w:val="left"/>
            </w:pPr>
            <w:r>
              <w:t xml:space="preserve">Chronic rhinosinusitis</w:t>
            </w:r>
          </w:p>
        </w:tc>
        <w:tc>
          <w:tcPr/>
          <w:p>
            <w:pPr>
              <w:pStyle w:val="Compact"/>
              <w:jc w:val="left"/>
            </w:pPr>
            <w:r>
              <w:t xml:space="preserve">2021-03-01</w:t>
            </w:r>
          </w:p>
        </w:tc>
        <w:tc>
          <w:tcPr/>
          <w:p>
            <w:pPr>
              <w:pStyle w:val="Compact"/>
              <w:jc w:val="left"/>
            </w:pPr>
            <w:r>
              <w:t xml:space="preserve">Avoidance</w:t>
            </w:r>
          </w:p>
        </w:tc>
        <w:tc>
          <w:tcPr/>
          <w:p>
            <w:pPr>
              <w:pStyle w:val="Compact"/>
              <w:jc w:val="right"/>
            </w:pPr>
            <w:r>
              <w:t xml:space="preserve">0</w:t>
            </w:r>
          </w:p>
        </w:tc>
        <w:tc>
          <w:tcPr/>
          <w:p>
            <w:pPr>
              <w:pStyle w:val="Compact"/>
              <w:jc w:val="right"/>
            </w:pPr>
            <w:r>
              <w:t xml:space="preserve">27</w:t>
            </w:r>
          </w:p>
        </w:tc>
        <w:tc>
          <w:tcPr/>
          <w:p>
            <w:pPr>
              <w:pStyle w:val="Compact"/>
              <w:jc w:val="left"/>
            </w:pPr>
            <w:r>
              <w:t xml:space="preserve">0.05, 0.52</w:t>
            </w:r>
          </w:p>
        </w:tc>
        <w:tc>
          <w:tcPr/>
          <w:p>
            <w:pPr>
              <w:pStyle w:val="Compact"/>
              <w:jc w:val="right"/>
            </w:pPr>
            <w:r>
              <w:t xml:space="preserve">2</w:t>
            </w:r>
          </w:p>
        </w:tc>
      </w:tr>
      <w:tr>
        <w:tc>
          <w:tcPr/>
          <w:p>
            <w:pPr>
              <w:pStyle w:val="Compact"/>
              <w:jc w:val="left"/>
            </w:pPr>
            <w:r>
              <w:t xml:space="preserve">Fluvoxamine COVID-19</w:t>
            </w:r>
          </w:p>
        </w:tc>
        <w:tc>
          <w:tcPr/>
          <w:p>
            <w:pPr>
              <w:pStyle w:val="Compact"/>
              <w:jc w:val="left"/>
            </w:pPr>
            <w:r>
              <w:t xml:space="preserve">2022-09-01</w:t>
            </w:r>
          </w:p>
        </w:tc>
        <w:tc>
          <w:tcPr/>
          <w:p>
            <w:pPr>
              <w:pStyle w:val="Compact"/>
              <w:jc w:val="left"/>
            </w:pPr>
            <w:r>
              <w:t xml:space="preserve">Mortality</w:t>
            </w:r>
          </w:p>
        </w:tc>
        <w:tc>
          <w:tcPr/>
          <w:p>
            <w:pPr>
              <w:pStyle w:val="Compact"/>
              <w:jc w:val="right"/>
            </w:pPr>
            <w:r>
              <w:t xml:space="preserve">2</w:t>
            </w:r>
          </w:p>
        </w:tc>
        <w:tc>
          <w:tcPr/>
          <w:p>
            <w:pPr>
              <w:pStyle w:val="Compact"/>
              <w:jc w:val="right"/>
            </w:pPr>
            <w:r>
              <w:t xml:space="preserve">42</w:t>
            </w:r>
          </w:p>
        </w:tc>
        <w:tc>
          <w:tcPr/>
          <w:p>
            <w:pPr>
              <w:pStyle w:val="Compact"/>
              <w:jc w:val="left"/>
            </w:pPr>
            <w:r>
              <w:t xml:space="preserve">0.38, 1.27</w:t>
            </w:r>
          </w:p>
        </w:tc>
        <w:tc>
          <w:tcPr/>
          <w:p>
            <w:pPr>
              <w:pStyle w:val="Compact"/>
              <w:jc w:val="right"/>
            </w:pPr>
            <w:r>
              <w:t xml:space="preserve">2</w:t>
            </w:r>
          </w:p>
        </w:tc>
      </w:tr>
      <w:tr>
        <w:tc>
          <w:tcPr/>
          <w:p>
            <w:pPr>
              <w:pStyle w:val="Compact"/>
              <w:jc w:val="left"/>
            </w:pPr>
            <w:r>
              <w:t xml:space="preserve">Ivermectin COVID-19</w:t>
            </w:r>
          </w:p>
        </w:tc>
        <w:tc>
          <w:tcPr/>
          <w:p>
            <w:pPr>
              <w:pStyle w:val="Compact"/>
              <w:jc w:val="left"/>
            </w:pPr>
            <w:r>
              <w:t xml:space="preserve">2022-06-01</w:t>
            </w:r>
          </w:p>
        </w:tc>
        <w:tc>
          <w:tcPr/>
          <w:p>
            <w:pPr>
              <w:pStyle w:val="Compact"/>
              <w:jc w:val="left"/>
            </w:pPr>
            <w:r>
              <w:t xml:space="preserve">AEs</w:t>
            </w:r>
          </w:p>
        </w:tc>
        <w:tc>
          <w:tcPr/>
          <w:p>
            <w:pPr>
              <w:pStyle w:val="Compact"/>
              <w:jc w:val="right"/>
            </w:pPr>
            <w:r>
              <w:t xml:space="preserve">1</w:t>
            </w:r>
          </w:p>
        </w:tc>
        <w:tc>
          <w:tcPr/>
          <w:p>
            <w:pPr>
              <w:pStyle w:val="Compact"/>
              <w:jc w:val="right"/>
            </w:pPr>
            <w:r>
              <w:t xml:space="preserve">47</w:t>
            </w:r>
          </w:p>
        </w:tc>
        <w:tc>
          <w:tcPr/>
          <w:p>
            <w:pPr>
              <w:pStyle w:val="Compact"/>
              <w:jc w:val="left"/>
            </w:pPr>
            <w:r>
              <w:t xml:space="preserve">0.61, 1.79</w:t>
            </w:r>
          </w:p>
        </w:tc>
        <w:tc>
          <w:tcPr/>
          <w:p>
            <w:pPr>
              <w:pStyle w:val="Compact"/>
              <w:jc w:val="right"/>
            </w:pPr>
            <w:r>
              <w:t xml:space="preserve">2</w:t>
            </w:r>
          </w:p>
        </w:tc>
      </w:tr>
      <w:tr>
        <w:tc>
          <w:tcPr/>
          <w:p>
            <w:pPr>
              <w:pStyle w:val="Compact"/>
              <w:jc w:val="left"/>
            </w:pPr>
            <w:r>
              <w:t xml:space="preserve">Chronic rhinosinusitis</w:t>
            </w:r>
          </w:p>
        </w:tc>
        <w:tc>
          <w:tcPr/>
          <w:p>
            <w:pPr>
              <w:pStyle w:val="Compact"/>
              <w:jc w:val="left"/>
            </w:pPr>
            <w:r>
              <w:t xml:space="preserve">2021-03-01</w:t>
            </w:r>
          </w:p>
        </w:tc>
        <w:tc>
          <w:tcPr/>
          <w:p>
            <w:pPr>
              <w:pStyle w:val="Compact"/>
              <w:jc w:val="left"/>
            </w:pPr>
            <w:r>
              <w:t xml:space="preserve">SAEs</w:t>
            </w:r>
          </w:p>
        </w:tc>
        <w:tc>
          <w:tcPr/>
          <w:p>
            <w:pPr>
              <w:pStyle w:val="Compact"/>
              <w:jc w:val="right"/>
            </w:pPr>
            <w:r>
              <w:t xml:space="preserve">1</w:t>
            </w:r>
          </w:p>
        </w:tc>
        <w:tc>
          <w:tcPr/>
          <w:p>
            <w:pPr>
              <w:pStyle w:val="Compact"/>
              <w:jc w:val="right"/>
            </w:pPr>
            <w:r>
              <w:t xml:space="preserve">67</w:t>
            </w:r>
          </w:p>
        </w:tc>
        <w:tc>
          <w:tcPr/>
          <w:p>
            <w:pPr>
              <w:pStyle w:val="Compact"/>
              <w:jc w:val="left"/>
            </w:pPr>
            <w:r>
              <w:t xml:space="preserve">0.3, 0.8</w:t>
            </w:r>
          </w:p>
        </w:tc>
        <w:tc>
          <w:tcPr/>
          <w:p>
            <w:pPr>
              <w:pStyle w:val="Compact"/>
              <w:jc w:val="right"/>
            </w:pPr>
            <w:r>
              <w:t xml:space="preserve">2</w:t>
            </w:r>
          </w:p>
        </w:tc>
      </w:tr>
      <w:tr>
        <w:tc>
          <w:tcPr/>
          <w:p>
            <w:pPr>
              <w:pStyle w:val="Compact"/>
              <w:jc w:val="left"/>
            </w:pPr>
            <w:r>
              <w:t xml:space="preserve">Convalescent plasma</w:t>
            </w:r>
          </w:p>
        </w:tc>
        <w:tc>
          <w:tcPr/>
          <w:p>
            <w:pPr>
              <w:pStyle w:val="Compact"/>
              <w:jc w:val="left"/>
            </w:pPr>
            <w:r>
              <w:t xml:space="preserve">2021-05-01</w:t>
            </w:r>
          </w:p>
        </w:tc>
        <w:tc>
          <w:tcPr/>
          <w:p>
            <w:pPr>
              <w:pStyle w:val="Compact"/>
              <w:jc w:val="left"/>
            </w:pPr>
            <w:r>
              <w:t xml:space="preserve">AEs</w:t>
            </w:r>
          </w:p>
        </w:tc>
        <w:tc>
          <w:tcPr/>
          <w:p>
            <w:pPr>
              <w:pStyle w:val="Compact"/>
              <w:jc w:val="right"/>
            </w:pPr>
            <w:r>
              <w:t xml:space="preserve">1</w:t>
            </w:r>
          </w:p>
        </w:tc>
        <w:tc>
          <w:tcPr/>
          <w:p>
            <w:pPr>
              <w:pStyle w:val="Compact"/>
              <w:jc w:val="right"/>
            </w:pPr>
            <w:r>
              <w:t xml:space="preserve">69</w:t>
            </w:r>
          </w:p>
        </w:tc>
        <w:tc>
          <w:tcPr/>
          <w:p>
            <w:pPr>
              <w:pStyle w:val="Compact"/>
              <w:jc w:val="left"/>
            </w:pPr>
            <w:r>
              <w:t xml:space="preserve">0.58, 1.41</w:t>
            </w:r>
          </w:p>
        </w:tc>
        <w:tc>
          <w:tcPr/>
          <w:p>
            <w:pPr>
              <w:pStyle w:val="Compact"/>
              <w:jc w:val="right"/>
            </w:pPr>
            <w:r>
              <w:t xml:space="preserve">2</w:t>
            </w:r>
          </w:p>
        </w:tc>
      </w:tr>
      <w:tr>
        <w:tc>
          <w:tcPr/>
          <w:p>
            <w:pPr>
              <w:pStyle w:val="Compact"/>
              <w:jc w:val="left"/>
            </w:pPr>
            <w:r>
              <w:t xml:space="preserve">Ivermectin COVID-19</w:t>
            </w:r>
          </w:p>
        </w:tc>
        <w:tc>
          <w:tcPr/>
          <w:p>
            <w:pPr>
              <w:pStyle w:val="Compact"/>
              <w:jc w:val="left"/>
            </w:pPr>
            <w:r>
              <w:t xml:space="preserve">2022-06-01</w:t>
            </w:r>
          </w:p>
        </w:tc>
        <w:tc>
          <w:tcPr/>
          <w:p>
            <w:pPr>
              <w:pStyle w:val="Compact"/>
              <w:jc w:val="left"/>
            </w:pPr>
            <w:r>
              <w:t xml:space="preserve">Viral clearance</w:t>
            </w:r>
          </w:p>
        </w:tc>
        <w:tc>
          <w:tcPr/>
          <w:p>
            <w:pPr>
              <w:pStyle w:val="Compact"/>
              <w:jc w:val="right"/>
            </w:pPr>
            <w:r>
              <w:t xml:space="preserve">1</w:t>
            </w:r>
          </w:p>
        </w:tc>
        <w:tc>
          <w:tcPr/>
          <w:p>
            <w:pPr>
              <w:pStyle w:val="Compact"/>
              <w:jc w:val="right"/>
            </w:pPr>
            <w:r>
              <w:t xml:space="preserve">97</w:t>
            </w:r>
          </w:p>
        </w:tc>
        <w:tc>
          <w:tcPr/>
          <w:p>
            <w:pPr>
              <w:pStyle w:val="Compact"/>
              <w:jc w:val="left"/>
            </w:pPr>
            <w:r>
              <w:t xml:space="preserve">0.8, 1.58</w:t>
            </w:r>
          </w:p>
        </w:tc>
        <w:tc>
          <w:tcPr/>
          <w:p>
            <w:pPr>
              <w:pStyle w:val="Compact"/>
              <w:jc w:val="right"/>
            </w:pPr>
            <w:r>
              <w:t xml:space="preserve">2</w:t>
            </w:r>
          </w:p>
        </w:tc>
      </w:tr>
      <w:tr>
        <w:tc>
          <w:tcPr/>
          <w:p>
            <w:pPr>
              <w:pStyle w:val="Compact"/>
              <w:jc w:val="left"/>
            </w:pPr>
            <w:r>
              <w:t xml:space="preserve">Antibiotics COVID-19</w:t>
            </w:r>
          </w:p>
        </w:tc>
        <w:tc>
          <w:tcPr/>
          <w:p>
            <w:pPr>
              <w:pStyle w:val="Compact"/>
              <w:jc w:val="left"/>
            </w:pPr>
            <w:r>
              <w:t xml:space="preserve">2021-10-01</w:t>
            </w:r>
          </w:p>
        </w:tc>
        <w:tc>
          <w:tcPr/>
          <w:p>
            <w:pPr>
              <w:pStyle w:val="Compact"/>
              <w:jc w:val="left"/>
            </w:pPr>
            <w:r>
              <w:t xml:space="preserve">AEs</w:t>
            </w:r>
          </w:p>
        </w:tc>
        <w:tc>
          <w:tcPr/>
          <w:p>
            <w:pPr>
              <w:pStyle w:val="Compact"/>
              <w:jc w:val="right"/>
            </w:pPr>
            <w:r>
              <w:t xml:space="preserve">1</w:t>
            </w:r>
          </w:p>
        </w:tc>
        <w:tc>
          <w:tcPr/>
          <w:p>
            <w:pPr>
              <w:pStyle w:val="Compact"/>
              <w:jc w:val="right"/>
            </w:pPr>
            <w:r>
              <w:t xml:space="preserve">131</w:t>
            </w:r>
          </w:p>
        </w:tc>
        <w:tc>
          <w:tcPr/>
          <w:p>
            <w:pPr>
              <w:pStyle w:val="Compact"/>
              <w:jc w:val="left"/>
            </w:pPr>
            <w:r>
              <w:t xml:space="preserve">0.92, 1.57</w:t>
            </w:r>
          </w:p>
        </w:tc>
        <w:tc>
          <w:tcPr/>
          <w:p>
            <w:pPr>
              <w:pStyle w:val="Compact"/>
              <w:jc w:val="right"/>
            </w:pPr>
            <w:r>
              <w:t xml:space="preserve">1</w:t>
            </w:r>
          </w:p>
        </w:tc>
      </w:tr>
      <w:tr>
        <w:tc>
          <w:tcPr/>
          <w:p>
            <w:pPr>
              <w:pStyle w:val="Compact"/>
              <w:jc w:val="left"/>
            </w:pPr>
            <w:r>
              <w:t xml:space="preserve">Inhaled corticosteroids COVID-19</w:t>
            </w:r>
          </w:p>
        </w:tc>
        <w:tc>
          <w:tcPr/>
          <w:p>
            <w:pPr>
              <w:pStyle w:val="Compact"/>
              <w:jc w:val="left"/>
            </w:pPr>
            <w:r>
              <w:t xml:space="preserve">2022-03-01</w:t>
            </w:r>
          </w:p>
        </w:tc>
        <w:tc>
          <w:tcPr/>
          <w:p>
            <w:pPr>
              <w:pStyle w:val="Compact"/>
              <w:jc w:val="left"/>
            </w:pPr>
            <w:r>
              <w:t xml:space="preserve">Hospital or death</w:t>
            </w:r>
          </w:p>
        </w:tc>
        <w:tc>
          <w:tcPr/>
          <w:p>
            <w:pPr>
              <w:pStyle w:val="Compact"/>
              <w:jc w:val="right"/>
            </w:pPr>
            <w:r>
              <w:t xml:space="preserve">1</w:t>
            </w:r>
          </w:p>
        </w:tc>
        <w:tc>
          <w:tcPr/>
          <w:p>
            <w:pPr>
              <w:pStyle w:val="Compact"/>
              <w:jc w:val="right"/>
            </w:pPr>
            <w:r>
              <w:t xml:space="preserve">137</w:t>
            </w:r>
          </w:p>
        </w:tc>
        <w:tc>
          <w:tcPr/>
          <w:p>
            <w:pPr>
              <w:pStyle w:val="Compact"/>
              <w:jc w:val="left"/>
            </w:pPr>
            <w:r>
              <w:t xml:space="preserve">0.51, 0.99</w:t>
            </w:r>
          </w:p>
        </w:tc>
        <w:tc>
          <w:tcPr/>
          <w:p>
            <w:pPr>
              <w:pStyle w:val="Compact"/>
              <w:jc w:val="right"/>
            </w:pPr>
            <w:r>
              <w:t xml:space="preserve">1</w:t>
            </w:r>
          </w:p>
        </w:tc>
      </w:tr>
      <w:tr>
        <w:tc>
          <w:tcPr/>
          <w:p>
            <w:pPr>
              <w:pStyle w:val="Compact"/>
              <w:jc w:val="left"/>
            </w:pPr>
            <w:r>
              <w:t xml:space="preserve">Oral anticoagulation</w:t>
            </w:r>
          </w:p>
        </w:tc>
        <w:tc>
          <w:tcPr/>
          <w:p>
            <w:pPr>
              <w:pStyle w:val="Compact"/>
              <w:jc w:val="left"/>
            </w:pPr>
            <w:r>
              <w:t xml:space="preserve">2021-10-01</w:t>
            </w:r>
          </w:p>
        </w:tc>
        <w:tc>
          <w:tcPr/>
          <w:p>
            <w:pPr>
              <w:pStyle w:val="Compact"/>
              <w:jc w:val="left"/>
            </w:pPr>
            <w:r>
              <w:t xml:space="preserve">Major bleeding</w:t>
            </w:r>
          </w:p>
        </w:tc>
        <w:tc>
          <w:tcPr/>
          <w:p>
            <w:pPr>
              <w:pStyle w:val="Compact"/>
              <w:jc w:val="right"/>
            </w:pPr>
            <w:r>
              <w:t xml:space="preserve">0</w:t>
            </w:r>
          </w:p>
        </w:tc>
        <w:tc>
          <w:tcPr/>
          <w:p>
            <w:pPr>
              <w:pStyle w:val="Compact"/>
              <w:jc w:val="right"/>
            </w:pPr>
            <w:r>
              <w:t xml:space="preserve">143</w:t>
            </w:r>
          </w:p>
        </w:tc>
        <w:tc>
          <w:tcPr/>
          <w:p>
            <w:pPr>
              <w:pStyle w:val="Compact"/>
              <w:jc w:val="left"/>
            </w:pPr>
            <w:r>
              <w:t xml:space="preserve">2.05, 4.09</w:t>
            </w:r>
          </w:p>
        </w:tc>
        <w:tc>
          <w:tcPr/>
          <w:p>
            <w:pPr>
              <w:pStyle w:val="Compact"/>
              <w:jc w:val="right"/>
            </w:pPr>
            <w:r>
              <w:t xml:space="preserve">1</w:t>
            </w:r>
          </w:p>
        </w:tc>
      </w:tr>
      <w:tr>
        <w:tc>
          <w:tcPr/>
          <w:p>
            <w:pPr>
              <w:pStyle w:val="Compact"/>
              <w:jc w:val="left"/>
            </w:pPr>
            <w:r>
              <w:t xml:space="preserve">Oral anticoagulation</w:t>
            </w:r>
          </w:p>
        </w:tc>
        <w:tc>
          <w:tcPr/>
          <w:p>
            <w:pPr>
              <w:pStyle w:val="Compact"/>
              <w:jc w:val="left"/>
            </w:pPr>
            <w:r>
              <w:t xml:space="preserve">2021-10-01</w:t>
            </w:r>
          </w:p>
        </w:tc>
        <w:tc>
          <w:tcPr/>
          <w:p>
            <w:pPr>
              <w:pStyle w:val="Compact"/>
              <w:jc w:val="left"/>
            </w:pPr>
            <w:r>
              <w:t xml:space="preserve">Minor bleeding</w:t>
            </w:r>
          </w:p>
        </w:tc>
        <w:tc>
          <w:tcPr/>
          <w:p>
            <w:pPr>
              <w:pStyle w:val="Compact"/>
              <w:jc w:val="right"/>
            </w:pPr>
            <w:r>
              <w:t xml:space="preserve">0</w:t>
            </w:r>
          </w:p>
        </w:tc>
        <w:tc>
          <w:tcPr/>
          <w:p>
            <w:pPr>
              <w:pStyle w:val="Compact"/>
              <w:jc w:val="right"/>
            </w:pPr>
            <w:r>
              <w:t xml:space="preserve">143</w:t>
            </w:r>
          </w:p>
        </w:tc>
        <w:tc>
          <w:tcPr/>
          <w:p>
            <w:pPr>
              <w:pStyle w:val="Compact"/>
              <w:jc w:val="left"/>
            </w:pPr>
            <w:r>
              <w:t xml:space="preserve">1.89, 5.02</w:t>
            </w:r>
          </w:p>
        </w:tc>
        <w:tc>
          <w:tcPr/>
          <w:p>
            <w:pPr>
              <w:pStyle w:val="Compact"/>
              <w:jc w:val="right"/>
            </w:pPr>
            <w:r>
              <w:t xml:space="preserve">1</w:t>
            </w:r>
          </w:p>
        </w:tc>
      </w:tr>
      <w:tr>
        <w:tc>
          <w:tcPr/>
          <w:p>
            <w:pPr>
              <w:pStyle w:val="Compact"/>
              <w:jc w:val="left"/>
            </w:pPr>
            <w:r>
              <w:t xml:space="preserve">Chronic rhinosinusitis</w:t>
            </w:r>
          </w:p>
        </w:tc>
        <w:tc>
          <w:tcPr/>
          <w:p>
            <w:pPr>
              <w:pStyle w:val="Compact"/>
              <w:jc w:val="left"/>
            </w:pPr>
            <w:r>
              <w:t xml:space="preserve">2021-03-01</w:t>
            </w:r>
          </w:p>
        </w:tc>
        <w:tc>
          <w:tcPr/>
          <w:p>
            <w:pPr>
              <w:pStyle w:val="Compact"/>
              <w:jc w:val="left"/>
            </w:pPr>
            <w:r>
              <w:t xml:space="preserve">AEs</w:t>
            </w:r>
          </w:p>
        </w:tc>
        <w:tc>
          <w:tcPr/>
          <w:p>
            <w:pPr>
              <w:pStyle w:val="Compact"/>
              <w:jc w:val="right"/>
            </w:pPr>
            <w:r>
              <w:t xml:space="preserve">1</w:t>
            </w:r>
          </w:p>
        </w:tc>
        <w:tc>
          <w:tcPr/>
          <w:p>
            <w:pPr>
              <w:pStyle w:val="Compact"/>
              <w:jc w:val="right"/>
            </w:pPr>
            <w:r>
              <w:t xml:space="preserve">160</w:t>
            </w:r>
          </w:p>
        </w:tc>
        <w:tc>
          <w:tcPr/>
          <w:p>
            <w:pPr>
              <w:pStyle w:val="Compact"/>
              <w:jc w:val="left"/>
            </w:pPr>
            <w:r>
              <w:t xml:space="preserve">0.72, 1.25</w:t>
            </w:r>
          </w:p>
        </w:tc>
        <w:tc>
          <w:tcPr/>
          <w:p>
            <w:pPr>
              <w:pStyle w:val="Compact"/>
              <w:jc w:val="right"/>
            </w:pPr>
            <w:r>
              <w:t xml:space="preserve">1</w:t>
            </w:r>
          </w:p>
        </w:tc>
      </w:tr>
      <w:tr>
        <w:tc>
          <w:tcPr/>
          <w:p>
            <w:pPr>
              <w:pStyle w:val="Compact"/>
              <w:jc w:val="left"/>
            </w:pPr>
            <w:r>
              <w:t xml:space="preserve">Fluvoxamine COVID-19</w:t>
            </w:r>
          </w:p>
        </w:tc>
        <w:tc>
          <w:tcPr/>
          <w:p>
            <w:pPr>
              <w:pStyle w:val="Compact"/>
              <w:jc w:val="left"/>
            </w:pPr>
            <w:r>
              <w:t xml:space="preserve">2022-09-01</w:t>
            </w:r>
          </w:p>
        </w:tc>
        <w:tc>
          <w:tcPr/>
          <w:p>
            <w:pPr>
              <w:pStyle w:val="Compact"/>
              <w:jc w:val="left"/>
            </w:pPr>
            <w:r>
              <w:t xml:space="preserve">SAEs</w:t>
            </w:r>
          </w:p>
        </w:tc>
        <w:tc>
          <w:tcPr/>
          <w:p>
            <w:pPr>
              <w:pStyle w:val="Compact"/>
              <w:jc w:val="right"/>
            </w:pPr>
            <w:r>
              <w:t xml:space="preserve">2</w:t>
            </w:r>
          </w:p>
        </w:tc>
        <w:tc>
          <w:tcPr/>
          <w:p>
            <w:pPr>
              <w:pStyle w:val="Compact"/>
              <w:jc w:val="right"/>
            </w:pPr>
            <w:r>
              <w:t xml:space="preserve">179</w:t>
            </w:r>
          </w:p>
        </w:tc>
        <w:tc>
          <w:tcPr/>
          <w:p>
            <w:pPr>
              <w:pStyle w:val="Compact"/>
              <w:jc w:val="left"/>
            </w:pPr>
            <w:r>
              <w:t xml:space="preserve">0.16, 2.03</w:t>
            </w:r>
          </w:p>
        </w:tc>
        <w:tc>
          <w:tcPr/>
          <w:p>
            <w:pPr>
              <w:pStyle w:val="Compact"/>
              <w:jc w:val="right"/>
            </w:pPr>
            <w:r>
              <w:t xml:space="preserve">2</w:t>
            </w:r>
          </w:p>
        </w:tc>
      </w:tr>
      <w:tr>
        <w:tc>
          <w:tcPr/>
          <w:p>
            <w:pPr>
              <w:pStyle w:val="Compact"/>
              <w:jc w:val="left"/>
            </w:pPr>
            <w:r>
              <w:t xml:space="preserve">Fluvoxamine COVID-19</w:t>
            </w:r>
          </w:p>
        </w:tc>
        <w:tc>
          <w:tcPr/>
          <w:p>
            <w:pPr>
              <w:pStyle w:val="Compact"/>
              <w:jc w:val="left"/>
            </w:pPr>
            <w:r>
              <w:t xml:space="preserve">2022-09-01</w:t>
            </w:r>
          </w:p>
        </w:tc>
        <w:tc>
          <w:tcPr/>
          <w:p>
            <w:pPr>
              <w:pStyle w:val="Compact"/>
              <w:jc w:val="left"/>
            </w:pPr>
            <w:r>
              <w:t xml:space="preserve">Hospital or death</w:t>
            </w:r>
          </w:p>
        </w:tc>
        <w:tc>
          <w:tcPr/>
          <w:p>
            <w:pPr>
              <w:pStyle w:val="Compact"/>
              <w:jc w:val="right"/>
            </w:pPr>
            <w:r>
              <w:t xml:space="preserve">2</w:t>
            </w:r>
          </w:p>
        </w:tc>
        <w:tc>
          <w:tcPr/>
          <w:p>
            <w:pPr>
              <w:pStyle w:val="Compact"/>
              <w:jc w:val="right"/>
            </w:pPr>
            <w:r>
              <w:t xml:space="preserve">181</w:t>
            </w:r>
          </w:p>
        </w:tc>
        <w:tc>
          <w:tcPr/>
          <w:p>
            <w:pPr>
              <w:pStyle w:val="Compact"/>
              <w:jc w:val="left"/>
            </w:pPr>
            <w:r>
              <w:t xml:space="preserve">0.16, 1.88</w:t>
            </w:r>
          </w:p>
        </w:tc>
        <w:tc>
          <w:tcPr/>
          <w:p>
            <w:pPr>
              <w:pStyle w:val="Compact"/>
              <w:jc w:val="right"/>
            </w:pPr>
            <w:r>
              <w:t xml:space="preserve">2</w:t>
            </w:r>
          </w:p>
        </w:tc>
      </w:tr>
      <w:tr>
        <w:tc>
          <w:tcPr/>
          <w:p>
            <w:pPr>
              <w:pStyle w:val="Compact"/>
              <w:jc w:val="left"/>
            </w:pPr>
            <w:r>
              <w:t xml:space="preserve">Antibiotics COVID-19</w:t>
            </w:r>
          </w:p>
        </w:tc>
        <w:tc>
          <w:tcPr/>
          <w:p>
            <w:pPr>
              <w:pStyle w:val="Compact"/>
              <w:jc w:val="left"/>
            </w:pPr>
            <w:r>
              <w:t xml:space="preserve">2021-10-01</w:t>
            </w:r>
          </w:p>
        </w:tc>
        <w:tc>
          <w:tcPr/>
          <w:p>
            <w:pPr>
              <w:pStyle w:val="Compact"/>
              <w:jc w:val="left"/>
            </w:pPr>
            <w:r>
              <w:t xml:space="preserve">SAEs</w:t>
            </w:r>
          </w:p>
        </w:tc>
        <w:tc>
          <w:tcPr/>
          <w:p>
            <w:pPr>
              <w:pStyle w:val="Compact"/>
              <w:jc w:val="right"/>
            </w:pPr>
            <w:r>
              <w:t xml:space="preserve">0</w:t>
            </w:r>
          </w:p>
        </w:tc>
        <w:tc>
          <w:tcPr/>
          <w:p>
            <w:pPr>
              <w:pStyle w:val="Compact"/>
              <w:jc w:val="right"/>
            </w:pPr>
            <w:r>
              <w:t xml:space="preserve">185</w:t>
            </w:r>
          </w:p>
        </w:tc>
        <w:tc>
          <w:tcPr/>
          <w:p>
            <w:pPr>
              <w:pStyle w:val="Compact"/>
              <w:jc w:val="left"/>
            </w:pPr>
            <w:r>
              <w:t xml:space="preserve">0.89, 1.4</w:t>
            </w:r>
          </w:p>
        </w:tc>
        <w:tc>
          <w:tcPr/>
          <w:p>
            <w:pPr>
              <w:pStyle w:val="Compact"/>
              <w:jc w:val="right"/>
            </w:pPr>
            <w:r>
              <w:t xml:space="preserve">1</w:t>
            </w:r>
          </w:p>
        </w:tc>
      </w:tr>
      <w:tr>
        <w:tc>
          <w:tcPr/>
          <w:p>
            <w:pPr>
              <w:pStyle w:val="Compact"/>
              <w:jc w:val="left"/>
            </w:pPr>
            <w:r>
              <w:t xml:space="preserve">Systemic corticosteroids COVID-19</w:t>
            </w:r>
          </w:p>
        </w:tc>
        <w:tc>
          <w:tcPr/>
          <w:p>
            <w:pPr>
              <w:pStyle w:val="Compact"/>
              <w:jc w:val="left"/>
            </w:pPr>
            <w:r>
              <w:t xml:space="preserve">2022-11-01</w:t>
            </w:r>
          </w:p>
        </w:tc>
        <w:tc>
          <w:tcPr/>
          <w:p>
            <w:pPr>
              <w:pStyle w:val="Compact"/>
              <w:jc w:val="left"/>
            </w:pPr>
            <w:r>
              <w:t xml:space="preserve">Mortality120</w:t>
            </w:r>
          </w:p>
        </w:tc>
        <w:tc>
          <w:tcPr/>
          <w:p>
            <w:pPr>
              <w:pStyle w:val="Compact"/>
              <w:jc w:val="right"/>
            </w:pPr>
            <w:r>
              <w:t xml:space="preserve">1</w:t>
            </w:r>
          </w:p>
        </w:tc>
        <w:tc>
          <w:tcPr/>
          <w:p>
            <w:pPr>
              <w:pStyle w:val="Compact"/>
              <w:jc w:val="right"/>
            </w:pPr>
            <w:r>
              <w:t xml:space="preserve">186</w:t>
            </w:r>
          </w:p>
        </w:tc>
        <w:tc>
          <w:tcPr/>
          <w:p>
            <w:pPr>
              <w:pStyle w:val="Compact"/>
              <w:jc w:val="left"/>
            </w:pPr>
            <w:r>
              <w:t xml:space="preserve">0.24, 2.3</w:t>
            </w:r>
          </w:p>
        </w:tc>
        <w:tc>
          <w:tcPr/>
          <w:p>
            <w:pPr>
              <w:pStyle w:val="Compact"/>
              <w:jc w:val="right"/>
            </w:pPr>
            <w:r>
              <w:t xml:space="preserve">2</w:t>
            </w:r>
          </w:p>
        </w:tc>
      </w:tr>
      <w:tr>
        <w:tc>
          <w:tcPr/>
          <w:p>
            <w:pPr>
              <w:pStyle w:val="Compact"/>
              <w:jc w:val="left"/>
            </w:pPr>
            <w:r>
              <w:t xml:space="preserve">Fluvoxamine COVID-19</w:t>
            </w:r>
          </w:p>
        </w:tc>
        <w:tc>
          <w:tcPr/>
          <w:p>
            <w:pPr>
              <w:pStyle w:val="Compact"/>
              <w:jc w:val="left"/>
            </w:pPr>
            <w:r>
              <w:t xml:space="preserve">2022-09-01</w:t>
            </w:r>
          </w:p>
        </w:tc>
        <w:tc>
          <w:tcPr/>
          <w:p>
            <w:pPr>
              <w:pStyle w:val="Compact"/>
              <w:jc w:val="left"/>
            </w:pPr>
            <w:r>
              <w:t xml:space="preserve">AEs</w:t>
            </w:r>
          </w:p>
        </w:tc>
        <w:tc>
          <w:tcPr/>
          <w:p>
            <w:pPr>
              <w:pStyle w:val="Compact"/>
              <w:jc w:val="right"/>
            </w:pPr>
            <w:r>
              <w:t xml:space="preserve">2</w:t>
            </w:r>
          </w:p>
        </w:tc>
        <w:tc>
          <w:tcPr/>
          <w:p>
            <w:pPr>
              <w:pStyle w:val="Compact"/>
              <w:jc w:val="right"/>
            </w:pPr>
            <w:r>
              <w:t xml:space="preserve">201</w:t>
            </w:r>
          </w:p>
        </w:tc>
        <w:tc>
          <w:tcPr/>
          <w:p>
            <w:pPr>
              <w:pStyle w:val="Compact"/>
              <w:jc w:val="left"/>
            </w:pPr>
            <w:r>
              <w:t xml:space="preserve">0.82, 1.37</w:t>
            </w:r>
          </w:p>
        </w:tc>
        <w:tc>
          <w:tcPr/>
          <w:p>
            <w:pPr>
              <w:pStyle w:val="Compact"/>
              <w:jc w:val="right"/>
            </w:pPr>
            <w:r>
              <w:t xml:space="preserve">1</w:t>
            </w:r>
          </w:p>
        </w:tc>
      </w:tr>
      <w:tr>
        <w:tc>
          <w:tcPr/>
          <w:p>
            <w:pPr>
              <w:pStyle w:val="Compact"/>
              <w:jc w:val="left"/>
            </w:pPr>
            <w:r>
              <w:t xml:space="preserve">Janus kinase inhibitors COVID-19</w:t>
            </w:r>
          </w:p>
        </w:tc>
        <w:tc>
          <w:tcPr/>
          <w:p>
            <w:pPr>
              <w:pStyle w:val="Compact"/>
              <w:jc w:val="left"/>
            </w:pPr>
            <w:r>
              <w:t xml:space="preserve">2022-06-01</w:t>
            </w:r>
          </w:p>
        </w:tc>
        <w:tc>
          <w:tcPr/>
          <w:p>
            <w:pPr>
              <w:pStyle w:val="Compact"/>
              <w:jc w:val="left"/>
            </w:pPr>
            <w:r>
              <w:t xml:space="preserve">Mortality60</w:t>
            </w:r>
          </w:p>
        </w:tc>
        <w:tc>
          <w:tcPr/>
          <w:p>
            <w:pPr>
              <w:pStyle w:val="Compact"/>
              <w:jc w:val="right"/>
            </w:pPr>
            <w:r>
              <w:t xml:space="preserve">0</w:t>
            </w:r>
          </w:p>
        </w:tc>
        <w:tc>
          <w:tcPr/>
          <w:p>
            <w:pPr>
              <w:pStyle w:val="Compact"/>
              <w:jc w:val="right"/>
            </w:pPr>
            <w:r>
              <w:t xml:space="preserve">249</w:t>
            </w:r>
          </w:p>
        </w:tc>
        <w:tc>
          <w:tcPr/>
          <w:p>
            <w:pPr>
              <w:pStyle w:val="Compact"/>
              <w:jc w:val="left"/>
            </w:pPr>
            <w:r>
              <w:t xml:space="preserve">0.56, 0.86</w:t>
            </w:r>
          </w:p>
        </w:tc>
        <w:tc>
          <w:tcPr/>
          <w:p>
            <w:pPr>
              <w:pStyle w:val="Compact"/>
              <w:jc w:val="right"/>
            </w:pPr>
            <w:r>
              <w:t xml:space="preserve">1</w:t>
            </w:r>
          </w:p>
        </w:tc>
      </w:tr>
      <w:tr>
        <w:tc>
          <w:tcPr/>
          <w:p>
            <w:pPr>
              <w:pStyle w:val="Compact"/>
              <w:jc w:val="left"/>
            </w:pPr>
            <w:r>
              <w:t xml:space="preserve">Oral anticoagulation</w:t>
            </w:r>
          </w:p>
        </w:tc>
        <w:tc>
          <w:tcPr/>
          <w:p>
            <w:pPr>
              <w:pStyle w:val="Compact"/>
              <w:jc w:val="left"/>
            </w:pPr>
            <w:r>
              <w:t xml:space="preserve">2021-10-01</w:t>
            </w:r>
          </w:p>
        </w:tc>
        <w:tc>
          <w:tcPr/>
          <w:p>
            <w:pPr>
              <w:pStyle w:val="Compact"/>
              <w:jc w:val="left"/>
            </w:pPr>
            <w:r>
              <w:t xml:space="preserve">Mortality6</w:t>
            </w:r>
          </w:p>
        </w:tc>
        <w:tc>
          <w:tcPr/>
          <w:p>
            <w:pPr>
              <w:pStyle w:val="Compact"/>
              <w:jc w:val="right"/>
            </w:pPr>
            <w:r>
              <w:t xml:space="preserve">1</w:t>
            </w:r>
          </w:p>
        </w:tc>
        <w:tc>
          <w:tcPr/>
          <w:p>
            <w:pPr>
              <w:pStyle w:val="Compact"/>
              <w:jc w:val="right"/>
            </w:pPr>
            <w:r>
              <w:t xml:space="preserve">284</w:t>
            </w:r>
          </w:p>
        </w:tc>
        <w:tc>
          <w:tcPr/>
          <w:p>
            <w:pPr>
              <w:pStyle w:val="Compact"/>
              <w:jc w:val="left"/>
            </w:pPr>
            <w:r>
              <w:t xml:space="preserve">0.77, 1.13</w:t>
            </w:r>
          </w:p>
        </w:tc>
        <w:tc>
          <w:tcPr/>
          <w:p>
            <w:pPr>
              <w:pStyle w:val="Compact"/>
              <w:jc w:val="right"/>
            </w:pPr>
            <w:r>
              <w:t xml:space="preserve">1</w:t>
            </w:r>
          </w:p>
        </w:tc>
      </w:tr>
      <w:tr>
        <w:tc>
          <w:tcPr/>
          <w:p>
            <w:pPr>
              <w:pStyle w:val="Compact"/>
              <w:jc w:val="left"/>
            </w:pPr>
            <w:r>
              <w:t xml:space="preserve">Antibiotics COVID-19</w:t>
            </w:r>
          </w:p>
        </w:tc>
        <w:tc>
          <w:tcPr/>
          <w:p>
            <w:pPr>
              <w:pStyle w:val="Compact"/>
              <w:jc w:val="left"/>
            </w:pPr>
            <w:r>
              <w:t xml:space="preserve">2021-10-01</w:t>
            </w:r>
          </w:p>
        </w:tc>
        <w:tc>
          <w:tcPr/>
          <w:p>
            <w:pPr>
              <w:pStyle w:val="Compact"/>
              <w:jc w:val="left"/>
            </w:pPr>
            <w:r>
              <w:t xml:space="preserve">Arrhythmias</w:t>
            </w:r>
          </w:p>
        </w:tc>
        <w:tc>
          <w:tcPr/>
          <w:p>
            <w:pPr>
              <w:pStyle w:val="Compact"/>
              <w:jc w:val="right"/>
            </w:pPr>
            <w:r>
              <w:t xml:space="preserve">0</w:t>
            </w:r>
          </w:p>
        </w:tc>
        <w:tc>
          <w:tcPr/>
          <w:p>
            <w:pPr>
              <w:pStyle w:val="Compact"/>
              <w:jc w:val="right"/>
            </w:pPr>
            <w:r>
              <w:t xml:space="preserve">341</w:t>
            </w:r>
          </w:p>
        </w:tc>
        <w:tc>
          <w:tcPr/>
          <w:p>
            <w:pPr>
              <w:pStyle w:val="Compact"/>
              <w:jc w:val="left"/>
            </w:pPr>
            <w:r>
              <w:t xml:space="preserve">0.73, 1.15</w:t>
            </w:r>
          </w:p>
        </w:tc>
        <w:tc>
          <w:tcPr/>
          <w:p>
            <w:pPr>
              <w:pStyle w:val="Compact"/>
              <w:jc w:val="right"/>
            </w:pPr>
            <w:r>
              <w:t xml:space="preserve">1</w:t>
            </w:r>
          </w:p>
        </w:tc>
      </w:tr>
      <w:tr>
        <w:tc>
          <w:tcPr/>
          <w:p>
            <w:pPr>
              <w:pStyle w:val="Compact"/>
              <w:jc w:val="left"/>
            </w:pPr>
            <w:r>
              <w:t xml:space="preserve">Remdesivir COVID-19</w:t>
            </w:r>
          </w:p>
        </w:tc>
        <w:tc>
          <w:tcPr/>
          <w:p>
            <w:pPr>
              <w:pStyle w:val="Compact"/>
              <w:jc w:val="left"/>
            </w:pPr>
            <w:r>
              <w:t xml:space="preserve">2021-08-01</w:t>
            </w:r>
          </w:p>
        </w:tc>
        <w:tc>
          <w:tcPr/>
          <w:p>
            <w:pPr>
              <w:pStyle w:val="Compact"/>
              <w:jc w:val="left"/>
            </w:pPr>
            <w:r>
              <w:t xml:space="preserve">SAEs</w:t>
            </w:r>
          </w:p>
        </w:tc>
        <w:tc>
          <w:tcPr/>
          <w:p>
            <w:pPr>
              <w:pStyle w:val="Compact"/>
              <w:jc w:val="right"/>
            </w:pPr>
            <w:r>
              <w:t xml:space="preserve">0</w:t>
            </w:r>
          </w:p>
        </w:tc>
        <w:tc>
          <w:tcPr/>
          <w:p>
            <w:pPr>
              <w:pStyle w:val="Compact"/>
              <w:jc w:val="right"/>
            </w:pPr>
            <w:r>
              <w:t xml:space="preserve">369</w:t>
            </w:r>
          </w:p>
        </w:tc>
        <w:tc>
          <w:tcPr/>
          <w:p>
            <w:pPr>
              <w:pStyle w:val="Compact"/>
              <w:jc w:val="left"/>
            </w:pPr>
            <w:r>
              <w:t xml:space="preserve">0.63, 0.9</w:t>
            </w:r>
          </w:p>
        </w:tc>
        <w:tc>
          <w:tcPr/>
          <w:p>
            <w:pPr>
              <w:pStyle w:val="Compact"/>
              <w:jc w:val="right"/>
            </w:pPr>
            <w:r>
              <w:t xml:space="preserve">1</w:t>
            </w:r>
          </w:p>
        </w:tc>
      </w:tr>
      <w:tr>
        <w:tc>
          <w:tcPr/>
          <w:p>
            <w:pPr>
              <w:pStyle w:val="Compact"/>
              <w:jc w:val="left"/>
            </w:pPr>
            <w:r>
              <w:t xml:space="preserve">Janus kinase inhibitors COVID-19</w:t>
            </w:r>
          </w:p>
        </w:tc>
        <w:tc>
          <w:tcPr/>
          <w:p>
            <w:pPr>
              <w:pStyle w:val="Compact"/>
              <w:jc w:val="left"/>
            </w:pPr>
            <w:r>
              <w:t xml:space="preserve">2022-06-01</w:t>
            </w:r>
          </w:p>
        </w:tc>
        <w:tc>
          <w:tcPr/>
          <w:p>
            <w:pPr>
              <w:pStyle w:val="Compact"/>
              <w:jc w:val="left"/>
            </w:pPr>
            <w:r>
              <w:t xml:space="preserve">SAEs</w:t>
            </w:r>
          </w:p>
        </w:tc>
        <w:tc>
          <w:tcPr/>
          <w:p>
            <w:pPr>
              <w:pStyle w:val="Compact"/>
              <w:jc w:val="right"/>
            </w:pPr>
            <w:r>
              <w:t xml:space="preserve">0</w:t>
            </w:r>
          </w:p>
        </w:tc>
        <w:tc>
          <w:tcPr/>
          <w:p>
            <w:pPr>
              <w:pStyle w:val="Compact"/>
              <w:jc w:val="right"/>
            </w:pPr>
            <w:r>
              <w:t xml:space="preserve">530</w:t>
            </w:r>
          </w:p>
        </w:tc>
        <w:tc>
          <w:tcPr/>
          <w:p>
            <w:pPr>
              <w:pStyle w:val="Compact"/>
              <w:jc w:val="left"/>
            </w:pPr>
            <w:r>
              <w:t xml:space="preserve">0.68, 0.92</w:t>
            </w:r>
          </w:p>
        </w:tc>
        <w:tc>
          <w:tcPr/>
          <w:p>
            <w:pPr>
              <w:pStyle w:val="Compact"/>
              <w:jc w:val="right"/>
            </w:pPr>
            <w:r>
              <w:t xml:space="preserve">1</w:t>
            </w:r>
          </w:p>
        </w:tc>
      </w:tr>
      <w:tr>
        <w:tc>
          <w:tcPr/>
          <w:p>
            <w:pPr>
              <w:pStyle w:val="Compact"/>
              <w:jc w:val="left"/>
            </w:pPr>
            <w:r>
              <w:t xml:space="preserve">Convalescent plasma</w:t>
            </w:r>
          </w:p>
        </w:tc>
        <w:tc>
          <w:tcPr/>
          <w:p>
            <w:pPr>
              <w:pStyle w:val="Compact"/>
              <w:jc w:val="left"/>
            </w:pPr>
            <w:r>
              <w:t xml:space="preserve">2023-02-01</w:t>
            </w:r>
          </w:p>
        </w:tc>
        <w:tc>
          <w:tcPr/>
          <w:p>
            <w:pPr>
              <w:pStyle w:val="Compact"/>
              <w:jc w:val="left"/>
            </w:pPr>
            <w:r>
              <w:t xml:space="preserve">SAEs</w:t>
            </w:r>
          </w:p>
        </w:tc>
        <w:tc>
          <w:tcPr/>
          <w:p>
            <w:pPr>
              <w:pStyle w:val="Compact"/>
              <w:jc w:val="right"/>
            </w:pPr>
            <w:r>
              <w:t xml:space="preserve">0</w:t>
            </w:r>
          </w:p>
        </w:tc>
        <w:tc>
          <w:tcPr/>
          <w:p>
            <w:pPr>
              <w:pStyle w:val="Compact"/>
              <w:jc w:val="right"/>
            </w:pPr>
            <w:r>
              <w:t xml:space="preserve">577</w:t>
            </w:r>
          </w:p>
        </w:tc>
        <w:tc>
          <w:tcPr/>
          <w:p>
            <w:pPr>
              <w:pStyle w:val="Compact"/>
              <w:jc w:val="left"/>
            </w:pPr>
            <w:r>
              <w:t xml:space="preserve">0.91, 1.43</w:t>
            </w:r>
          </w:p>
        </w:tc>
        <w:tc>
          <w:tcPr/>
          <w:p>
            <w:pPr>
              <w:pStyle w:val="Compact"/>
              <w:jc w:val="right"/>
            </w:pPr>
            <w:r>
              <w:t xml:space="preserve">1</w:t>
            </w:r>
          </w:p>
        </w:tc>
      </w:tr>
      <w:tr>
        <w:tc>
          <w:tcPr/>
          <w:p>
            <w:pPr>
              <w:pStyle w:val="Compact"/>
              <w:jc w:val="left"/>
            </w:pPr>
            <w:r>
              <w:t xml:space="preserve">Remdesivir COVID-19</w:t>
            </w:r>
          </w:p>
        </w:tc>
        <w:tc>
          <w:tcPr/>
          <w:p>
            <w:pPr>
              <w:pStyle w:val="Compact"/>
              <w:jc w:val="left"/>
            </w:pPr>
            <w:r>
              <w:t xml:space="preserve">2023-01-01</w:t>
            </w:r>
          </w:p>
        </w:tc>
        <w:tc>
          <w:tcPr/>
          <w:p>
            <w:pPr>
              <w:pStyle w:val="Compact"/>
              <w:jc w:val="left"/>
            </w:pPr>
            <w:r>
              <w:t xml:space="preserve">SAEs</w:t>
            </w:r>
          </w:p>
        </w:tc>
        <w:tc>
          <w:tcPr/>
          <w:p>
            <w:pPr>
              <w:pStyle w:val="Compact"/>
              <w:jc w:val="right"/>
            </w:pPr>
            <w:r>
              <w:t xml:space="preserve">1</w:t>
            </w:r>
          </w:p>
        </w:tc>
        <w:tc>
          <w:tcPr/>
          <w:p>
            <w:pPr>
              <w:pStyle w:val="Compact"/>
              <w:jc w:val="right"/>
            </w:pPr>
            <w:r>
              <w:t xml:space="preserve">634</w:t>
            </w:r>
          </w:p>
        </w:tc>
        <w:tc>
          <w:tcPr/>
          <w:p>
            <w:pPr>
              <w:pStyle w:val="Compact"/>
              <w:jc w:val="left"/>
            </w:pPr>
            <w:r>
              <w:t xml:space="preserve">0.65, 1.07</w:t>
            </w:r>
          </w:p>
        </w:tc>
        <w:tc>
          <w:tcPr/>
          <w:p>
            <w:pPr>
              <w:pStyle w:val="Compact"/>
              <w:jc w:val="right"/>
            </w:pPr>
            <w:r>
              <w:t xml:space="preserve">1</w:t>
            </w:r>
          </w:p>
        </w:tc>
      </w:tr>
      <w:tr>
        <w:tc>
          <w:tcPr/>
          <w:p>
            <w:pPr>
              <w:pStyle w:val="Compact"/>
              <w:jc w:val="left"/>
            </w:pPr>
            <w:r>
              <w:t xml:space="preserve">Oral anticoagulation</w:t>
            </w:r>
          </w:p>
        </w:tc>
        <w:tc>
          <w:tcPr/>
          <w:p>
            <w:pPr>
              <w:pStyle w:val="Compact"/>
              <w:jc w:val="left"/>
            </w:pPr>
            <w:r>
              <w:t xml:space="preserve">2021-10-01</w:t>
            </w:r>
          </w:p>
        </w:tc>
        <w:tc>
          <w:tcPr/>
          <w:p>
            <w:pPr>
              <w:pStyle w:val="Compact"/>
              <w:jc w:val="left"/>
            </w:pPr>
            <w:r>
              <w:t xml:space="preserve">Mortality12</w:t>
            </w:r>
          </w:p>
        </w:tc>
        <w:tc>
          <w:tcPr/>
          <w:p>
            <w:pPr>
              <w:pStyle w:val="Compact"/>
              <w:jc w:val="right"/>
            </w:pPr>
            <w:r>
              <w:t xml:space="preserve">1</w:t>
            </w:r>
          </w:p>
        </w:tc>
        <w:tc>
          <w:tcPr/>
          <w:p>
            <w:pPr>
              <w:pStyle w:val="Compact"/>
              <w:jc w:val="right"/>
            </w:pPr>
            <w:r>
              <w:t xml:space="preserve">717</w:t>
            </w:r>
          </w:p>
        </w:tc>
        <w:tc>
          <w:tcPr/>
          <w:p>
            <w:pPr>
              <w:pStyle w:val="Compact"/>
              <w:jc w:val="left"/>
            </w:pPr>
            <w:r>
              <w:t xml:space="preserve">0.87, 1.03</w:t>
            </w:r>
          </w:p>
        </w:tc>
        <w:tc>
          <w:tcPr/>
          <w:p>
            <w:pPr>
              <w:pStyle w:val="Compact"/>
              <w:jc w:val="right"/>
            </w:pPr>
            <w:r>
              <w:t xml:space="preserve">0</w:t>
            </w:r>
          </w:p>
        </w:tc>
      </w:tr>
      <w:tr>
        <w:tc>
          <w:tcPr/>
          <w:p>
            <w:pPr>
              <w:pStyle w:val="Compact"/>
              <w:jc w:val="left"/>
            </w:pPr>
            <w:r>
              <w:t xml:space="preserve">Remdesivir COVID-19</w:t>
            </w:r>
          </w:p>
        </w:tc>
        <w:tc>
          <w:tcPr/>
          <w:p>
            <w:pPr>
              <w:pStyle w:val="Compact"/>
              <w:jc w:val="left"/>
            </w:pPr>
            <w:r>
              <w:t xml:space="preserve">2023-01-01</w:t>
            </w:r>
          </w:p>
        </w:tc>
        <w:tc>
          <w:tcPr/>
          <w:p>
            <w:pPr>
              <w:pStyle w:val="Compact"/>
              <w:jc w:val="left"/>
            </w:pPr>
            <w:r>
              <w:t xml:space="preserve">Mortality</w:t>
            </w:r>
          </w:p>
        </w:tc>
        <w:tc>
          <w:tcPr/>
          <w:p>
            <w:pPr>
              <w:pStyle w:val="Compact"/>
              <w:jc w:val="right"/>
            </w:pPr>
            <w:r>
              <w:t xml:space="preserve">1</w:t>
            </w:r>
          </w:p>
        </w:tc>
        <w:tc>
          <w:tcPr/>
          <w:p>
            <w:pPr>
              <w:pStyle w:val="Compact"/>
              <w:jc w:val="right"/>
            </w:pPr>
            <w:r>
              <w:t xml:space="preserve">749</w:t>
            </w:r>
          </w:p>
        </w:tc>
        <w:tc>
          <w:tcPr/>
          <w:p>
            <w:pPr>
              <w:pStyle w:val="Compact"/>
              <w:jc w:val="left"/>
            </w:pPr>
            <w:r>
              <w:t xml:space="preserve">0.81, 1.06</w:t>
            </w:r>
          </w:p>
        </w:tc>
        <w:tc>
          <w:tcPr/>
          <w:p>
            <w:pPr>
              <w:pStyle w:val="Compact"/>
              <w:jc w:val="right"/>
            </w:pPr>
            <w:r>
              <w:t xml:space="preserve">0</w:t>
            </w:r>
          </w:p>
        </w:tc>
      </w:tr>
      <w:tr>
        <w:tc>
          <w:tcPr/>
          <w:p>
            <w:pPr>
              <w:pStyle w:val="Compact"/>
              <w:jc w:val="left"/>
            </w:pPr>
            <w:r>
              <w:t xml:space="preserve">Janus kinase inhibitors COVID-19</w:t>
            </w:r>
          </w:p>
        </w:tc>
        <w:tc>
          <w:tcPr/>
          <w:p>
            <w:pPr>
              <w:pStyle w:val="Compact"/>
              <w:jc w:val="left"/>
            </w:pPr>
            <w:r>
              <w:t xml:space="preserve">2022-06-01</w:t>
            </w:r>
          </w:p>
        </w:tc>
        <w:tc>
          <w:tcPr/>
          <w:p>
            <w:pPr>
              <w:pStyle w:val="Compact"/>
              <w:jc w:val="left"/>
            </w:pPr>
            <w:r>
              <w:t xml:space="preserve">AEs</w:t>
            </w:r>
          </w:p>
        </w:tc>
        <w:tc>
          <w:tcPr/>
          <w:p>
            <w:pPr>
              <w:pStyle w:val="Compact"/>
              <w:jc w:val="right"/>
            </w:pPr>
            <w:r>
              <w:t xml:space="preserve">0</w:t>
            </w:r>
          </w:p>
        </w:tc>
        <w:tc>
          <w:tcPr/>
          <w:p>
            <w:pPr>
              <w:pStyle w:val="Compact"/>
              <w:jc w:val="right"/>
            </w:pPr>
            <w:r>
              <w:t xml:space="preserve">828</w:t>
            </w:r>
          </w:p>
        </w:tc>
        <w:tc>
          <w:tcPr/>
          <w:p>
            <w:pPr>
              <w:pStyle w:val="Compact"/>
              <w:jc w:val="left"/>
            </w:pPr>
            <w:r>
              <w:t xml:space="preserve">0.89, 1.05</w:t>
            </w:r>
          </w:p>
        </w:tc>
        <w:tc>
          <w:tcPr/>
          <w:p>
            <w:pPr>
              <w:pStyle w:val="Compact"/>
              <w:jc w:val="right"/>
            </w:pPr>
            <w:r>
              <w:t xml:space="preserve">0</w:t>
            </w:r>
          </w:p>
        </w:tc>
      </w:tr>
      <w:tr>
        <w:tc>
          <w:tcPr/>
          <w:p>
            <w:pPr>
              <w:pStyle w:val="Compact"/>
              <w:jc w:val="left"/>
            </w:pPr>
            <w:r>
              <w:t xml:space="preserve">Non-small cell lung cancer</w:t>
            </w:r>
          </w:p>
        </w:tc>
        <w:tc>
          <w:tcPr/>
          <w:p>
            <w:pPr>
              <w:pStyle w:val="Compact"/>
              <w:jc w:val="left"/>
            </w:pPr>
            <w:r>
              <w:t xml:space="preserve">2021-04-01</w:t>
            </w:r>
          </w:p>
        </w:tc>
        <w:tc>
          <w:tcPr/>
          <w:p>
            <w:pPr>
              <w:pStyle w:val="Compact"/>
              <w:jc w:val="left"/>
            </w:pPr>
            <w:r>
              <w:t xml:space="preserve">AEs</w:t>
            </w:r>
          </w:p>
        </w:tc>
        <w:tc>
          <w:tcPr/>
          <w:p>
            <w:pPr>
              <w:pStyle w:val="Compact"/>
              <w:jc w:val="right"/>
            </w:pPr>
            <w:r>
              <w:t xml:space="preserve">0</w:t>
            </w:r>
          </w:p>
        </w:tc>
        <w:tc>
          <w:tcPr/>
          <w:p>
            <w:pPr>
              <w:pStyle w:val="Compact"/>
              <w:jc w:val="right"/>
            </w:pPr>
            <w:r>
              <w:t xml:space="preserve">963</w:t>
            </w:r>
          </w:p>
        </w:tc>
        <w:tc>
          <w:tcPr/>
          <w:p>
            <w:pPr>
              <w:pStyle w:val="Compact"/>
              <w:jc w:val="left"/>
            </w:pPr>
            <w:r>
              <w:t xml:space="preserve">0.33, 0.5</w:t>
            </w:r>
          </w:p>
        </w:tc>
        <w:tc>
          <w:tcPr/>
          <w:p>
            <w:pPr>
              <w:pStyle w:val="Compact"/>
              <w:jc w:val="right"/>
            </w:pPr>
            <w:r>
              <w:t xml:space="preserve">0</w:t>
            </w:r>
          </w:p>
        </w:tc>
      </w:tr>
      <w:tr>
        <w:tc>
          <w:tcPr/>
          <w:p>
            <w:pPr>
              <w:pStyle w:val="Compact"/>
              <w:jc w:val="left"/>
            </w:pPr>
            <w:r>
              <w:t xml:space="preserve">Remdesivir COVID-19</w:t>
            </w:r>
          </w:p>
        </w:tc>
        <w:tc>
          <w:tcPr/>
          <w:p>
            <w:pPr>
              <w:pStyle w:val="Compact"/>
              <w:jc w:val="left"/>
            </w:pPr>
            <w:r>
              <w:t xml:space="preserve">2021-08-01</w:t>
            </w:r>
          </w:p>
        </w:tc>
        <w:tc>
          <w:tcPr/>
          <w:p>
            <w:pPr>
              <w:pStyle w:val="Compact"/>
              <w:jc w:val="left"/>
            </w:pPr>
            <w:r>
              <w:t xml:space="preserve">AEs</w:t>
            </w:r>
          </w:p>
        </w:tc>
        <w:tc>
          <w:tcPr/>
          <w:p>
            <w:pPr>
              <w:pStyle w:val="Compact"/>
              <w:jc w:val="right"/>
            </w:pPr>
            <w:r>
              <w:t xml:space="preserve">1</w:t>
            </w:r>
          </w:p>
        </w:tc>
        <w:tc>
          <w:tcPr/>
          <w:p>
            <w:pPr>
              <w:pStyle w:val="Compact"/>
              <w:jc w:val="right"/>
            </w:pPr>
            <w:r>
              <w:t xml:space="preserve">986</w:t>
            </w:r>
          </w:p>
        </w:tc>
        <w:tc>
          <w:tcPr/>
          <w:p>
            <w:pPr>
              <w:pStyle w:val="Compact"/>
              <w:jc w:val="left"/>
            </w:pPr>
            <w:r>
              <w:t xml:space="preserve">0.86, 1.27</w:t>
            </w:r>
          </w:p>
        </w:tc>
        <w:tc>
          <w:tcPr/>
          <w:p>
            <w:pPr>
              <w:pStyle w:val="Compact"/>
              <w:jc w:val="right"/>
            </w:pPr>
            <w:r>
              <w:t xml:space="preserve">1</w:t>
            </w:r>
          </w:p>
        </w:tc>
      </w:tr>
      <w:tr>
        <w:tc>
          <w:tcPr/>
          <w:p>
            <w:pPr>
              <w:pStyle w:val="Compact"/>
              <w:jc w:val="left"/>
            </w:pPr>
            <w:r>
              <w:t xml:space="preserve">Inhaled corticosteroids COVID-19</w:t>
            </w:r>
          </w:p>
        </w:tc>
        <w:tc>
          <w:tcPr/>
          <w:p>
            <w:pPr>
              <w:pStyle w:val="Compact"/>
              <w:jc w:val="left"/>
            </w:pPr>
            <w:r>
              <w:t xml:space="preserve">2022-03-01</w:t>
            </w:r>
          </w:p>
        </w:tc>
        <w:tc>
          <w:tcPr/>
          <w:p>
            <w:pPr>
              <w:pStyle w:val="Compact"/>
              <w:jc w:val="left"/>
            </w:pPr>
            <w:r>
              <w:t xml:space="preserve">Symptom resolution</w:t>
            </w:r>
          </w:p>
        </w:tc>
        <w:tc>
          <w:tcPr/>
          <w:p>
            <w:pPr>
              <w:pStyle w:val="Compact"/>
              <w:jc w:val="right"/>
            </w:pPr>
            <w:r>
              <w:t xml:space="preserve">0</w:t>
            </w:r>
          </w:p>
        </w:tc>
        <w:tc>
          <w:tcPr/>
          <w:p>
            <w:pPr>
              <w:pStyle w:val="Compact"/>
              <w:jc w:val="right"/>
            </w:pPr>
            <w:r>
              <w:t xml:space="preserve">1009</w:t>
            </w:r>
          </w:p>
        </w:tc>
        <w:tc>
          <w:tcPr/>
          <w:p>
            <w:pPr>
              <w:pStyle w:val="Compact"/>
              <w:jc w:val="left"/>
            </w:pPr>
            <w:r>
              <w:t xml:space="preserve">1.09, 1.3</w:t>
            </w:r>
          </w:p>
        </w:tc>
        <w:tc>
          <w:tcPr/>
          <w:p>
            <w:pPr>
              <w:pStyle w:val="Compact"/>
              <w:jc w:val="right"/>
            </w:pPr>
            <w:r>
              <w:t xml:space="preserve">1</w:t>
            </w:r>
          </w:p>
        </w:tc>
      </w:tr>
      <w:tr>
        <w:tc>
          <w:tcPr/>
          <w:p>
            <w:pPr>
              <w:pStyle w:val="Compact"/>
              <w:jc w:val="left"/>
            </w:pPr>
            <w:r>
              <w:t xml:space="preserve">Janus kinase inhibitors COVID-19</w:t>
            </w:r>
          </w:p>
        </w:tc>
        <w:tc>
          <w:tcPr/>
          <w:p>
            <w:pPr>
              <w:pStyle w:val="Compact"/>
              <w:jc w:val="left"/>
            </w:pPr>
            <w:r>
              <w:t xml:space="preserve">2022-06-01</w:t>
            </w:r>
          </w:p>
        </w:tc>
        <w:tc>
          <w:tcPr/>
          <w:p>
            <w:pPr>
              <w:pStyle w:val="Compact"/>
              <w:jc w:val="left"/>
            </w:pPr>
            <w:r>
              <w:t xml:space="preserve">Infection</w:t>
            </w:r>
          </w:p>
        </w:tc>
        <w:tc>
          <w:tcPr/>
          <w:p>
            <w:pPr>
              <w:pStyle w:val="Compact"/>
              <w:jc w:val="right"/>
            </w:pPr>
            <w:r>
              <w:t xml:space="preserve">0</w:t>
            </w:r>
          </w:p>
        </w:tc>
        <w:tc>
          <w:tcPr/>
          <w:p>
            <w:pPr>
              <w:pStyle w:val="Compact"/>
              <w:jc w:val="right"/>
            </w:pPr>
            <w:r>
              <w:t xml:space="preserve">1123</w:t>
            </w:r>
          </w:p>
        </w:tc>
        <w:tc>
          <w:tcPr/>
          <w:p>
            <w:pPr>
              <w:pStyle w:val="Compact"/>
              <w:jc w:val="left"/>
            </w:pPr>
            <w:r>
              <w:t xml:space="preserve">0.89, 1.09</w:t>
            </w:r>
          </w:p>
        </w:tc>
        <w:tc>
          <w:tcPr/>
          <w:p>
            <w:pPr>
              <w:pStyle w:val="Compact"/>
              <w:jc w:val="right"/>
            </w:pPr>
            <w:r>
              <w:t xml:space="preserve">0</w:t>
            </w:r>
          </w:p>
        </w:tc>
      </w:tr>
      <w:tr>
        <w:tc>
          <w:tcPr/>
          <w:p>
            <w:pPr>
              <w:pStyle w:val="Compact"/>
              <w:jc w:val="left"/>
            </w:pPr>
            <w:r>
              <w:t xml:space="preserve">Janus kinase inhibitors COVID-19</w:t>
            </w:r>
          </w:p>
        </w:tc>
        <w:tc>
          <w:tcPr/>
          <w:p>
            <w:pPr>
              <w:pStyle w:val="Compact"/>
              <w:jc w:val="left"/>
            </w:pPr>
            <w:r>
              <w:t xml:space="preserve">2022-06-01</w:t>
            </w:r>
          </w:p>
        </w:tc>
        <w:tc>
          <w:tcPr/>
          <w:p>
            <w:pPr>
              <w:pStyle w:val="Compact"/>
              <w:jc w:val="left"/>
            </w:pPr>
            <w:r>
              <w:t xml:space="preserve">Mortality28</w:t>
            </w:r>
          </w:p>
        </w:tc>
        <w:tc>
          <w:tcPr/>
          <w:p>
            <w:pPr>
              <w:pStyle w:val="Compact"/>
              <w:jc w:val="right"/>
            </w:pPr>
            <w:r>
              <w:t xml:space="preserve">0</w:t>
            </w:r>
          </w:p>
        </w:tc>
        <w:tc>
          <w:tcPr/>
          <w:p>
            <w:pPr>
              <w:pStyle w:val="Compact"/>
              <w:jc w:val="right"/>
            </w:pPr>
            <w:r>
              <w:t xml:space="preserve">1346</w:t>
            </w:r>
          </w:p>
        </w:tc>
        <w:tc>
          <w:tcPr/>
          <w:p>
            <w:pPr>
              <w:pStyle w:val="Compact"/>
              <w:jc w:val="left"/>
            </w:pPr>
            <w:r>
              <w:t xml:space="preserve">0.57, 0.91</w:t>
            </w:r>
          </w:p>
        </w:tc>
        <w:tc>
          <w:tcPr/>
          <w:p>
            <w:pPr>
              <w:pStyle w:val="Compact"/>
              <w:jc w:val="right"/>
            </w:pPr>
            <w:r>
              <w:t xml:space="preserve">1</w:t>
            </w:r>
          </w:p>
        </w:tc>
      </w:tr>
      <w:tr>
        <w:tc>
          <w:tcPr/>
          <w:p>
            <w:pPr>
              <w:pStyle w:val="Compact"/>
              <w:jc w:val="left"/>
            </w:pPr>
            <w:r>
              <w:t xml:space="preserve">Remdesivir COVID-19</w:t>
            </w:r>
          </w:p>
        </w:tc>
        <w:tc>
          <w:tcPr/>
          <w:p>
            <w:pPr>
              <w:pStyle w:val="Compact"/>
              <w:jc w:val="left"/>
            </w:pPr>
            <w:r>
              <w:t xml:space="preserve">2023-01-01</w:t>
            </w:r>
          </w:p>
        </w:tc>
        <w:tc>
          <w:tcPr/>
          <w:p>
            <w:pPr>
              <w:pStyle w:val="Compact"/>
              <w:jc w:val="left"/>
            </w:pPr>
            <w:r>
              <w:t xml:space="preserve">AEs</w:t>
            </w:r>
          </w:p>
        </w:tc>
        <w:tc>
          <w:tcPr/>
          <w:p>
            <w:pPr>
              <w:pStyle w:val="Compact"/>
              <w:jc w:val="right"/>
            </w:pPr>
            <w:r>
              <w:t xml:space="preserve">1</w:t>
            </w:r>
          </w:p>
        </w:tc>
        <w:tc>
          <w:tcPr/>
          <w:p>
            <w:pPr>
              <w:pStyle w:val="Compact"/>
              <w:jc w:val="right"/>
            </w:pPr>
            <w:r>
              <w:t xml:space="preserve">1463</w:t>
            </w:r>
          </w:p>
        </w:tc>
        <w:tc>
          <w:tcPr/>
          <w:p>
            <w:pPr>
              <w:pStyle w:val="Compact"/>
              <w:jc w:val="left"/>
            </w:pPr>
            <w:r>
              <w:t xml:space="preserve">0.92, 1.18</w:t>
            </w:r>
          </w:p>
        </w:tc>
        <w:tc>
          <w:tcPr/>
          <w:p>
            <w:pPr>
              <w:pStyle w:val="Compact"/>
              <w:jc w:val="right"/>
            </w:pPr>
            <w:r>
              <w:t xml:space="preserve">0</w:t>
            </w:r>
          </w:p>
        </w:tc>
      </w:tr>
      <w:tr>
        <w:tc>
          <w:tcPr/>
          <w:p>
            <w:pPr>
              <w:pStyle w:val="Compact"/>
              <w:jc w:val="left"/>
            </w:pPr>
            <w:r>
              <w:t xml:space="preserve">Antibiotics COVID-19</w:t>
            </w:r>
          </w:p>
        </w:tc>
        <w:tc>
          <w:tcPr/>
          <w:p>
            <w:pPr>
              <w:pStyle w:val="Compact"/>
              <w:jc w:val="left"/>
            </w:pPr>
            <w:r>
              <w:t xml:space="preserve">2021-10-01</w:t>
            </w:r>
          </w:p>
        </w:tc>
        <w:tc>
          <w:tcPr/>
          <w:p>
            <w:pPr>
              <w:pStyle w:val="Compact"/>
              <w:jc w:val="left"/>
            </w:pPr>
            <w:r>
              <w:t xml:space="preserve">Mortality</w:t>
            </w:r>
          </w:p>
        </w:tc>
        <w:tc>
          <w:tcPr/>
          <w:p>
            <w:pPr>
              <w:pStyle w:val="Compact"/>
              <w:jc w:val="right"/>
            </w:pPr>
            <w:r>
              <w:t xml:space="preserve">0</w:t>
            </w:r>
          </w:p>
        </w:tc>
        <w:tc>
          <w:tcPr/>
          <w:p>
            <w:pPr>
              <w:pStyle w:val="Compact"/>
              <w:jc w:val="right"/>
            </w:pPr>
            <w:r>
              <w:t xml:space="preserve">1899</w:t>
            </w:r>
          </w:p>
        </w:tc>
        <w:tc>
          <w:tcPr/>
          <w:p>
            <w:pPr>
              <w:pStyle w:val="Compact"/>
              <w:jc w:val="left"/>
            </w:pPr>
            <w:r>
              <w:t xml:space="preserve">0.9, 1.06</w:t>
            </w:r>
          </w:p>
        </w:tc>
        <w:tc>
          <w:tcPr/>
          <w:p>
            <w:pPr>
              <w:pStyle w:val="Compact"/>
              <w:jc w:val="right"/>
            </w:pPr>
            <w:r>
              <w:t xml:space="preserve">0</w:t>
            </w:r>
          </w:p>
        </w:tc>
      </w:tr>
      <w:tr>
        <w:tc>
          <w:tcPr/>
          <w:p>
            <w:pPr>
              <w:pStyle w:val="Compact"/>
              <w:jc w:val="left"/>
            </w:pPr>
            <w:r>
              <w:t xml:space="preserve">Systemic corticosteroids COVID-19</w:t>
            </w:r>
          </w:p>
        </w:tc>
        <w:tc>
          <w:tcPr/>
          <w:p>
            <w:pPr>
              <w:pStyle w:val="Compact"/>
              <w:jc w:val="left"/>
            </w:pPr>
            <w:r>
              <w:t xml:space="preserve">2022-11-01</w:t>
            </w:r>
          </w:p>
        </w:tc>
        <w:tc>
          <w:tcPr/>
          <w:p>
            <w:pPr>
              <w:pStyle w:val="Compact"/>
              <w:jc w:val="left"/>
            </w:pPr>
            <w:r>
              <w:t xml:space="preserve">Mortality30</w:t>
            </w:r>
          </w:p>
        </w:tc>
        <w:tc>
          <w:tcPr/>
          <w:p>
            <w:pPr>
              <w:pStyle w:val="Compact"/>
              <w:jc w:val="right"/>
            </w:pPr>
            <w:r>
              <w:t xml:space="preserve">0</w:t>
            </w:r>
          </w:p>
        </w:tc>
        <w:tc>
          <w:tcPr/>
          <w:p>
            <w:pPr>
              <w:pStyle w:val="Compact"/>
              <w:jc w:val="right"/>
            </w:pPr>
            <w:r>
              <w:t xml:space="preserve">2121</w:t>
            </w:r>
          </w:p>
        </w:tc>
        <w:tc>
          <w:tcPr/>
          <w:p>
            <w:pPr>
              <w:pStyle w:val="Compact"/>
              <w:jc w:val="left"/>
            </w:pPr>
            <w:r>
              <w:t xml:space="preserve">0.84, 0.97</w:t>
            </w:r>
          </w:p>
        </w:tc>
        <w:tc>
          <w:tcPr/>
          <w:p>
            <w:pPr>
              <w:pStyle w:val="Compact"/>
              <w:jc w:val="right"/>
            </w:pPr>
            <w:r>
              <w:t xml:space="preserve">0</w:t>
            </w:r>
          </w:p>
        </w:tc>
      </w:tr>
      <w:tr>
        <w:tc>
          <w:tcPr/>
          <w:p>
            <w:pPr>
              <w:pStyle w:val="Compact"/>
              <w:jc w:val="left"/>
            </w:pPr>
            <w:r>
              <w:t xml:space="preserve">Colchicine COVID-19</w:t>
            </w:r>
          </w:p>
        </w:tc>
        <w:tc>
          <w:tcPr/>
          <w:p>
            <w:pPr>
              <w:pStyle w:val="Compact"/>
              <w:jc w:val="left"/>
            </w:pPr>
            <w:r>
              <w:t xml:space="preserve">2021-10-01</w:t>
            </w:r>
          </w:p>
        </w:tc>
        <w:tc>
          <w:tcPr/>
          <w:p>
            <w:pPr>
              <w:pStyle w:val="Compact"/>
              <w:jc w:val="left"/>
            </w:pPr>
            <w:r>
              <w:t xml:space="preserve">Mortality</w:t>
            </w:r>
          </w:p>
        </w:tc>
        <w:tc>
          <w:tcPr/>
          <w:p>
            <w:pPr>
              <w:pStyle w:val="Compact"/>
              <w:jc w:val="right"/>
            </w:pPr>
            <w:r>
              <w:t xml:space="preserve">0</w:t>
            </w:r>
          </w:p>
        </w:tc>
        <w:tc>
          <w:tcPr/>
          <w:p>
            <w:pPr>
              <w:pStyle w:val="Compact"/>
              <w:jc w:val="right"/>
            </w:pPr>
            <w:r>
              <w:t xml:space="preserve">2368</w:t>
            </w:r>
          </w:p>
        </w:tc>
        <w:tc>
          <w:tcPr/>
          <w:p>
            <w:pPr>
              <w:pStyle w:val="Compact"/>
              <w:jc w:val="left"/>
            </w:pPr>
            <w:r>
              <w:t xml:space="preserve">0.94, 1.08</w:t>
            </w:r>
          </w:p>
        </w:tc>
        <w:tc>
          <w:tcPr/>
          <w:p>
            <w:pPr>
              <w:pStyle w:val="Compact"/>
              <w:jc w:val="right"/>
            </w:pPr>
            <w:r>
              <w:t xml:space="preserve">0</w:t>
            </w:r>
          </w:p>
        </w:tc>
      </w:tr>
      <w:tr>
        <w:tc>
          <w:tcPr/>
          <w:p>
            <w:pPr>
              <w:pStyle w:val="Compact"/>
              <w:jc w:val="left"/>
            </w:pPr>
            <w:r>
              <w:t xml:space="preserve">Colchicine COVID-19</w:t>
            </w:r>
          </w:p>
        </w:tc>
        <w:tc>
          <w:tcPr/>
          <w:p>
            <w:pPr>
              <w:pStyle w:val="Compact"/>
              <w:jc w:val="left"/>
            </w:pPr>
            <w:r>
              <w:t xml:space="preserve">2021-10-01</w:t>
            </w:r>
          </w:p>
        </w:tc>
        <w:tc>
          <w:tcPr/>
          <w:p>
            <w:pPr>
              <w:pStyle w:val="Compact"/>
              <w:jc w:val="left"/>
            </w:pPr>
            <w:r>
              <w:t xml:space="preserve">Worsening</w:t>
            </w:r>
          </w:p>
        </w:tc>
        <w:tc>
          <w:tcPr/>
          <w:p>
            <w:pPr>
              <w:pStyle w:val="Compact"/>
              <w:jc w:val="right"/>
            </w:pPr>
            <w:r>
              <w:t xml:space="preserve">0</w:t>
            </w:r>
          </w:p>
        </w:tc>
        <w:tc>
          <w:tcPr/>
          <w:p>
            <w:pPr>
              <w:pStyle w:val="Compact"/>
              <w:jc w:val="right"/>
            </w:pPr>
            <w:r>
              <w:t xml:space="preserve">2694</w:t>
            </w:r>
          </w:p>
        </w:tc>
        <w:tc>
          <w:tcPr/>
          <w:p>
            <w:pPr>
              <w:pStyle w:val="Compact"/>
              <w:jc w:val="left"/>
            </w:pPr>
            <w:r>
              <w:t xml:space="preserve">0.96, 1.09</w:t>
            </w:r>
          </w:p>
        </w:tc>
        <w:tc>
          <w:tcPr/>
          <w:p>
            <w:pPr>
              <w:pStyle w:val="Compact"/>
              <w:jc w:val="right"/>
            </w:pPr>
            <w:r>
              <w:t xml:space="preserve">0</w:t>
            </w:r>
          </w:p>
        </w:tc>
      </w:tr>
      <w:tr>
        <w:tc>
          <w:tcPr/>
          <w:p>
            <w:pPr>
              <w:pStyle w:val="Compact"/>
              <w:jc w:val="left"/>
            </w:pPr>
            <w:r>
              <w:t xml:space="preserve">Convalescent plasma</w:t>
            </w:r>
          </w:p>
        </w:tc>
        <w:tc>
          <w:tcPr/>
          <w:p>
            <w:pPr>
              <w:pStyle w:val="Compact"/>
              <w:jc w:val="left"/>
            </w:pPr>
            <w:r>
              <w:t xml:space="preserve">2021-05-01</w:t>
            </w:r>
          </w:p>
        </w:tc>
        <w:tc>
          <w:tcPr/>
          <w:p>
            <w:pPr>
              <w:pStyle w:val="Compact"/>
              <w:jc w:val="left"/>
            </w:pPr>
            <w:r>
              <w:t xml:space="preserve">Mortality</w:t>
            </w:r>
          </w:p>
        </w:tc>
        <w:tc>
          <w:tcPr/>
          <w:p>
            <w:pPr>
              <w:pStyle w:val="Compact"/>
              <w:jc w:val="right"/>
            </w:pPr>
            <w:r>
              <w:t xml:space="preserve">0</w:t>
            </w:r>
          </w:p>
        </w:tc>
        <w:tc>
          <w:tcPr/>
          <w:p>
            <w:pPr>
              <w:pStyle w:val="Compact"/>
              <w:jc w:val="right"/>
            </w:pPr>
            <w:r>
              <w:t xml:space="preserve">2977</w:t>
            </w:r>
          </w:p>
        </w:tc>
        <w:tc>
          <w:tcPr/>
          <w:p>
            <w:pPr>
              <w:pStyle w:val="Compact"/>
              <w:jc w:val="left"/>
            </w:pPr>
            <w:r>
              <w:t xml:space="preserve">0.92, 1.04</w:t>
            </w:r>
          </w:p>
        </w:tc>
        <w:tc>
          <w:tcPr/>
          <w:p>
            <w:pPr>
              <w:pStyle w:val="Compact"/>
              <w:jc w:val="right"/>
            </w:pPr>
            <w:r>
              <w:t xml:space="preserve">0</w:t>
            </w:r>
          </w:p>
        </w:tc>
      </w:tr>
      <w:tr>
        <w:tc>
          <w:tcPr/>
          <w:p>
            <w:pPr>
              <w:pStyle w:val="Compact"/>
              <w:jc w:val="left"/>
            </w:pPr>
            <w:r>
              <w:t xml:space="preserve">Convalescent plasma</w:t>
            </w:r>
          </w:p>
        </w:tc>
        <w:tc>
          <w:tcPr/>
          <w:p>
            <w:pPr>
              <w:pStyle w:val="Compact"/>
              <w:jc w:val="left"/>
            </w:pPr>
            <w:r>
              <w:t xml:space="preserve">2023-02-01</w:t>
            </w:r>
          </w:p>
        </w:tc>
        <w:tc>
          <w:tcPr/>
          <w:p>
            <w:pPr>
              <w:pStyle w:val="Compact"/>
              <w:jc w:val="left"/>
            </w:pPr>
            <w:r>
              <w:t xml:space="preserve">Mortality</w:t>
            </w:r>
          </w:p>
        </w:tc>
        <w:tc>
          <w:tcPr/>
          <w:p>
            <w:pPr>
              <w:pStyle w:val="Compact"/>
              <w:jc w:val="right"/>
            </w:pPr>
            <w:r>
              <w:t xml:space="preserve">0</w:t>
            </w:r>
          </w:p>
        </w:tc>
        <w:tc>
          <w:tcPr/>
          <w:p>
            <w:pPr>
              <w:pStyle w:val="Compact"/>
              <w:jc w:val="right"/>
            </w:pPr>
            <w:r>
              <w:t xml:space="preserve">4200</w:t>
            </w:r>
          </w:p>
        </w:tc>
        <w:tc>
          <w:tcPr/>
          <w:p>
            <w:pPr>
              <w:pStyle w:val="Compact"/>
              <w:jc w:val="left"/>
            </w:pPr>
            <w:r>
              <w:t xml:space="preserve">0.92, 1.03</w:t>
            </w:r>
          </w:p>
        </w:tc>
        <w:tc>
          <w:tcPr/>
          <w:p>
            <w:pPr>
              <w:pStyle w:val="Compact"/>
              <w:jc w:val="right"/>
            </w:pPr>
            <w:r>
              <w:t xml:space="preserve">0</w:t>
            </w:r>
          </w:p>
        </w:tc>
      </w:tr>
      <w:tr>
        <w:tc>
          <w:tcPr/>
          <w:p>
            <w:pPr>
              <w:pStyle w:val="Compact"/>
              <w:jc w:val="left"/>
            </w:pPr>
            <w:r>
              <w:t xml:space="preserve">Convalescent plasma</w:t>
            </w:r>
          </w:p>
        </w:tc>
        <w:tc>
          <w:tcPr/>
          <w:p>
            <w:pPr>
              <w:pStyle w:val="Compact"/>
              <w:jc w:val="left"/>
            </w:pPr>
            <w:r>
              <w:t xml:space="preserve">2023-02-01</w:t>
            </w:r>
          </w:p>
        </w:tc>
        <w:tc>
          <w:tcPr/>
          <w:p>
            <w:pPr>
              <w:pStyle w:val="Compact"/>
              <w:jc w:val="left"/>
            </w:pPr>
            <w:r>
              <w:t xml:space="preserve">Worsening</w:t>
            </w:r>
          </w:p>
        </w:tc>
        <w:tc>
          <w:tcPr/>
          <w:p>
            <w:pPr>
              <w:pStyle w:val="Compact"/>
              <w:jc w:val="right"/>
            </w:pPr>
            <w:r>
              <w:t xml:space="preserve">0</w:t>
            </w:r>
          </w:p>
        </w:tc>
        <w:tc>
          <w:tcPr/>
          <w:p>
            <w:pPr>
              <w:pStyle w:val="Compact"/>
              <w:jc w:val="right"/>
            </w:pPr>
            <w:r>
              <w:t xml:space="preserve">4205</w:t>
            </w:r>
          </w:p>
        </w:tc>
        <w:tc>
          <w:tcPr/>
          <w:p>
            <w:pPr>
              <w:pStyle w:val="Compact"/>
              <w:jc w:val="left"/>
            </w:pPr>
            <w:r>
              <w:t xml:space="preserve">0.97, 1.11</w:t>
            </w:r>
          </w:p>
        </w:tc>
        <w:tc>
          <w:tcPr/>
          <w:p>
            <w:pPr>
              <w:pStyle w:val="Compact"/>
              <w:jc w:val="right"/>
            </w:pPr>
            <w:r>
              <w:t xml:space="preserve">0</w:t>
            </w:r>
          </w:p>
        </w:tc>
      </w:tr>
      <w:tr>
        <w:tc>
          <w:tcPr/>
          <w:p>
            <w:pPr>
              <w:pStyle w:val="Compact"/>
              <w:jc w:val="left"/>
            </w:pPr>
            <w:r>
              <w:t xml:space="preserve">Antibiotics COVID-19</w:t>
            </w:r>
          </w:p>
        </w:tc>
        <w:tc>
          <w:tcPr/>
          <w:p>
            <w:pPr>
              <w:pStyle w:val="Compact"/>
              <w:jc w:val="left"/>
            </w:pPr>
            <w:r>
              <w:t xml:space="preserve">2021-10-01</w:t>
            </w:r>
          </w:p>
        </w:tc>
        <w:tc>
          <w:tcPr/>
          <w:p>
            <w:pPr>
              <w:pStyle w:val="Compact"/>
              <w:jc w:val="left"/>
            </w:pPr>
            <w:r>
              <w:t xml:space="preserve">Improvement</w:t>
            </w:r>
          </w:p>
        </w:tc>
        <w:tc>
          <w:tcPr/>
          <w:p>
            <w:pPr>
              <w:pStyle w:val="Compact"/>
              <w:jc w:val="right"/>
            </w:pPr>
            <w:r>
              <w:t xml:space="preserve">0</w:t>
            </w:r>
          </w:p>
        </w:tc>
        <w:tc>
          <w:tcPr/>
          <w:p>
            <w:pPr>
              <w:pStyle w:val="Compact"/>
              <w:jc w:val="right"/>
            </w:pPr>
            <w:r>
              <w:t xml:space="preserve">5472</w:t>
            </w:r>
          </w:p>
        </w:tc>
        <w:tc>
          <w:tcPr/>
          <w:p>
            <w:pPr>
              <w:pStyle w:val="Compact"/>
              <w:jc w:val="left"/>
            </w:pPr>
            <w:r>
              <w:t xml:space="preserve">0.84, 1.11</w:t>
            </w:r>
          </w:p>
        </w:tc>
        <w:tc>
          <w:tcPr/>
          <w:p>
            <w:pPr>
              <w:pStyle w:val="Compact"/>
              <w:jc w:val="right"/>
            </w:pPr>
            <w:r>
              <w:t xml:space="preserve">0</w:t>
            </w:r>
          </w:p>
        </w:tc>
      </w:tr>
      <w:tr>
        <w:tc>
          <w:tcPr/>
          <w:p>
            <w:pPr>
              <w:pStyle w:val="Compact"/>
              <w:jc w:val="left"/>
            </w:pPr>
            <w:r>
              <w:t xml:space="preserve">Convalescent plasma</w:t>
            </w:r>
          </w:p>
        </w:tc>
        <w:tc>
          <w:tcPr/>
          <w:p>
            <w:pPr>
              <w:pStyle w:val="Compact"/>
              <w:jc w:val="left"/>
            </w:pPr>
            <w:r>
              <w:t xml:space="preserve">2023-02-01</w:t>
            </w:r>
          </w:p>
        </w:tc>
        <w:tc>
          <w:tcPr/>
          <w:p>
            <w:pPr>
              <w:pStyle w:val="Compact"/>
              <w:jc w:val="left"/>
            </w:pPr>
            <w:r>
              <w:t xml:space="preserve">Improvement</w:t>
            </w:r>
          </w:p>
        </w:tc>
        <w:tc>
          <w:tcPr/>
          <w:p>
            <w:pPr>
              <w:pStyle w:val="Compact"/>
              <w:jc w:val="right"/>
            </w:pPr>
            <w:r>
              <w:t xml:space="preserve">0</w:t>
            </w:r>
          </w:p>
        </w:tc>
        <w:tc>
          <w:tcPr/>
          <w:p>
            <w:pPr>
              <w:pStyle w:val="Compact"/>
              <w:jc w:val="right"/>
            </w:pPr>
            <w:r>
              <w:t xml:space="preserve">8485</w:t>
            </w:r>
          </w:p>
        </w:tc>
        <w:tc>
          <w:tcPr/>
          <w:p>
            <w:pPr>
              <w:pStyle w:val="Compact"/>
              <w:jc w:val="left"/>
            </w:pPr>
            <w:r>
              <w:t xml:space="preserve">0.97, 1.02</w:t>
            </w:r>
          </w:p>
        </w:tc>
        <w:tc>
          <w:tcPr/>
          <w:p>
            <w:pPr>
              <w:pStyle w:val="Compact"/>
              <w:jc w:val="right"/>
            </w:pPr>
            <w:r>
              <w:t xml:space="preserve">0</w:t>
            </w:r>
          </w:p>
        </w:tc>
      </w:tr>
      <w:tr>
        <w:tc>
          <w:tcPr/>
          <w:p>
            <w:pPr>
              <w:pStyle w:val="Compact"/>
              <w:jc w:val="left"/>
            </w:pPr>
            <w:r>
              <w:t xml:space="preserve">Chronic rhinosinusitis</w:t>
            </w:r>
          </w:p>
        </w:tc>
        <w:tc>
          <w:tcPr/>
          <w:p>
            <w:pPr>
              <w:pStyle w:val="Compact"/>
              <w:jc w:val="left"/>
            </w:pPr>
            <w:r>
              <w:t xml:space="preserve">2021-03-01</w:t>
            </w:r>
          </w:p>
        </w:tc>
        <w:tc>
          <w:tcPr/>
          <w:p>
            <w:pPr>
              <w:pStyle w:val="Compact"/>
              <w:jc w:val="left"/>
            </w:pPr>
            <w:r>
              <w:t xml:space="preserve">QoL</w:t>
            </w:r>
          </w:p>
        </w:tc>
        <w:tc>
          <w:tcPr/>
          <w:p>
            <w:pPr>
              <w:pStyle w:val="Compact"/>
              <w:jc w:val="right"/>
            </w:pPr>
            <w:r>
              <w:t xml:space="preserve">0</w:t>
            </w:r>
          </w:p>
        </w:tc>
        <w:tc>
          <w:tcPr/>
          <w:p>
            <w:pPr>
              <w:pStyle w:val="Compact"/>
              <w:jc w:val="right"/>
            </w:pPr>
            <w:r>
              <w:t xml:space="preserve">NA</w:t>
            </w:r>
          </w:p>
        </w:tc>
        <w:tc>
          <w:tcPr/>
          <w:p>
            <w:pPr>
              <w:pStyle w:val="Compact"/>
              <w:jc w:val="left"/>
            </w:pPr>
            <w:r>
              <w:t xml:space="preserve">-22.54, -16.69</w:t>
            </w:r>
          </w:p>
        </w:tc>
        <w:tc>
          <w:tcPr/>
          <w:p>
            <w:pPr>
              <w:pStyle w:val="Compact"/>
              <w:jc w:val="right"/>
            </w:pPr>
            <w:r>
              <w:t xml:space="preserve">0</w:t>
            </w:r>
          </w:p>
        </w:tc>
      </w:tr>
      <w:tr>
        <w:tc>
          <w:tcPr/>
          <w:p>
            <w:pPr>
              <w:pStyle w:val="Compact"/>
              <w:jc w:val="left"/>
            </w:pPr>
            <w:r>
              <w:t xml:space="preserve">Chronic rhinosinusitis</w:t>
            </w:r>
          </w:p>
        </w:tc>
        <w:tc>
          <w:tcPr/>
          <w:p>
            <w:pPr>
              <w:pStyle w:val="Compact"/>
              <w:jc w:val="left"/>
            </w:pPr>
            <w:r>
              <w:t xml:space="preserve">2021-03-01</w:t>
            </w:r>
          </w:p>
        </w:tc>
        <w:tc>
          <w:tcPr/>
          <w:p>
            <w:pPr>
              <w:pStyle w:val="Compact"/>
              <w:jc w:val="left"/>
            </w:pPr>
            <w:r>
              <w:t xml:space="preserve">VAS</w:t>
            </w:r>
          </w:p>
        </w:tc>
        <w:tc>
          <w:tcPr/>
          <w:p>
            <w:pPr>
              <w:pStyle w:val="Compact"/>
              <w:jc w:val="right"/>
            </w:pPr>
            <w:r>
              <w:t xml:space="preserve">0</w:t>
            </w:r>
          </w:p>
        </w:tc>
        <w:tc>
          <w:tcPr/>
          <w:p>
            <w:pPr>
              <w:pStyle w:val="Compact"/>
              <w:jc w:val="right"/>
            </w:pPr>
            <w:r>
              <w:t xml:space="preserve">NA</w:t>
            </w:r>
          </w:p>
        </w:tc>
        <w:tc>
          <w:tcPr/>
          <w:p>
            <w:pPr>
              <w:pStyle w:val="Compact"/>
              <w:jc w:val="left"/>
            </w:pPr>
            <w:r>
              <w:t xml:space="preserve">-3.47, -2.53</w:t>
            </w:r>
          </w:p>
        </w:tc>
        <w:tc>
          <w:tcPr/>
          <w:p>
            <w:pPr>
              <w:pStyle w:val="Compact"/>
              <w:jc w:val="right"/>
            </w:pPr>
            <w:r>
              <w:t xml:space="preserve">0</w:t>
            </w:r>
          </w:p>
        </w:tc>
      </w:tr>
    </w:tbl>
    <w:bookmarkEnd w:id="71"/>
    <w:bookmarkStart w:id="80" w:name="exploring-differences"/>
    <w:p>
      <w:pPr>
        <w:pStyle w:val="Heading2"/>
      </w:pPr>
      <w:r>
        <w:t xml:space="preserve">3.5 Exploring differences</w:t>
      </w:r>
    </w:p>
    <w:p>
      <w:pPr>
        <w:pStyle w:val="FirstParagraph"/>
      </w:pPr>
      <w:r>
        <w:t xml:space="preserve">Of the 47 outcomes, the tools prediction of the number of levels to downgrade matched the reviewers assessment for 27 outcomes. Let’s explore those that didn’t match and see if we can know the reason.</w:t>
      </w:r>
    </w:p>
    <w:bookmarkStart w:id="78" w:name="instances-where-tool-over-downgraded"/>
    <w:p>
      <w:pPr>
        <w:pStyle w:val="Heading3"/>
      </w:pPr>
      <w:r>
        <w:t xml:space="preserve">3.5.1 Instances where tool over-downgraded</w:t>
      </w:r>
    </w:p>
    <w:p>
      <w:pPr>
        <w:pStyle w:val="FirstParagraph"/>
      </w:pPr>
      <w:r>
        <w:t xml:space="preserve">To be completed</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C:\Users\crn4\AppData\Local\Apps\Quarto\share\formats\docx\tip.png" id="74" name="Picture"/>
                          <pic:cNvPicPr>
                            <a:picLocks noChangeArrowheads="1" noChangeAspect="1"/>
                          </pic:cNvPicPr>
                        </pic:nvPicPr>
                        <pic:blipFill>
                          <a:blip r:embed="rId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Adjustment factor proposal</w:t>
            </w:r>
          </w:p>
        </w:tc>
      </w:tr>
      <w:tr>
        <w:trPr>
          <w:cantSplit/>
        </w:trPr>
        <w:tc>
          <w:tcPr>
            <w:tcMar>
              <w:top w:w="108" w:type="dxa"/>
              <w:bottom w:w="108" w:type="dxa"/>
            </w:tcMar>
          </w:tcPr>
          <w:p>
            <w:pPr>
              <w:pStyle w:val="BodyText"/>
            </w:pPr>
            <w:pPr>
              <w:spacing w:before="16"/>
            </w:pPr>
            <w:r>
              <w:t xml:space="preserve">Adding an adjustment factor here is less simple than with risk of bias as we have two approaches for dichotomous outcomes.</w:t>
            </w:r>
          </w:p>
          <w:p>
            <w:pPr>
              <w:pStyle w:val="BodyText"/>
            </w:pPr>
            <w:pPr>
              <w:spacing w:after="16"/>
            </w:pPr>
            <w:r>
              <w:t xml:space="preserve">If the outcome is likely to be a rare event (e.g., serious adverse events) - and indicated by the reviewers as so - then adjust the threshold regarding total events so that a previous GRADE result marries up. Otherwise, adjust the thresholds related to what a</w:t>
            </w:r>
            <w:r>
              <w:t xml:space="preserve"> </w:t>
            </w:r>
            <w:r>
              <w:t xml:space="preserve">‘meaningful’</w:t>
            </w:r>
            <w:r>
              <w:t xml:space="preserve"> </w:t>
            </w:r>
            <w:r>
              <w:t xml:space="preserve">effect is for assessing the the placement of the confidence interval.</w:t>
            </w:r>
          </w:p>
        </w:tc>
      </w:tr>
    </w:tbl>
    <w:p>
      <w:pPr>
        <w:pStyle w:val="BodyText"/>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C:\Users\crn4\AppData\Local\Apps\Quarto\share\formats\docx\caution.png" id="77" name="Picture"/>
                          <pic:cNvPicPr>
                            <a:picLocks noChangeArrowheads="1" noChangeAspect="1"/>
                          </pic:cNvPicPr>
                        </pic:nvPicPr>
                        <pic:blipFill>
                          <a:blip r:embed="rId7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Adjustment factor warning</w:t>
            </w:r>
          </w:p>
        </w:tc>
      </w:tr>
      <w:tr>
        <w:trPr>
          <w:cantSplit/>
        </w:trPr>
        <w:tc>
          <w:tcPr>
            <w:tcMar>
              <w:top w:w="108" w:type="dxa"/>
              <w:bottom w:w="108" w:type="dxa"/>
            </w:tcMar>
          </w:tcPr>
          <w:p>
            <w:pPr>
              <w:pStyle w:val="BodyText"/>
            </w:pPr>
            <w:pPr>
              <w:spacing w:before="16"/>
            </w:pPr>
            <w:r>
              <w:t xml:space="preserve">Currently, I’ve put in code that allows the threshold to automatically change if the tool didn’t correctly predict the downgrading levels on a previous version of the review. However, if reviewers are competent and have a suitable system for carrying out GRADE, then they should be able to input their own thresholds that should allow the tool to marry up with previous versions.</w:t>
            </w:r>
          </w:p>
          <w:p>
            <w:pPr>
              <w:pStyle w:val="BodyText"/>
            </w:pPr>
            <w:pPr>
              <w:spacing w:after="16"/>
            </w:pPr>
            <w:r>
              <w:t xml:space="preserve">As such, the tool/code should only have the automatic</w:t>
            </w:r>
            <w:r>
              <w:t xml:space="preserve"> </w:t>
            </w:r>
            <w:r>
              <w:t xml:space="preserve">‘threshold adjuster’</w:t>
            </w:r>
            <w:r>
              <w:t xml:space="preserve"> </w:t>
            </w:r>
            <w:r>
              <w:t xml:space="preserve">if it is specifically asked for. These cases would be for myself to test it on reviews for which I don’t have contact with the authors, and potentially reviews that are midway through being living, and wish to have some help with defining the thresholds. Therefore, the tool should also output which thresholds it used (so that users can be confident in knowing what was used).</w:t>
            </w:r>
          </w:p>
        </w:tc>
      </w:tr>
    </w:tbl>
    <w:bookmarkEnd w:id="78"/>
    <w:bookmarkStart w:id="79" w:name="instances-where-the-tool-under-graded"/>
    <w:p>
      <w:pPr>
        <w:pStyle w:val="Heading3"/>
      </w:pPr>
      <w:r>
        <w:t xml:space="preserve">3.5.2 Instances where the tool under-graded</w:t>
      </w:r>
    </w:p>
    <w:p>
      <w:pPr>
        <w:pStyle w:val="FirstParagraph"/>
      </w:pPr>
      <w:r>
        <w:t xml:space="preserve">To be completed.</w:t>
      </w:r>
    </w:p>
    <w:bookmarkEnd w:id="79"/>
    <w:bookmarkEnd w:id="80"/>
    <w:bookmarkEnd w:id="81"/>
    <w:bookmarkStart w:id="82" w:name="indirectness"/>
    <w:p>
      <w:pPr>
        <w:pStyle w:val="Heading1"/>
      </w:pPr>
      <w:r>
        <w:t xml:space="preserve">4. Indirectness</w:t>
      </w:r>
    </w:p>
    <w:p>
      <w:pPr>
        <w:pStyle w:val="FirstParagraph"/>
      </w:pPr>
      <w:r>
        <w:t xml:space="preserve">There are two elements of indirectness that can occur: a difference between studies included and review aims, and when indirect comparisons are utilised due to lack of direct evidence</w:t>
      </w:r>
      <w:r>
        <w:rPr>
          <w:vertAlign w:val="superscript"/>
        </w:rPr>
        <w:t xml:space="preserve">1</w:t>
      </w:r>
      <w:r>
        <w:t xml:space="preserve">. As we’re only considering pairwise meta-analyses and RCTs, for now we’re going to assume that the reviewer has not needed to find indirect evidence, and so we will focus on the former element of indirectness. Otherwise, the GRADE guidance for authors suggests considering whether the evidence found is more restrictive than the review question in terms of PICO</w:t>
      </w:r>
      <w:r>
        <w:rPr>
          <w:vertAlign w:val="superscript"/>
        </w:rPr>
        <w:t xml:space="preserve">2</w:t>
      </w:r>
      <w:r>
        <w:t xml:space="preserve">. Due to the nature of this domain, there will be no quantitative elements, and instead, the tool will have the following prompt questions from the user to answer.</w:t>
      </w:r>
    </w:p>
    <w:p>
      <w:pPr>
        <w:numPr>
          <w:ilvl w:val="0"/>
          <w:numId w:val="1022"/>
        </w:numPr>
      </w:pPr>
      <w:r>
        <w:t xml:space="preserve">Are the populations presented in the current evidence so much more restrictive than the target population of the review that they’re likely to affect the magnitude of effect substantially? If so, is it serious or very serious?</w:t>
      </w:r>
    </w:p>
    <w:p>
      <w:pPr>
        <w:numPr>
          <w:ilvl w:val="0"/>
          <w:numId w:val="1022"/>
        </w:numPr>
      </w:pPr>
      <w:r>
        <w:t xml:space="preserve">Are the interventions that have been studied in the current pool of evidence more restrictive than the target interventions of the review? If so, is it serious or very serious?</w:t>
      </w:r>
    </w:p>
    <w:p>
      <w:pPr>
        <w:numPr>
          <w:ilvl w:val="0"/>
          <w:numId w:val="1022"/>
        </w:numPr>
      </w:pPr>
      <w:r>
        <w:t xml:space="preserve">Are the comparators that have been included in the current studies more restrictive than the target comparator(s) of the review? If so, is it serious or very serious?</w:t>
      </w:r>
    </w:p>
    <w:p>
      <w:pPr>
        <w:numPr>
          <w:ilvl w:val="0"/>
          <w:numId w:val="1022"/>
        </w:numPr>
      </w:pPr>
      <w:r>
        <w:t xml:space="preserve">Are the outcomes that are presented in the current evidence more restrictive than the target outcomes of the review? If so, is it serious or very serious?</w:t>
      </w:r>
    </w:p>
    <w:p>
      <w:pPr>
        <w:pStyle w:val="FirstParagraph"/>
      </w:pPr>
      <w:r>
        <w:t xml:space="preserve">The questions are not to be answered on their own but as a collective as the judgement of whether to downgrade due to indirectness is to be done based on the combined effect of the areas considered above</w:t>
      </w:r>
      <w:r>
        <w:rPr>
          <w:vertAlign w:val="superscript"/>
        </w:rPr>
        <w:t xml:space="preserve">3</w:t>
      </w:r>
      <w:r>
        <w:t xml:space="preserve">. As such, the user will simply be asked to judge the evidence based on the prompt questions, as to whether any problems identified need to be rates down by two, one, or no levels. Additionally, when presented with the proposed tool, reviewers will also be given links to guidelines written by GRADE developers</w:t>
      </w:r>
      <w:r>
        <w:rPr>
          <w:vertAlign w:val="superscript"/>
        </w:rPr>
        <w:t xml:space="preserve">3,4</w:t>
      </w:r>
    </w:p>
    <w:p>
      <w:pPr>
        <w:pStyle w:val="BodyText"/>
      </w:pPr>
      <w:r>
        <w:t xml:space="preserve">Unfortunately, due to the nature of this domain, I cannot</w:t>
      </w:r>
      <w:r>
        <w:t xml:space="preserve"> </w:t>
      </w:r>
      <w:r>
        <w:t xml:space="preserve">‘test’</w:t>
      </w:r>
      <w:r>
        <w:t xml:space="preserve"> </w:t>
      </w:r>
      <w:r>
        <w:t xml:space="preserve">it, or measure it against any of the reviews I’ve collated.</w:t>
      </w:r>
    </w:p>
    <w:p>
      <w:pPr>
        <w:pStyle w:val="BodyText"/>
      </w:pPr>
      <w:r>
        <w:t xml:space="preserve">As the judgement of indirectness requires knowledge of the study characteristics, this judgement should be able to be made in-between data extraction and committing to an update. From experience, some of the research team will be aware of the characteristics of the new studies, and whether their accumulating changes any levels of indirectness.</w:t>
      </w:r>
    </w:p>
    <w:bookmarkEnd w:id="82"/>
    <w:bookmarkStart w:id="86" w:name="inconsistency"/>
    <w:p>
      <w:pPr>
        <w:pStyle w:val="Heading1"/>
      </w:pPr>
      <w:r>
        <w:t xml:space="preserve">5. Inconsistency</w:t>
      </w:r>
    </w:p>
    <w:p>
      <w:pPr>
        <w:pStyle w:val="FirstParagraph"/>
      </w:pPr>
      <w:r>
        <w:t xml:space="preserve">Both Stewart et. al.</w:t>
      </w:r>
      <w:r>
        <w:rPr>
          <w:vertAlign w:val="superscript"/>
        </w:rPr>
        <w:t xml:space="preserve">5</w:t>
      </w:r>
      <w:r>
        <w:t xml:space="preserve">, the GRADE guidance</w:t>
      </w:r>
      <w:r>
        <w:rPr>
          <w:vertAlign w:val="superscript"/>
        </w:rPr>
        <w:t xml:space="preserve">6</w:t>
      </w:r>
      <w:r>
        <w:t xml:space="preserve">, and Cochrane author advice videos encourage researchers to consider the following elements when making a judgement regarding inconsistency:</w:t>
      </w:r>
    </w:p>
    <w:p>
      <w:pPr>
        <w:numPr>
          <w:ilvl w:val="0"/>
          <w:numId w:val="1023"/>
        </w:numPr>
      </w:pPr>
      <w:r>
        <w:t xml:space="preserve">Is there a wide variation in effect estimates?</w:t>
      </w:r>
    </w:p>
    <w:p>
      <w:pPr>
        <w:numPr>
          <w:ilvl w:val="0"/>
          <w:numId w:val="1023"/>
        </w:numPr>
      </w:pPr>
      <w:r>
        <w:t xml:space="preserve">Do the confidence intervals overlap?</w:t>
      </w:r>
    </w:p>
    <w:p>
      <w:pPr>
        <w:numPr>
          <w:ilvl w:val="0"/>
          <w:numId w:val="1023"/>
        </w:numPr>
      </w:pPr>
      <w:r>
        <w:t xml:space="preserve">Statistical test for heterogeneity (threshold for p-value needed)</w:t>
      </w:r>
    </w:p>
    <w:p>
      <w:pPr>
        <w:numPr>
          <w:ilvl w:val="0"/>
          <w:numId w:val="1023"/>
        </w:numPr>
      </w:pPr>
      <m:oMath>
        <m:sSup>
          <m:e>
            <m:r>
              <m:t>I</m:t>
            </m:r>
          </m:e>
          <m:sup>
            <m:r>
              <m:t>2</m:t>
            </m:r>
          </m:sup>
        </m:sSup>
      </m:oMath>
      <w:r>
        <w:t xml:space="preserve"> </w:t>
      </w:r>
      <w:r>
        <w:t xml:space="preserve">statistic, with the following rough guide:</w:t>
      </w:r>
    </w:p>
    <w:p>
      <w:pPr>
        <w:numPr>
          <w:ilvl w:val="1"/>
          <w:numId w:val="1024"/>
        </w:numPr>
      </w:pPr>
      <w:r>
        <w:t xml:space="preserve">0% to 40% - low heterogeneity</w:t>
      </w:r>
    </w:p>
    <w:p>
      <w:pPr>
        <w:numPr>
          <w:ilvl w:val="1"/>
          <w:numId w:val="1024"/>
        </w:numPr>
      </w:pPr>
      <w:r>
        <w:t xml:space="preserve">30% to 60% - moderate heterogeneity</w:t>
      </w:r>
    </w:p>
    <w:p>
      <w:pPr>
        <w:numPr>
          <w:ilvl w:val="1"/>
          <w:numId w:val="1024"/>
        </w:numPr>
      </w:pPr>
      <w:r>
        <w:t xml:space="preserve">50% to 90% - substantial heterogeneity</w:t>
      </w:r>
    </w:p>
    <w:p>
      <w:pPr>
        <w:numPr>
          <w:ilvl w:val="1"/>
          <w:numId w:val="1024"/>
        </w:numPr>
      </w:pPr>
      <w:r>
        <w:t xml:space="preserve">75% to 100% - considerable heterogeneity</w:t>
      </w:r>
    </w:p>
    <w:p>
      <w:pPr>
        <w:pStyle w:val="FirstParagraph"/>
      </w:pPr>
      <w:r>
        <w:t xml:space="preserve">It should be notes that before considering any of the above, authors should have already considered whether any heterogeneity can be adequately explained (and adjusted for). As such, the reviewer should be making a judgment based on any remaining heterogeneity/inconsistency.</w:t>
      </w:r>
    </w:p>
    <w:p>
      <w:pPr>
        <w:pStyle w:val="BodyText"/>
      </w:pPr>
      <w:r>
        <w:t xml:space="preserve">Whilst</w:t>
      </w:r>
      <w:r>
        <w:t xml:space="preserve"> </w:t>
      </w:r>
      <m:oMath>
        <m:sSup>
          <m:e>
            <m:r>
              <m:t>I</m:t>
            </m:r>
          </m:e>
          <m:sup>
            <m:r>
              <m:t>2</m:t>
            </m:r>
          </m:sup>
        </m:sSup>
      </m:oMath>
      <w:r>
        <w:t xml:space="preserve"> </w:t>
      </w:r>
      <w:r>
        <w:t xml:space="preserve">is a simple quantitative measure, due to ambiguous interpretation and researchers in the field suggested is may be misleading</w:t>
      </w:r>
      <w:r>
        <w:rPr>
          <w:vertAlign w:val="superscript"/>
        </w:rPr>
        <w:t xml:space="preserve">7</w:t>
      </w:r>
      <w:r>
        <w:t xml:space="preserve">, I don’t think this would be a good element to use in the tool. For similar reasons, I don’t think utilising a test statistic for heterogeneity would be the best approach. Core GRADE</w:t>
      </w:r>
      <w:r>
        <w:rPr>
          <w:vertAlign w:val="superscript"/>
        </w:rPr>
        <w:t xml:space="preserve">7</w:t>
      </w:r>
      <w:r>
        <w:t xml:space="preserve"> </w:t>
      </w:r>
      <w:r>
        <w:t xml:space="preserve">considers a visual inspection of the forest plot to assess is there is any overlap of confidence intervals, difference in point estimates (with a focus on a chosen threshold representing the null effect or minimal important difference). As such, the tool will try to incorporate the first two elements in the list above.</w:t>
      </w:r>
    </w:p>
    <w:p>
      <w:pPr>
        <w:pStyle w:val="BodyText"/>
      </w:pPr>
      <w:r>
        <w:t xml:space="preserve">We will follow the plan that Core GRADE suggests</w:t>
      </w:r>
      <w:r>
        <w:rPr>
          <w:vertAlign w:val="superscript"/>
        </w:rPr>
        <w:t xml:space="preserve">7</w:t>
      </w:r>
      <w:r>
        <w:t xml:space="preserve">, which considers the following three questions:</w:t>
      </w:r>
    </w:p>
    <w:p>
      <w:pPr>
        <w:numPr>
          <w:ilvl w:val="0"/>
          <w:numId w:val="1025"/>
        </w:numPr>
      </w:pPr>
      <w:r>
        <w:t xml:space="preserve">Are there important differences in point estimates of studies and limited overlap of their CIs? If no, then don’t rate down and stop. If yes, consider next question.</w:t>
      </w:r>
    </w:p>
    <w:p>
      <w:pPr>
        <w:numPr>
          <w:ilvl w:val="0"/>
          <w:numId w:val="1025"/>
        </w:numPr>
      </w:pPr>
      <w:r>
        <w:t xml:space="preserve">Evaluate point estimates of studies in relation to chosen threshold. If the majority are on one side, then don’t rate down and stop. If there are substantial proportions on both sides, then consider the next question.</w:t>
      </w:r>
    </w:p>
    <w:p>
      <w:pPr>
        <w:numPr>
          <w:ilvl w:val="0"/>
          <w:numId w:val="1025"/>
        </w:numPr>
      </w:pPr>
      <w:r>
        <w:t xml:space="preserve">Is the current inconsistency explained by credible subgroup analyses? If not, then rate down for inconsistency. Otherwise, present results separately for each subgroup and evaluate inconsistency separately.</w:t>
      </w:r>
    </w:p>
    <w:p>
      <w:pPr>
        <w:pStyle w:val="FirstParagraph"/>
      </w:pPr>
      <w:r>
        <w:t xml:space="preserve">The tool will roughly follow the same plan (i.e., it should give the same results), but have a slightly different order of operations.</w:t>
      </w:r>
    </w:p>
    <w:bookmarkStart w:id="83" w:name="overlap-of-cis"/>
    <w:p>
      <w:pPr>
        <w:pStyle w:val="Heading2"/>
      </w:pPr>
      <w:r>
        <w:t xml:space="preserve">5.1 Overlap of CIs</w:t>
      </w:r>
    </w:p>
    <w:p>
      <w:pPr>
        <w:pStyle w:val="FirstParagraph"/>
      </w:pPr>
      <w:r>
        <w:t xml:space="preserve">We will first consider how much the confidence intervals are overlapping. The reason for not starting with</w:t>
      </w:r>
      <w:r>
        <w:t xml:space="preserve"> </w:t>
      </w:r>
      <w:r>
        <w:t xml:space="preserve">‘important’</w:t>
      </w:r>
      <w:r>
        <w:t xml:space="preserve"> </w:t>
      </w:r>
      <w:r>
        <w:t xml:space="preserve">differences in point estimates, is that this its hard to categorise. Furthermore, overlapping of confidence intervals and variation regarding a user-defined threshold will likely cover presence of inconsistency.</w:t>
      </w:r>
    </w:p>
    <w:p>
      <w:pPr>
        <w:pStyle w:val="BodyText"/>
      </w:pPr>
      <w:r>
        <w:t xml:space="preserve">To quantitatively assess overlap of confidence intervals, rather than visually, we will consider for each potential effect estimate, what proportion of confidence intervals included this value. The spread of these proportions will then be assessed and measured against some types of thresholds (which will be defined by using the data collected from previous reviews).</w:t>
      </w:r>
    </w:p>
    <w:bookmarkEnd w:id="83"/>
    <w:bookmarkStart w:id="84" w:name="X81f4c931d884751fe4df0d505591d6eb5493073"/>
    <w:p>
      <w:pPr>
        <w:pStyle w:val="Heading2"/>
      </w:pPr>
      <w:r>
        <w:t xml:space="preserve">5.2 Variation in point estimates regarding threshold</w:t>
      </w:r>
    </w:p>
    <w:bookmarkEnd w:id="84"/>
    <w:bookmarkStart w:id="85" w:name="subgroup-consideration"/>
    <w:p>
      <w:pPr>
        <w:pStyle w:val="Heading2"/>
      </w:pPr>
      <w:r>
        <w:t xml:space="preserve">5.3 Subgroup consideration</w:t>
      </w:r>
    </w:p>
    <w:bookmarkEnd w:id="85"/>
    <w:bookmarkEnd w:id="86"/>
    <w:bookmarkStart w:id="99" w:name="references"/>
    <w:p>
      <w:pPr>
        <w:pStyle w:val="Heading1"/>
      </w:pPr>
      <w:r>
        <w:t xml:space="preserve">6. References</w:t>
      </w:r>
    </w:p>
    <w:bookmarkStart w:id="98" w:name="refs"/>
    <w:bookmarkStart w:id="88" w:name="ref-guyatt2025"/>
    <w:p>
      <w:pPr>
        <w:pStyle w:val="Bibliography"/>
      </w:pPr>
      <w:r>
        <w:t xml:space="preserve">1.</w:t>
      </w:r>
      <w:r>
        <w:t xml:space="preserve"> </w:t>
      </w:r>
      <w:r>
        <w:t xml:space="preserve">	</w:t>
      </w:r>
      <w:r>
        <w:t xml:space="preserve">Guyatt G, Iorio A, De Beer H, et al. Core GRADE 5: Rating certainty of evidence</w:t>
      </w:r>
      <w:r>
        <w:t xml:space="preserve">assessing indirectness.</w:t>
      </w:r>
      <w:r>
        <w:t xml:space="preserve"> </w:t>
      </w:r>
      <w:r>
        <w:rPr>
          <w:i/>
          <w:iCs/>
        </w:rPr>
        <w:t xml:space="preserve">BMJ</w:t>
      </w:r>
      <w:r>
        <w:t xml:space="preserve">. 2025;389:e083865. doi:</w:t>
      </w:r>
      <w:hyperlink r:id="rId87">
        <w:r>
          <w:rPr>
            <w:rStyle w:val="Hyperlink"/>
          </w:rPr>
          <w:t xml:space="preserve">10.1136/bmj-2024-083865</w:t>
        </w:r>
      </w:hyperlink>
    </w:p>
    <w:bookmarkEnd w:id="88"/>
    <w:bookmarkStart w:id="89" w:name="ref-schünemann2013"/>
    <w:p>
      <w:pPr>
        <w:pStyle w:val="Bibliography"/>
      </w:pPr>
      <w:r>
        <w:t xml:space="preserve">2.</w:t>
      </w:r>
      <w:r>
        <w:t xml:space="preserve"> </w:t>
      </w:r>
      <w:r>
        <w:t xml:space="preserve">	</w:t>
      </w:r>
      <w:r>
        <w:t xml:space="preserve">Schünemann HJ, Brożek J, Guyatt G, Oxman A.</w:t>
      </w:r>
      <w:r>
        <w:t xml:space="preserve"> </w:t>
      </w:r>
      <w:r>
        <w:rPr>
          <w:i/>
          <w:iCs/>
        </w:rPr>
        <w:t xml:space="preserve">GRADE Handbook for Grading Quality of Evidence and Strength of Recommendations. Updated October 2013.</w:t>
      </w:r>
      <w:r>
        <w:t xml:space="preserve">; 2013.</w:t>
      </w:r>
    </w:p>
    <w:bookmarkEnd w:id="89"/>
    <w:bookmarkStart w:id="91" w:name="ref-guyatt2011"/>
    <w:p>
      <w:pPr>
        <w:pStyle w:val="Bibliography"/>
      </w:pPr>
      <w:r>
        <w:t xml:space="preserve">3.</w:t>
      </w:r>
      <w:r>
        <w:t xml:space="preserve"> </w:t>
      </w:r>
      <w:r>
        <w:t xml:space="preserve">	</w:t>
      </w:r>
      <w:r>
        <w:t xml:space="preserve">Guyatt GH, Oxman AD, Kunz R, et al. GRADE guidelines: 8. Rating the quality of evidence–indirectness.</w:t>
      </w:r>
      <w:r>
        <w:t xml:space="preserve"> </w:t>
      </w:r>
      <w:r>
        <w:rPr>
          <w:i/>
          <w:iCs/>
        </w:rPr>
        <w:t xml:space="preserve">J Clin Epidemiol</w:t>
      </w:r>
      <w:r>
        <w:t xml:space="preserve">. 2011;64(12):1303-1310. doi:</w:t>
      </w:r>
      <w:hyperlink r:id="rId90">
        <w:r>
          <w:rPr>
            <w:rStyle w:val="Hyperlink"/>
          </w:rPr>
          <w:t xml:space="preserve">10.1016/j.jclinepi.2011.04.014</w:t>
        </w:r>
      </w:hyperlink>
    </w:p>
    <w:bookmarkEnd w:id="91"/>
    <w:bookmarkStart w:id="92" w:name="ref-guyatt2025a"/>
    <w:p>
      <w:pPr>
        <w:pStyle w:val="Bibliography"/>
      </w:pPr>
      <w:r>
        <w:t xml:space="preserve">4.</w:t>
      </w:r>
      <w:r>
        <w:t xml:space="preserve"> </w:t>
      </w:r>
      <w:r>
        <w:t xml:space="preserve">	</w:t>
      </w:r>
      <w:r>
        <w:t xml:space="preserve">Guyatt G, Iorio A, De Beer H, et al. Core GRADE 5: Rating certainty of evidence</w:t>
      </w:r>
      <w:r>
        <w:t xml:space="preserve">assessing indirectness.</w:t>
      </w:r>
      <w:r>
        <w:t xml:space="preserve"> </w:t>
      </w:r>
      <w:r>
        <w:rPr>
          <w:i/>
          <w:iCs/>
        </w:rPr>
        <w:t xml:space="preserve">BMJ</w:t>
      </w:r>
      <w:r>
        <w:t xml:space="preserve">. 2025;389:e083865. doi:</w:t>
      </w:r>
      <w:hyperlink r:id="rId87">
        <w:r>
          <w:rPr>
            <w:rStyle w:val="Hyperlink"/>
          </w:rPr>
          <w:t xml:space="preserve">10.1136/bmj-2024-083865</w:t>
        </w:r>
      </w:hyperlink>
    </w:p>
    <w:bookmarkEnd w:id="92"/>
    <w:bookmarkStart w:id="94" w:name="ref-stewart2015"/>
    <w:p>
      <w:pPr>
        <w:pStyle w:val="Bibliography"/>
      </w:pPr>
      <w:r>
        <w:t xml:space="preserve">5.</w:t>
      </w:r>
      <w:r>
        <w:t xml:space="preserve"> </w:t>
      </w:r>
      <w:r>
        <w:t xml:space="preserve">	</w:t>
      </w:r>
      <w:r>
        <w:t xml:space="preserve">Stewart GB, Higgins J, Schünemann HJ, Meader N. The use of bayesian networks to assess the quality of evidence from research synthesis: 1.</w:t>
      </w:r>
      <w:r>
        <w:t xml:space="preserve"> </w:t>
      </w:r>
      <w:r>
        <w:rPr>
          <w:i/>
          <w:iCs/>
        </w:rPr>
        <w:t xml:space="preserve">PLoS ONE</w:t>
      </w:r>
      <w:r>
        <w:t xml:space="preserve">. 2015;10(4):e0114497. doi:</w:t>
      </w:r>
      <w:hyperlink r:id="rId93">
        <w:r>
          <w:rPr>
            <w:rStyle w:val="Hyperlink"/>
          </w:rPr>
          <w:t xml:space="preserve">10.1371/journal.pone.0114497</w:t>
        </w:r>
      </w:hyperlink>
    </w:p>
    <w:bookmarkEnd w:id="94"/>
    <w:bookmarkStart w:id="95" w:name="ref-schünemann2013a"/>
    <w:p>
      <w:pPr>
        <w:pStyle w:val="Bibliography"/>
      </w:pPr>
      <w:r>
        <w:t xml:space="preserve">6.</w:t>
      </w:r>
      <w:r>
        <w:t xml:space="preserve"> </w:t>
      </w:r>
      <w:r>
        <w:t xml:space="preserve">	</w:t>
      </w:r>
      <w:r>
        <w:t xml:space="preserve">Schünemann HJ, Brożek J, Guyatt G, Oxman A.</w:t>
      </w:r>
      <w:r>
        <w:t xml:space="preserve"> </w:t>
      </w:r>
      <w:r>
        <w:rPr>
          <w:i/>
          <w:iCs/>
        </w:rPr>
        <w:t xml:space="preserve">GRADE Handbook for Grading Quality of Evidence and Strength of Recommendations. Updated October 2013.</w:t>
      </w:r>
      <w:r>
        <w:t xml:space="preserve">; 2013.</w:t>
      </w:r>
    </w:p>
    <w:bookmarkEnd w:id="95"/>
    <w:bookmarkStart w:id="97" w:name="ref-guyatt2025b"/>
    <w:p>
      <w:pPr>
        <w:pStyle w:val="Bibliography"/>
      </w:pPr>
      <w:r>
        <w:t xml:space="preserve">7.</w:t>
      </w:r>
      <w:r>
        <w:t xml:space="preserve"> </w:t>
      </w:r>
      <w:r>
        <w:t xml:space="preserve">	</w:t>
      </w:r>
      <w:r>
        <w:t xml:space="preserve">Guyatt G, Schandelmaier S, Brignardello-Petersen R, et al. Core GRADE 3: Rating certainty of evidence</w:t>
      </w:r>
      <w:r>
        <w:t xml:space="preserve">assessing inconsistency.</w:t>
      </w:r>
      <w:r>
        <w:t xml:space="preserve"> </w:t>
      </w:r>
      <w:r>
        <w:rPr>
          <w:i/>
          <w:iCs/>
        </w:rPr>
        <w:t xml:space="preserve">BMJ</w:t>
      </w:r>
      <w:r>
        <w:t xml:space="preserve">. 2025;389:e081905. doi:</w:t>
      </w:r>
      <w:hyperlink r:id="rId96">
        <w:r>
          <w:rPr>
            <w:rStyle w:val="Hyperlink"/>
          </w:rPr>
          <w:t xml:space="preserve">10.1136/bmj-2024-081905</w:t>
        </w:r>
      </w:hyperlink>
    </w:p>
    <w:bookmarkEnd w:id="97"/>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5" Target="media/rId75.png" /><Relationship Type="http://schemas.openxmlformats.org/officeDocument/2006/relationships/image" Id="rId52" Target="media/rId52.png" /><Relationship Type="http://schemas.openxmlformats.org/officeDocument/2006/relationships/image" Id="rId48" Target="media/rId48.png" /><Relationship Type="http://schemas.openxmlformats.org/officeDocument/2006/relationships/image" Id="rId72" Target="media/rId72.png" /><Relationship Type="http://schemas.openxmlformats.org/officeDocument/2006/relationships/hyperlink" Id="rId90" Target="https://doi.org/10.1016/j.jclinepi.2011.04.014" TargetMode="External" /><Relationship Type="http://schemas.openxmlformats.org/officeDocument/2006/relationships/hyperlink" Id="rId96" Target="https://doi.org/10.1136/bmj-2024-081905" TargetMode="External" /><Relationship Type="http://schemas.openxmlformats.org/officeDocument/2006/relationships/hyperlink" Id="rId87" Target="https://doi.org/10.1136/bmj-2024-083865" TargetMode="External" /><Relationship Type="http://schemas.openxmlformats.org/officeDocument/2006/relationships/hyperlink" Id="rId93" Target="https://doi.org/10.1371/journal.pone.0114497" TargetMode="External" /><Relationship Type="http://schemas.openxmlformats.org/officeDocument/2006/relationships/hyperlink" Id="rId38" Target="https://www.cochranelibrary.com/cdsr/doi/10.1002/14651858.CD006466.pub7/full" TargetMode="External" /><Relationship Type="http://schemas.openxmlformats.org/officeDocument/2006/relationships/hyperlink" Id="rId36" Target="https://www.cochranelibrary.com/cdsr/doi/10.1002/14651858.CD013257.pub3" TargetMode="External" /><Relationship Type="http://schemas.openxmlformats.org/officeDocument/2006/relationships/hyperlink" Id="rId22" Target="https://www.cochranelibrary.com/cdsr/doi/10.1002/14651858.CD013513.pub3/full" TargetMode="External" /><Relationship Type="http://schemas.openxmlformats.org/officeDocument/2006/relationships/hyperlink" Id="rId26" Target="https://www.cochranelibrary.com/cdsr/doi/10.1002/14651858.CD013600.pub6/full" TargetMode="External" /><Relationship Type="http://schemas.openxmlformats.org/officeDocument/2006/relationships/hyperlink" Id="rId40" Target="https://www.cochranelibrary.com/cdsr/doi/10.1002/14651858.CD014962.pub2/full" TargetMode="External" /><Relationship Type="http://schemas.openxmlformats.org/officeDocument/2006/relationships/hyperlink" Id="rId42" Target="https://www.cochranelibrary.com/cdsr/doi/10.1002/14651858.CD014963.pub2/full" TargetMode="External" /><Relationship Type="http://schemas.openxmlformats.org/officeDocument/2006/relationships/hyperlink" Id="rId32" Target="https://www.cochranelibrary.com/cdsr/doi/10.1002/14651858.CD015017.pub3" TargetMode="External" /><Relationship Type="http://schemas.openxmlformats.org/officeDocument/2006/relationships/hyperlink" Id="rId20" Target="https://www.cochranelibrary.com/cdsr/doi/10.1002/14651858.CD015025/full" TargetMode="External" /><Relationship Type="http://schemas.openxmlformats.org/officeDocument/2006/relationships/hyperlink" Id="rId24" Target="https://www.cochranelibrary.com/cdsr/doi/10.1002/14651858.CD015045/full" TargetMode="External" /><Relationship Type="http://schemas.openxmlformats.org/officeDocument/2006/relationships/hyperlink" Id="rId30" Target="https://www.cochranelibrary.com/cdsr/doi/10.1002/14651858.CD015125/full" TargetMode="External" /><Relationship Type="http://schemas.openxmlformats.org/officeDocument/2006/relationships/hyperlink" Id="rId34" Target="https://www.cochranelibrary.com/cdsr/doi/10.1002/14651858.CD015209/full" TargetMode="External" /><Relationship Type="http://schemas.openxmlformats.org/officeDocument/2006/relationships/hyperlink" Id="rId28" Target="https://www.cochranelibrary.com/cdsr/doi/10.1002/14651858.CD015391/full" TargetMode="External" /></Relationships>
</file>

<file path=word/_rels/footnotes.xml.rels><?xml version="1.0" encoding="UTF-8"?><Relationships xmlns="http://schemas.openxmlformats.org/package/2006/relationships"><Relationship Type="http://schemas.openxmlformats.org/officeDocument/2006/relationships/hyperlink" Id="rId90" Target="https://doi.org/10.1016/j.jclinepi.2011.04.014" TargetMode="External" /><Relationship Type="http://schemas.openxmlformats.org/officeDocument/2006/relationships/hyperlink" Id="rId96" Target="https://doi.org/10.1136/bmj-2024-081905" TargetMode="External" /><Relationship Type="http://schemas.openxmlformats.org/officeDocument/2006/relationships/hyperlink" Id="rId87" Target="https://doi.org/10.1136/bmj-2024-083865" TargetMode="External" /><Relationship Type="http://schemas.openxmlformats.org/officeDocument/2006/relationships/hyperlink" Id="rId93" Target="https://doi.org/10.1371/journal.pone.0114497" TargetMode="External" /><Relationship Type="http://schemas.openxmlformats.org/officeDocument/2006/relationships/hyperlink" Id="rId38" Target="https://www.cochranelibrary.com/cdsr/doi/10.1002/14651858.CD006466.pub7/full" TargetMode="External" /><Relationship Type="http://schemas.openxmlformats.org/officeDocument/2006/relationships/hyperlink" Id="rId36" Target="https://www.cochranelibrary.com/cdsr/doi/10.1002/14651858.CD013257.pub3" TargetMode="External" /><Relationship Type="http://schemas.openxmlformats.org/officeDocument/2006/relationships/hyperlink" Id="rId22" Target="https://www.cochranelibrary.com/cdsr/doi/10.1002/14651858.CD013513.pub3/full" TargetMode="External" /><Relationship Type="http://schemas.openxmlformats.org/officeDocument/2006/relationships/hyperlink" Id="rId26" Target="https://www.cochranelibrary.com/cdsr/doi/10.1002/14651858.CD013600.pub6/full" TargetMode="External" /><Relationship Type="http://schemas.openxmlformats.org/officeDocument/2006/relationships/hyperlink" Id="rId40" Target="https://www.cochranelibrary.com/cdsr/doi/10.1002/14651858.CD014962.pub2/full" TargetMode="External" /><Relationship Type="http://schemas.openxmlformats.org/officeDocument/2006/relationships/hyperlink" Id="rId42" Target="https://www.cochranelibrary.com/cdsr/doi/10.1002/14651858.CD014963.pub2/full" TargetMode="External" /><Relationship Type="http://schemas.openxmlformats.org/officeDocument/2006/relationships/hyperlink" Id="rId32" Target="https://www.cochranelibrary.com/cdsr/doi/10.1002/14651858.CD015017.pub3" TargetMode="External" /><Relationship Type="http://schemas.openxmlformats.org/officeDocument/2006/relationships/hyperlink" Id="rId20" Target="https://www.cochranelibrary.com/cdsr/doi/10.1002/14651858.CD015025/full" TargetMode="External" /><Relationship Type="http://schemas.openxmlformats.org/officeDocument/2006/relationships/hyperlink" Id="rId24" Target="https://www.cochranelibrary.com/cdsr/doi/10.1002/14651858.CD015045/full" TargetMode="External" /><Relationship Type="http://schemas.openxmlformats.org/officeDocument/2006/relationships/hyperlink" Id="rId30" Target="https://www.cochranelibrary.com/cdsr/doi/10.1002/14651858.CD015125/full" TargetMode="External" /><Relationship Type="http://schemas.openxmlformats.org/officeDocument/2006/relationships/hyperlink" Id="rId34" Target="https://www.cochranelibrary.com/cdsr/doi/10.1002/14651858.CD015209/full" TargetMode="External" /><Relationship Type="http://schemas.openxmlformats.org/officeDocument/2006/relationships/hyperlink" Id="rId28" Target="https://www.cochranelibrary.com/cdsr/doi/10.1002/14651858.CD015391/ful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Certainty tool</dc:title>
  <dc:creator>Clareece Nevill</dc:creator>
  <cp:keywords/>
  <dcterms:created xsi:type="dcterms:W3CDTF">2025-10-29T13:39:57Z</dcterms:created>
  <dcterms:modified xsi:type="dcterms:W3CDTF">2025-10-29T13:39:57Z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references-certainty.bib</vt:lpwstr>
  </property>
  <property fmtid="{D5CDD505-2E9C-101B-9397-08002B2CF9AE}" pid="5" name="by-author">
    <vt:lpwstr/>
  </property>
  <property fmtid="{D5CDD505-2E9C-101B-9397-08002B2CF9AE}" pid="6" name="crossref">
    <vt:lpwstr/>
  </property>
  <property fmtid="{D5CDD505-2E9C-101B-9397-08002B2CF9AE}" pid="7" name="csl">
    <vt:lpwstr>american-medical-association.csl</vt:lpwstr>
  </property>
  <property fmtid="{D5CDD505-2E9C-101B-9397-08002B2CF9AE}" pid="8" name="editor">
    <vt:lpwstr>visual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