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28047" w14:textId="77777777" w:rsidR="00CE4942" w:rsidRDefault="00FF0044">
      <w:pPr>
        <w:pStyle w:val="Heading1"/>
        <w:ind w:left="4126" w:right="4126"/>
        <w:jc w:val="center"/>
      </w:pPr>
      <w:r>
        <w:rPr>
          <w:w w:val="90"/>
          <w:u w:val="thick"/>
        </w:rPr>
        <w:t>Business</w:t>
      </w:r>
      <w:r>
        <w:rPr>
          <w:spacing w:val="7"/>
          <w:u w:val="thick"/>
        </w:rPr>
        <w:t xml:space="preserve"> </w:t>
      </w:r>
      <w:r>
        <w:rPr>
          <w:spacing w:val="-2"/>
          <w:u w:val="thick"/>
        </w:rPr>
        <w:t>Summary</w:t>
      </w:r>
    </w:p>
    <w:p w14:paraId="39B00F04" w14:textId="77777777" w:rsidR="00CE4942" w:rsidRDefault="00CE4942">
      <w:pPr>
        <w:pStyle w:val="BodyText"/>
        <w:spacing w:before="1"/>
        <w:rPr>
          <w:b/>
          <w:i w:val="0"/>
          <w:sz w:val="39"/>
        </w:rPr>
      </w:pPr>
    </w:p>
    <w:p w14:paraId="671C08BE" w14:textId="089ADBC9" w:rsidR="00CE4942" w:rsidRDefault="00C23706">
      <w:pPr>
        <w:pStyle w:val="BodyText"/>
        <w:spacing w:before="4"/>
        <w:rPr>
          <w:sz w:val="18"/>
        </w:rPr>
      </w:pPr>
      <w:r>
        <w:rPr>
          <w:noProof/>
        </w:rPr>
        <mc:AlternateContent>
          <mc:Choice Requires="wps">
            <w:drawing>
              <wp:anchor distT="0" distB="0" distL="0" distR="0" simplePos="0" relativeHeight="487587840" behindDoc="1" locked="0" layoutInCell="1" allowOverlap="1" wp14:anchorId="7A271174" wp14:editId="7225873F">
                <wp:simplePos x="0" y="0"/>
                <wp:positionH relativeFrom="page">
                  <wp:posOffset>596900</wp:posOffset>
                </wp:positionH>
                <wp:positionV relativeFrom="paragraph">
                  <wp:posOffset>492760</wp:posOffset>
                </wp:positionV>
                <wp:extent cx="6578600" cy="1270"/>
                <wp:effectExtent l="0" t="0" r="12700" b="11430"/>
                <wp:wrapTopAndBottom/>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591CE" id="docshape1" o:spid="_x0000_s1026" style="position:absolute;margin-left:47pt;margin-top:38.8pt;width:51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mEqw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" path="m,l10360,e" filled="f" strokecolor="#878787" strokeweight="1pt">
                <v:path arrowok="t" o:connecttype="custom" o:connectlocs="0,0;6578600,0" o:connectangles="0,0"/>
                <w10:wrap type="topAndBottom" anchorx="page"/>
              </v:shape>
            </w:pict>
          </mc:Fallback>
        </mc:AlternateContent>
      </w:r>
      <w:r>
        <w:t>Berger Paints is an Indian multinational paint manufacturing company established in 1923. With a strong presence in the Indian and international markets, the company is a leading player in the decorative, industrial, and protective coatings industry.</w:t>
      </w:r>
    </w:p>
    <w:p w14:paraId="398843B4" w14:textId="45B9CC4C" w:rsidR="00CE4942" w:rsidRDefault="00FF0044">
      <w:pPr>
        <w:pStyle w:val="Heading1"/>
        <w:spacing w:before="142"/>
      </w:pPr>
      <w:r>
        <w:rPr>
          <w:w w:val="90"/>
        </w:rPr>
        <w:t>Company</w:t>
      </w:r>
      <w:r>
        <w:rPr>
          <w:spacing w:val="20"/>
        </w:rPr>
        <w:t xml:space="preserve"> </w:t>
      </w:r>
      <w:r>
        <w:rPr>
          <w:spacing w:val="-2"/>
          <w:w w:val="95"/>
        </w:rPr>
        <w:t>overview</w:t>
      </w:r>
    </w:p>
    <w:p w14:paraId="6655EA0D" w14:textId="132D453F" w:rsidR="00CE4942" w:rsidRDefault="004635BA">
      <w:pPr>
        <w:pStyle w:val="BodyText"/>
        <w:spacing w:before="11"/>
        <w:rPr>
          <w:i w:val="0"/>
          <w:sz w:val="22"/>
        </w:rPr>
      </w:pPr>
      <w:r>
        <w:rPr>
          <w:noProof/>
        </w:rPr>
        <mc:AlternateContent>
          <mc:Choice Requires="wps">
            <w:drawing>
              <wp:anchor distT="0" distB="0" distL="0" distR="0" simplePos="0" relativeHeight="487588352" behindDoc="1" locked="0" layoutInCell="1" allowOverlap="1" wp14:anchorId="66257D82" wp14:editId="4066BCA9">
                <wp:simplePos x="0" y="0"/>
                <wp:positionH relativeFrom="page">
                  <wp:posOffset>635000</wp:posOffset>
                </wp:positionH>
                <wp:positionV relativeFrom="paragraph">
                  <wp:posOffset>1074420</wp:posOffset>
                </wp:positionV>
                <wp:extent cx="6578600" cy="1270"/>
                <wp:effectExtent l="0" t="0" r="12700" b="11430"/>
                <wp:wrapTopAndBottom/>
                <wp:docPr id="5"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DFA7D" id="docshape2" o:spid="_x0000_s1026" style="position:absolute;margin-left:50pt;margin-top:84.6pt;width:51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jjqw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" path="m,l10360,e" filled="f" strokecolor="#878787" strokeweight="1pt">
                <v:path arrowok="t" o:connecttype="custom" o:connectlocs="0,0;6578600,0" o:connectangles="0,0"/>
                <w10:wrap type="topAndBottom" anchorx="page"/>
              </v:shape>
            </w:pict>
          </mc:Fallback>
        </mc:AlternateContent>
      </w:r>
      <w:r>
        <w:t>Berger Paints India is a leading player in the Indian paint industry, known for its diverse range of decorative paints, industrial coatings, and protective solutions. With robust revenue growth, strong cost management, and an enhanced EBITDA margin, the company demonstrates its market resilience and profitability. Leveraging its brand reputation, innovation, and commitment to sustainability, Berger Paints capitalizes on growth opportunities while addressing industry challenges. The company operates across India, fostering a dynamic work environment, empowering its substantial team to drive excellence and innovation.</w:t>
      </w:r>
    </w:p>
    <w:p w14:paraId="45463D35" w14:textId="0BD3C9D3" w:rsidR="00CE4942" w:rsidRDefault="00FF0044" w:rsidP="004635BA">
      <w:pPr>
        <w:pStyle w:val="BodyText"/>
        <w:spacing w:before="135" w:line="288" w:lineRule="auto"/>
        <w:ind w:left="133" w:right="58"/>
        <w:rPr>
          <w:color w:val="999999"/>
          <w:spacing w:val="-2"/>
        </w:rPr>
      </w:pPr>
      <w:r>
        <w:rPr>
          <w:b/>
          <w:i w:val="0"/>
          <w:spacing w:val="-2"/>
          <w:sz w:val="28"/>
        </w:rPr>
        <w:t>Financial</w:t>
      </w:r>
      <w:r>
        <w:rPr>
          <w:b/>
          <w:i w:val="0"/>
          <w:spacing w:val="-16"/>
          <w:sz w:val="28"/>
        </w:rPr>
        <w:t xml:space="preserve"> </w:t>
      </w:r>
      <w:r>
        <w:rPr>
          <w:b/>
          <w:i w:val="0"/>
          <w:spacing w:val="-2"/>
          <w:sz w:val="28"/>
        </w:rPr>
        <w:t>summary</w:t>
      </w:r>
      <w:r>
        <w:rPr>
          <w:b/>
          <w:i w:val="0"/>
          <w:spacing w:val="-16"/>
          <w:sz w:val="28"/>
        </w:rPr>
        <w:t xml:space="preserve"> </w:t>
      </w:r>
    </w:p>
    <w:p w14:paraId="0746547A" w14:textId="3FADBE89" w:rsidR="004635BA" w:rsidRDefault="004635BA" w:rsidP="004635BA">
      <w:pPr>
        <w:pStyle w:val="BodyText"/>
        <w:spacing w:before="135" w:line="288" w:lineRule="auto"/>
        <w:ind w:left="133" w:right="58"/>
      </w:pPr>
      <w:r>
        <w:t>Berger Paints demonstrated remarkable Year-over-Year (YoY) growth from 2021 to 2023, with consistent revenue expansion. Estimated revenues rose from INR 67,726 crores to INR 105,678 crores, reflecting YoY growth rates of approximately 28.45% and 21.54% for 2021-2022 and 2022-2023, respectively. The company's effective cost management and business expansion efforts were evident in the increasing cost of goods sold (COGS) and selling, general, and administrative expenses (SG&amp;A). Moreover, Berger Paints achieved higher EBITDA of INR 14,872 crores in 2023, compared to INR 11,736 crores in 2021, accompanied by an improved EBITDA margin of 15.30% from 11.38% in 2021. These positive YoY growth trends indicate the company's strong performance, operational efficiency, and profitability during the three-year period.</w:t>
      </w:r>
    </w:p>
    <w:p w14:paraId="32A6FEBC" w14:textId="77777777" w:rsidR="00CE4942" w:rsidRDefault="00CE4942">
      <w:pPr>
        <w:pStyle w:val="BodyText"/>
        <w:spacing w:before="10"/>
        <w:rPr>
          <w:sz w:val="1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00"/>
        <w:gridCol w:w="1640"/>
        <w:gridCol w:w="1620"/>
        <w:gridCol w:w="1640"/>
        <w:gridCol w:w="1640"/>
        <w:gridCol w:w="1640"/>
      </w:tblGrid>
      <w:tr w:rsidR="00CE4942" w14:paraId="558AEFA5" w14:textId="77777777">
        <w:trPr>
          <w:trHeight w:val="700"/>
        </w:trPr>
        <w:tc>
          <w:tcPr>
            <w:tcW w:w="2300" w:type="dxa"/>
            <w:tcBorders>
              <w:top w:val="nil"/>
              <w:left w:val="nil"/>
            </w:tcBorders>
          </w:tcPr>
          <w:p w14:paraId="4B873C07" w14:textId="77777777" w:rsidR="00CE4942" w:rsidRDefault="00CE4942">
            <w:pPr>
              <w:pStyle w:val="TableParagraph"/>
              <w:spacing w:before="0"/>
              <w:rPr>
                <w:rFonts w:ascii="Times New Roman"/>
                <w:sz w:val="20"/>
              </w:rPr>
            </w:pPr>
          </w:p>
        </w:tc>
        <w:tc>
          <w:tcPr>
            <w:tcW w:w="1640" w:type="dxa"/>
            <w:shd w:val="clear" w:color="auto" w:fill="154611"/>
          </w:tcPr>
          <w:p w14:paraId="1E16A832" w14:textId="1A81A2B3" w:rsidR="00CE4942" w:rsidRDefault="00C23706">
            <w:pPr>
              <w:pStyle w:val="TableParagraph"/>
              <w:spacing w:before="120"/>
              <w:ind w:left="435"/>
              <w:rPr>
                <w:b/>
                <w:sz w:val="20"/>
              </w:rPr>
            </w:pPr>
            <w:r>
              <w:rPr>
                <w:b/>
                <w:color w:val="FFFFFF"/>
                <w:spacing w:val="-8"/>
                <w:sz w:val="20"/>
              </w:rPr>
              <w:t>2023</w:t>
            </w:r>
            <w:r w:rsidR="00FF0044">
              <w:rPr>
                <w:b/>
                <w:color w:val="FFFFFF"/>
                <w:spacing w:val="-4"/>
                <w:sz w:val="20"/>
              </w:rPr>
              <w:t xml:space="preserve"> </w:t>
            </w:r>
            <w:r w:rsidR="00FF0044">
              <w:rPr>
                <w:b/>
                <w:color w:val="FFFFFF"/>
                <w:spacing w:val="-8"/>
                <w:sz w:val="20"/>
              </w:rPr>
              <w:t>X-</w:t>
            </w:r>
            <w:r w:rsidR="00FF0044">
              <w:rPr>
                <w:b/>
                <w:color w:val="FFFFFF"/>
                <w:spacing w:val="-10"/>
                <w:sz w:val="20"/>
              </w:rPr>
              <w:t>3</w:t>
            </w:r>
          </w:p>
        </w:tc>
        <w:tc>
          <w:tcPr>
            <w:tcW w:w="1620" w:type="dxa"/>
            <w:shd w:val="clear" w:color="auto" w:fill="154611"/>
          </w:tcPr>
          <w:p w14:paraId="663F3CDC" w14:textId="67EC9BC1" w:rsidR="00CE4942" w:rsidRDefault="00C23706">
            <w:pPr>
              <w:pStyle w:val="TableParagraph"/>
              <w:spacing w:before="120"/>
              <w:ind w:left="430"/>
              <w:rPr>
                <w:b/>
                <w:sz w:val="20"/>
              </w:rPr>
            </w:pPr>
            <w:r>
              <w:rPr>
                <w:b/>
                <w:color w:val="FFFFFF"/>
                <w:spacing w:val="-8"/>
                <w:sz w:val="20"/>
              </w:rPr>
              <w:t>2022</w:t>
            </w:r>
            <w:r w:rsidR="00FF0044">
              <w:rPr>
                <w:b/>
                <w:color w:val="FFFFFF"/>
                <w:spacing w:val="-4"/>
                <w:sz w:val="20"/>
              </w:rPr>
              <w:t xml:space="preserve"> </w:t>
            </w:r>
            <w:r w:rsidR="00FF0044">
              <w:rPr>
                <w:b/>
                <w:color w:val="FFFFFF"/>
                <w:spacing w:val="-8"/>
                <w:sz w:val="20"/>
              </w:rPr>
              <w:t>X-</w:t>
            </w:r>
            <w:r w:rsidR="00FF0044">
              <w:rPr>
                <w:b/>
                <w:color w:val="FFFFFF"/>
                <w:spacing w:val="-10"/>
                <w:sz w:val="20"/>
              </w:rPr>
              <w:t>2</w:t>
            </w:r>
          </w:p>
        </w:tc>
        <w:tc>
          <w:tcPr>
            <w:tcW w:w="1640" w:type="dxa"/>
            <w:shd w:val="clear" w:color="auto" w:fill="154611"/>
          </w:tcPr>
          <w:p w14:paraId="230EB4B1" w14:textId="5BA1F087" w:rsidR="00CE4942" w:rsidRDefault="00C23706">
            <w:pPr>
              <w:pStyle w:val="TableParagraph"/>
              <w:spacing w:before="120"/>
              <w:ind w:left="445"/>
              <w:rPr>
                <w:b/>
                <w:sz w:val="20"/>
              </w:rPr>
            </w:pPr>
            <w:r>
              <w:rPr>
                <w:b/>
                <w:color w:val="FFFFFF"/>
                <w:spacing w:val="-8"/>
                <w:sz w:val="20"/>
              </w:rPr>
              <w:t>2021</w:t>
            </w:r>
            <w:r w:rsidR="00FF0044">
              <w:rPr>
                <w:b/>
                <w:color w:val="FFFFFF"/>
                <w:spacing w:val="-4"/>
                <w:sz w:val="20"/>
              </w:rPr>
              <w:t xml:space="preserve"> </w:t>
            </w:r>
            <w:r w:rsidR="00FF0044">
              <w:rPr>
                <w:b/>
                <w:color w:val="FFFFFF"/>
                <w:spacing w:val="-8"/>
                <w:sz w:val="20"/>
              </w:rPr>
              <w:t>X-</w:t>
            </w:r>
            <w:r w:rsidR="00FF0044">
              <w:rPr>
                <w:b/>
                <w:color w:val="FFFFFF"/>
                <w:spacing w:val="-10"/>
                <w:sz w:val="20"/>
              </w:rPr>
              <w:t>1</w:t>
            </w:r>
          </w:p>
        </w:tc>
        <w:tc>
          <w:tcPr>
            <w:tcW w:w="1640" w:type="dxa"/>
            <w:shd w:val="clear" w:color="auto" w:fill="154611"/>
          </w:tcPr>
          <w:p w14:paraId="0636ABF1" w14:textId="614A73D7" w:rsidR="00CE4942" w:rsidRDefault="00C23706">
            <w:pPr>
              <w:pStyle w:val="TableParagraph"/>
              <w:spacing w:before="120"/>
              <w:ind w:left="287" w:right="266"/>
              <w:jc w:val="center"/>
              <w:rPr>
                <w:b/>
                <w:sz w:val="20"/>
              </w:rPr>
            </w:pPr>
            <w:r>
              <w:rPr>
                <w:b/>
                <w:color w:val="FFFFFF"/>
                <w:spacing w:val="-10"/>
                <w:sz w:val="20"/>
              </w:rPr>
              <w:t>2024</w:t>
            </w:r>
            <w:r w:rsidR="00FF0044">
              <w:rPr>
                <w:b/>
                <w:color w:val="FFFFFF"/>
                <w:spacing w:val="1"/>
                <w:sz w:val="20"/>
              </w:rPr>
              <w:t xml:space="preserve"> </w:t>
            </w:r>
            <w:r w:rsidR="00FF0044">
              <w:rPr>
                <w:b/>
                <w:color w:val="FFFFFF"/>
                <w:spacing w:val="-10"/>
                <w:sz w:val="20"/>
              </w:rPr>
              <w:t>X</w:t>
            </w:r>
          </w:p>
          <w:p w14:paraId="7A6EF485" w14:textId="77777777" w:rsidR="00CE4942" w:rsidRDefault="00FF0044">
            <w:pPr>
              <w:pStyle w:val="TableParagraph"/>
              <w:spacing w:before="10"/>
              <w:ind w:left="287" w:right="266"/>
              <w:jc w:val="center"/>
              <w:rPr>
                <w:sz w:val="20"/>
              </w:rPr>
            </w:pPr>
            <w:r>
              <w:rPr>
                <w:color w:val="FFFFFF"/>
                <w:spacing w:val="-2"/>
                <w:w w:val="105"/>
                <w:sz w:val="20"/>
              </w:rPr>
              <w:t>(projection)</w:t>
            </w:r>
          </w:p>
        </w:tc>
        <w:tc>
          <w:tcPr>
            <w:tcW w:w="1640" w:type="dxa"/>
            <w:shd w:val="clear" w:color="auto" w:fill="154611"/>
          </w:tcPr>
          <w:p w14:paraId="0DA78675" w14:textId="04EDD790" w:rsidR="00CE4942" w:rsidRDefault="00C23706">
            <w:pPr>
              <w:pStyle w:val="TableParagraph"/>
              <w:spacing w:before="120"/>
              <w:ind w:left="387"/>
              <w:rPr>
                <w:b/>
                <w:sz w:val="20"/>
              </w:rPr>
            </w:pPr>
            <w:r>
              <w:rPr>
                <w:b/>
                <w:color w:val="FFFFFF"/>
                <w:spacing w:val="-8"/>
                <w:sz w:val="20"/>
              </w:rPr>
              <w:t>2025</w:t>
            </w:r>
            <w:r w:rsidR="00FF0044">
              <w:rPr>
                <w:b/>
                <w:color w:val="FFFFFF"/>
                <w:spacing w:val="-6"/>
                <w:sz w:val="20"/>
              </w:rPr>
              <w:t xml:space="preserve"> </w:t>
            </w:r>
            <w:r w:rsidR="00FF0044">
              <w:rPr>
                <w:b/>
                <w:color w:val="FFFFFF"/>
                <w:spacing w:val="-8"/>
                <w:sz w:val="20"/>
              </w:rPr>
              <w:t>X</w:t>
            </w:r>
            <w:r w:rsidR="00FF0044">
              <w:rPr>
                <w:b/>
                <w:color w:val="FFFFFF"/>
                <w:spacing w:val="-6"/>
                <w:sz w:val="20"/>
              </w:rPr>
              <w:t xml:space="preserve"> </w:t>
            </w:r>
            <w:r w:rsidR="00FF0044">
              <w:rPr>
                <w:b/>
                <w:color w:val="FFFFFF"/>
                <w:spacing w:val="-8"/>
                <w:sz w:val="20"/>
              </w:rPr>
              <w:t>+1</w:t>
            </w:r>
          </w:p>
          <w:p w14:paraId="6EDDFEF5" w14:textId="77777777" w:rsidR="00CE4942" w:rsidRDefault="00FF0044">
            <w:pPr>
              <w:pStyle w:val="TableParagraph"/>
              <w:spacing w:before="10"/>
              <w:ind w:left="295"/>
              <w:rPr>
                <w:sz w:val="20"/>
              </w:rPr>
            </w:pPr>
            <w:r>
              <w:rPr>
                <w:color w:val="FFFFFF"/>
                <w:spacing w:val="-2"/>
                <w:w w:val="105"/>
                <w:sz w:val="20"/>
              </w:rPr>
              <w:t>(Projection)</w:t>
            </w:r>
          </w:p>
        </w:tc>
      </w:tr>
      <w:tr w:rsidR="00C03AFD" w14:paraId="3E116ADA" w14:textId="77777777" w:rsidTr="00A32C8F">
        <w:trPr>
          <w:trHeight w:val="439"/>
        </w:trPr>
        <w:tc>
          <w:tcPr>
            <w:tcW w:w="2300" w:type="dxa"/>
          </w:tcPr>
          <w:p w14:paraId="4E18637C" w14:textId="77777777" w:rsidR="00C03AFD" w:rsidRDefault="00C03AFD" w:rsidP="00C03AFD">
            <w:pPr>
              <w:pStyle w:val="TableParagraph"/>
              <w:ind w:left="108"/>
              <w:rPr>
                <w:sz w:val="20"/>
              </w:rPr>
            </w:pPr>
            <w:r>
              <w:rPr>
                <w:spacing w:val="-2"/>
                <w:sz w:val="20"/>
              </w:rPr>
              <w:t>Revenue</w:t>
            </w:r>
          </w:p>
        </w:tc>
        <w:tc>
          <w:tcPr>
            <w:tcW w:w="1640" w:type="dxa"/>
            <w:vAlign w:val="center"/>
          </w:tcPr>
          <w:p w14:paraId="18AD5E05" w14:textId="481BB8EE" w:rsidR="00C03AFD" w:rsidRPr="00C23706" w:rsidRDefault="00C03AFD" w:rsidP="00C03AFD">
            <w:pPr>
              <w:pStyle w:val="TableParagraph"/>
              <w:spacing w:before="110"/>
              <w:ind w:right="89"/>
              <w:jc w:val="right"/>
              <w:rPr>
                <w:color w:val="1F497D" w:themeColor="text2"/>
                <w:spacing w:val="-5"/>
                <w:sz w:val="20"/>
              </w:rPr>
            </w:pPr>
            <w:r w:rsidRPr="00C23706">
              <w:rPr>
                <w:color w:val="1F497D" w:themeColor="text2"/>
                <w:spacing w:val="-5"/>
                <w:sz w:val="20"/>
              </w:rPr>
              <w:t>105,678</w:t>
            </w:r>
          </w:p>
        </w:tc>
        <w:tc>
          <w:tcPr>
            <w:tcW w:w="1620" w:type="dxa"/>
            <w:vAlign w:val="center"/>
          </w:tcPr>
          <w:p w14:paraId="4DFCB4B7" w14:textId="0D3938A5" w:rsidR="00C03AFD" w:rsidRPr="00C23706" w:rsidRDefault="00C03AFD" w:rsidP="00C03AFD">
            <w:pPr>
              <w:pStyle w:val="TableParagraph"/>
              <w:spacing w:before="110"/>
              <w:ind w:right="74"/>
              <w:jc w:val="right"/>
              <w:rPr>
                <w:color w:val="1F497D" w:themeColor="text2"/>
                <w:spacing w:val="-5"/>
                <w:sz w:val="20"/>
              </w:rPr>
            </w:pPr>
            <w:r w:rsidRPr="00C23706">
              <w:rPr>
                <w:color w:val="1F497D" w:themeColor="text2"/>
                <w:spacing w:val="-5"/>
                <w:sz w:val="20"/>
              </w:rPr>
              <w:t>86,964</w:t>
            </w:r>
          </w:p>
        </w:tc>
        <w:tc>
          <w:tcPr>
            <w:tcW w:w="1640" w:type="dxa"/>
            <w:vAlign w:val="center"/>
          </w:tcPr>
          <w:p w14:paraId="72ADB495" w14:textId="7130889F" w:rsidR="00C03AFD" w:rsidRPr="00C23706" w:rsidRDefault="00C03AFD" w:rsidP="00C03AFD">
            <w:pPr>
              <w:pStyle w:val="TableParagraph"/>
              <w:spacing w:before="110"/>
              <w:ind w:right="79"/>
              <w:jc w:val="right"/>
              <w:rPr>
                <w:color w:val="1F497D" w:themeColor="text2"/>
                <w:spacing w:val="-5"/>
                <w:sz w:val="20"/>
              </w:rPr>
            </w:pPr>
            <w:r w:rsidRPr="00C23706">
              <w:rPr>
                <w:color w:val="1F497D" w:themeColor="text2"/>
                <w:spacing w:val="-5"/>
                <w:sz w:val="20"/>
              </w:rPr>
              <w:t>67,726</w:t>
            </w:r>
          </w:p>
        </w:tc>
        <w:tc>
          <w:tcPr>
            <w:tcW w:w="1640" w:type="dxa"/>
            <w:vAlign w:val="center"/>
          </w:tcPr>
          <w:p w14:paraId="0CF5ABBF" w14:textId="31E1C430" w:rsidR="00C03AFD" w:rsidRPr="00C03AFD" w:rsidRDefault="00C03AFD" w:rsidP="00C03AFD">
            <w:pPr>
              <w:pStyle w:val="TableParagraph"/>
              <w:spacing w:before="110"/>
              <w:ind w:right="79"/>
              <w:jc w:val="right"/>
              <w:rPr>
                <w:color w:val="1F497D" w:themeColor="text2"/>
                <w:spacing w:val="-5"/>
                <w:sz w:val="20"/>
              </w:rPr>
            </w:pPr>
            <w:r w:rsidRPr="00C03AFD">
              <w:rPr>
                <w:color w:val="1F497D" w:themeColor="text2"/>
                <w:spacing w:val="-5"/>
                <w:sz w:val="20"/>
              </w:rPr>
              <w:t>121,727</w:t>
            </w:r>
          </w:p>
        </w:tc>
        <w:tc>
          <w:tcPr>
            <w:tcW w:w="1640" w:type="dxa"/>
            <w:vAlign w:val="center"/>
          </w:tcPr>
          <w:p w14:paraId="47CA7C5A" w14:textId="3670B31B" w:rsidR="00C03AFD" w:rsidRPr="00C03AFD" w:rsidRDefault="00C03AFD" w:rsidP="00C03AFD">
            <w:pPr>
              <w:pStyle w:val="TableParagraph"/>
              <w:spacing w:before="110"/>
              <w:ind w:right="79"/>
              <w:jc w:val="right"/>
              <w:rPr>
                <w:color w:val="1F497D" w:themeColor="text2"/>
                <w:spacing w:val="-5"/>
                <w:sz w:val="20"/>
              </w:rPr>
            </w:pPr>
            <w:r w:rsidRPr="00C03AFD">
              <w:rPr>
                <w:color w:val="1F497D" w:themeColor="text2"/>
                <w:spacing w:val="-5"/>
                <w:sz w:val="20"/>
              </w:rPr>
              <w:t>139,905</w:t>
            </w:r>
          </w:p>
        </w:tc>
      </w:tr>
      <w:tr w:rsidR="00C03AFD" w14:paraId="1011841D" w14:textId="77777777" w:rsidTr="00931DE6">
        <w:trPr>
          <w:trHeight w:val="440"/>
        </w:trPr>
        <w:tc>
          <w:tcPr>
            <w:tcW w:w="2300" w:type="dxa"/>
          </w:tcPr>
          <w:p w14:paraId="3D3D0516" w14:textId="77777777" w:rsidR="00C03AFD" w:rsidRDefault="00C03AFD" w:rsidP="00C03AFD">
            <w:pPr>
              <w:pStyle w:val="TableParagraph"/>
              <w:spacing w:before="110"/>
              <w:ind w:left="108"/>
              <w:rPr>
                <w:sz w:val="20"/>
              </w:rPr>
            </w:pPr>
            <w:r>
              <w:rPr>
                <w:spacing w:val="-4"/>
                <w:sz w:val="20"/>
              </w:rPr>
              <w:t>COGS</w:t>
            </w:r>
          </w:p>
        </w:tc>
        <w:tc>
          <w:tcPr>
            <w:tcW w:w="1640" w:type="dxa"/>
            <w:vAlign w:val="center"/>
          </w:tcPr>
          <w:p w14:paraId="68F8F94D" w14:textId="44F550D5" w:rsidR="00C03AFD" w:rsidRPr="00C23706" w:rsidRDefault="00C03AFD" w:rsidP="00C03AFD">
            <w:pPr>
              <w:pStyle w:val="TableParagraph"/>
              <w:spacing w:before="110"/>
              <w:ind w:right="89"/>
              <w:jc w:val="right"/>
              <w:rPr>
                <w:color w:val="1F497D" w:themeColor="text2"/>
                <w:spacing w:val="-5"/>
                <w:sz w:val="20"/>
              </w:rPr>
            </w:pPr>
            <w:r w:rsidRPr="00C23706">
              <w:rPr>
                <w:color w:val="1F497D" w:themeColor="text2"/>
                <w:spacing w:val="-5"/>
                <w:sz w:val="20"/>
              </w:rPr>
              <w:t>76,037</w:t>
            </w:r>
          </w:p>
        </w:tc>
        <w:tc>
          <w:tcPr>
            <w:tcW w:w="1620" w:type="dxa"/>
            <w:vAlign w:val="center"/>
          </w:tcPr>
          <w:p w14:paraId="3280F6C9" w14:textId="1278DD8B" w:rsidR="00C03AFD" w:rsidRPr="00C23706" w:rsidRDefault="00C03AFD" w:rsidP="00C03AFD">
            <w:pPr>
              <w:pStyle w:val="TableParagraph"/>
              <w:spacing w:before="110"/>
              <w:ind w:right="74"/>
              <w:jc w:val="right"/>
              <w:rPr>
                <w:color w:val="1F497D" w:themeColor="text2"/>
                <w:spacing w:val="-5"/>
                <w:sz w:val="20"/>
              </w:rPr>
            </w:pPr>
            <w:r w:rsidRPr="00C23706">
              <w:rPr>
                <w:color w:val="1F497D" w:themeColor="text2"/>
                <w:spacing w:val="-5"/>
                <w:sz w:val="20"/>
              </w:rPr>
              <w:t>64,049</w:t>
            </w:r>
          </w:p>
        </w:tc>
        <w:tc>
          <w:tcPr>
            <w:tcW w:w="1640" w:type="dxa"/>
            <w:vAlign w:val="center"/>
          </w:tcPr>
          <w:p w14:paraId="18884182" w14:textId="0E78DDA4" w:rsidR="00C03AFD" w:rsidRPr="00C23706" w:rsidRDefault="00C03AFD" w:rsidP="00C03AFD">
            <w:pPr>
              <w:pStyle w:val="TableParagraph"/>
              <w:spacing w:before="110"/>
              <w:ind w:right="79"/>
              <w:jc w:val="right"/>
              <w:rPr>
                <w:color w:val="1F497D" w:themeColor="text2"/>
                <w:spacing w:val="-5"/>
                <w:sz w:val="20"/>
              </w:rPr>
            </w:pPr>
            <w:r w:rsidRPr="00C23706">
              <w:rPr>
                <w:color w:val="1F497D" w:themeColor="text2"/>
                <w:spacing w:val="-5"/>
                <w:sz w:val="20"/>
              </w:rPr>
              <w:t>48,019</w:t>
            </w:r>
          </w:p>
        </w:tc>
        <w:tc>
          <w:tcPr>
            <w:tcW w:w="1640" w:type="dxa"/>
            <w:vAlign w:val="center"/>
          </w:tcPr>
          <w:p w14:paraId="3E45CC74" w14:textId="0B8725D7" w:rsidR="00C03AFD" w:rsidRPr="00C03AFD" w:rsidRDefault="00C03AFD" w:rsidP="00C03AFD">
            <w:pPr>
              <w:pStyle w:val="TableParagraph"/>
              <w:spacing w:before="110"/>
              <w:ind w:right="79"/>
              <w:jc w:val="right"/>
              <w:rPr>
                <w:color w:val="1F497D" w:themeColor="text2"/>
                <w:spacing w:val="-5"/>
                <w:sz w:val="20"/>
              </w:rPr>
            </w:pPr>
            <w:r w:rsidRPr="00C03AFD">
              <w:rPr>
                <w:color w:val="1F497D" w:themeColor="text2"/>
                <w:spacing w:val="-5"/>
                <w:sz w:val="20"/>
              </w:rPr>
              <w:t>87,643</w:t>
            </w:r>
          </w:p>
        </w:tc>
        <w:tc>
          <w:tcPr>
            <w:tcW w:w="1640" w:type="dxa"/>
          </w:tcPr>
          <w:p w14:paraId="16C148C6" w14:textId="322D8DF5" w:rsidR="00C03AFD" w:rsidRPr="00C03AFD" w:rsidRDefault="00C03AFD" w:rsidP="00C03AFD">
            <w:pPr>
              <w:pStyle w:val="TableParagraph"/>
              <w:tabs>
                <w:tab w:val="center" w:pos="765"/>
                <w:tab w:val="right" w:pos="1531"/>
              </w:tabs>
              <w:spacing w:before="110"/>
              <w:ind w:right="79"/>
              <w:rPr>
                <w:color w:val="1F497D" w:themeColor="text2"/>
                <w:spacing w:val="-5"/>
                <w:sz w:val="20"/>
              </w:rPr>
            </w:pPr>
            <w:r w:rsidRPr="00C03AFD">
              <w:rPr>
                <w:color w:val="1F497D" w:themeColor="text2"/>
                <w:spacing w:val="-5"/>
                <w:sz w:val="20"/>
              </w:rPr>
              <w:tab/>
            </w:r>
            <w:r w:rsidRPr="00C03AFD">
              <w:rPr>
                <w:color w:val="1F497D" w:themeColor="text2"/>
                <w:spacing w:val="-5"/>
                <w:sz w:val="20"/>
              </w:rPr>
              <w:tab/>
            </w:r>
            <w:r w:rsidRPr="00C03AFD">
              <w:rPr>
                <w:color w:val="1F497D" w:themeColor="text2"/>
                <w:spacing w:val="-5"/>
                <w:sz w:val="20"/>
              </w:rPr>
              <w:t>100,671</w:t>
            </w:r>
          </w:p>
        </w:tc>
      </w:tr>
      <w:tr w:rsidR="00C03AFD" w14:paraId="0977A853" w14:textId="77777777" w:rsidTr="0042028B">
        <w:trPr>
          <w:trHeight w:val="439"/>
        </w:trPr>
        <w:tc>
          <w:tcPr>
            <w:tcW w:w="2300" w:type="dxa"/>
          </w:tcPr>
          <w:p w14:paraId="0B05F826" w14:textId="77777777" w:rsidR="00C03AFD" w:rsidRDefault="00C03AFD" w:rsidP="00C03AFD">
            <w:pPr>
              <w:pStyle w:val="TableParagraph"/>
              <w:spacing w:before="115"/>
              <w:ind w:left="108"/>
              <w:rPr>
                <w:sz w:val="20"/>
              </w:rPr>
            </w:pPr>
            <w:r>
              <w:rPr>
                <w:spacing w:val="-4"/>
                <w:sz w:val="20"/>
              </w:rPr>
              <w:t>SG&amp;A</w:t>
            </w:r>
          </w:p>
        </w:tc>
        <w:tc>
          <w:tcPr>
            <w:tcW w:w="1640" w:type="dxa"/>
            <w:vAlign w:val="center"/>
          </w:tcPr>
          <w:p w14:paraId="7F0D7256" w14:textId="0A7615FC" w:rsidR="00C03AFD" w:rsidRPr="00C23706" w:rsidRDefault="00C03AFD" w:rsidP="00C03AFD">
            <w:pPr>
              <w:pStyle w:val="TableParagraph"/>
              <w:spacing w:before="110"/>
              <w:ind w:right="89"/>
              <w:jc w:val="right"/>
              <w:rPr>
                <w:color w:val="1F497D" w:themeColor="text2"/>
                <w:spacing w:val="-5"/>
                <w:sz w:val="20"/>
              </w:rPr>
            </w:pPr>
            <w:r w:rsidRPr="00C23706">
              <w:rPr>
                <w:color w:val="1F497D" w:themeColor="text2"/>
                <w:spacing w:val="-5"/>
                <w:sz w:val="20"/>
              </w:rPr>
              <w:t>17,409</w:t>
            </w:r>
          </w:p>
        </w:tc>
        <w:tc>
          <w:tcPr>
            <w:tcW w:w="1620" w:type="dxa"/>
            <w:vAlign w:val="center"/>
          </w:tcPr>
          <w:p w14:paraId="41E857B6" w14:textId="094D0F78" w:rsidR="00C03AFD" w:rsidRPr="00C23706" w:rsidRDefault="00C03AFD" w:rsidP="00C03AFD">
            <w:pPr>
              <w:pStyle w:val="TableParagraph"/>
              <w:spacing w:before="110"/>
              <w:ind w:right="74"/>
              <w:jc w:val="right"/>
              <w:rPr>
                <w:color w:val="1F497D" w:themeColor="text2"/>
                <w:spacing w:val="-5"/>
                <w:sz w:val="20"/>
              </w:rPr>
            </w:pPr>
            <w:r w:rsidRPr="00C23706">
              <w:rPr>
                <w:color w:val="1F497D" w:themeColor="text2"/>
                <w:spacing w:val="-5"/>
                <w:sz w:val="20"/>
              </w:rPr>
              <w:t>12,177</w:t>
            </w:r>
          </w:p>
        </w:tc>
        <w:tc>
          <w:tcPr>
            <w:tcW w:w="1640" w:type="dxa"/>
            <w:vAlign w:val="center"/>
          </w:tcPr>
          <w:p w14:paraId="0979AE5F" w14:textId="63DA3432" w:rsidR="00C03AFD" w:rsidRPr="00C23706" w:rsidRDefault="00C03AFD" w:rsidP="00C03AFD">
            <w:pPr>
              <w:pStyle w:val="TableParagraph"/>
              <w:spacing w:before="110"/>
              <w:ind w:right="79"/>
              <w:jc w:val="right"/>
              <w:rPr>
                <w:color w:val="1F497D" w:themeColor="text2"/>
                <w:spacing w:val="-5"/>
                <w:sz w:val="20"/>
              </w:rPr>
            </w:pPr>
            <w:r w:rsidRPr="00C23706">
              <w:rPr>
                <w:color w:val="1F497D" w:themeColor="text2"/>
                <w:spacing w:val="-5"/>
                <w:sz w:val="20"/>
              </w:rPr>
              <w:t>10,016</w:t>
            </w:r>
          </w:p>
        </w:tc>
        <w:tc>
          <w:tcPr>
            <w:tcW w:w="1640" w:type="dxa"/>
          </w:tcPr>
          <w:p w14:paraId="1C233068" w14:textId="2366290C" w:rsidR="00C03AFD" w:rsidRPr="00C03AFD" w:rsidRDefault="00C03AFD" w:rsidP="00C03AFD">
            <w:pPr>
              <w:pStyle w:val="TableParagraph"/>
              <w:spacing w:before="110"/>
              <w:ind w:right="79"/>
              <w:jc w:val="right"/>
              <w:rPr>
                <w:color w:val="1F497D" w:themeColor="text2"/>
                <w:spacing w:val="-5"/>
                <w:sz w:val="20"/>
              </w:rPr>
            </w:pPr>
            <w:r w:rsidRPr="00C03AFD">
              <w:rPr>
                <w:color w:val="1F497D" w:themeColor="text2"/>
                <w:spacing w:val="-5"/>
                <w:sz w:val="20"/>
              </w:rPr>
              <w:t>20,048</w:t>
            </w:r>
          </w:p>
        </w:tc>
        <w:tc>
          <w:tcPr>
            <w:tcW w:w="1640" w:type="dxa"/>
          </w:tcPr>
          <w:p w14:paraId="0D04BA9C" w14:textId="432EBB87" w:rsidR="00C03AFD" w:rsidRPr="00C03AFD" w:rsidRDefault="00C03AFD" w:rsidP="00C03AFD">
            <w:pPr>
              <w:pStyle w:val="TableParagraph"/>
              <w:spacing w:before="110"/>
              <w:ind w:right="79"/>
              <w:jc w:val="right"/>
              <w:rPr>
                <w:color w:val="1F497D" w:themeColor="text2"/>
                <w:spacing w:val="-5"/>
                <w:sz w:val="20"/>
              </w:rPr>
            </w:pPr>
            <w:r w:rsidRPr="00C03AFD">
              <w:rPr>
                <w:color w:val="1F497D" w:themeColor="text2"/>
                <w:spacing w:val="-5"/>
                <w:sz w:val="20"/>
              </w:rPr>
              <w:t>23,036</w:t>
            </w:r>
          </w:p>
        </w:tc>
      </w:tr>
      <w:tr w:rsidR="00C03AFD" w14:paraId="36CD1F4B" w14:textId="77777777" w:rsidTr="008D2633">
        <w:trPr>
          <w:trHeight w:val="459"/>
        </w:trPr>
        <w:tc>
          <w:tcPr>
            <w:tcW w:w="2300" w:type="dxa"/>
          </w:tcPr>
          <w:p w14:paraId="4E812DBA" w14:textId="77777777" w:rsidR="00C03AFD" w:rsidRDefault="00C03AFD" w:rsidP="00C03AFD">
            <w:pPr>
              <w:pStyle w:val="TableParagraph"/>
              <w:spacing w:before="120"/>
              <w:ind w:left="108"/>
              <w:rPr>
                <w:sz w:val="20"/>
              </w:rPr>
            </w:pPr>
            <w:r>
              <w:rPr>
                <w:spacing w:val="-2"/>
                <w:sz w:val="20"/>
              </w:rPr>
              <w:t>EBITDA</w:t>
            </w:r>
          </w:p>
        </w:tc>
        <w:tc>
          <w:tcPr>
            <w:tcW w:w="1640" w:type="dxa"/>
            <w:vAlign w:val="center"/>
          </w:tcPr>
          <w:p w14:paraId="4CC40D8A" w14:textId="22AF5DEA" w:rsidR="00C03AFD" w:rsidRPr="00C23706" w:rsidRDefault="00C03AFD" w:rsidP="00C03AFD">
            <w:pPr>
              <w:pStyle w:val="TableParagraph"/>
              <w:spacing w:before="110"/>
              <w:ind w:right="89"/>
              <w:jc w:val="right"/>
              <w:rPr>
                <w:color w:val="1F497D" w:themeColor="text2"/>
                <w:spacing w:val="-5"/>
                <w:sz w:val="20"/>
              </w:rPr>
            </w:pPr>
            <w:r w:rsidRPr="00C23706">
              <w:rPr>
                <w:color w:val="1F497D" w:themeColor="text2"/>
                <w:spacing w:val="-5"/>
                <w:sz w:val="20"/>
              </w:rPr>
              <w:t>14,872</w:t>
            </w:r>
          </w:p>
        </w:tc>
        <w:tc>
          <w:tcPr>
            <w:tcW w:w="1620" w:type="dxa"/>
            <w:vAlign w:val="center"/>
          </w:tcPr>
          <w:p w14:paraId="1848403A" w14:textId="2DE1268F" w:rsidR="00C03AFD" w:rsidRPr="00C23706" w:rsidRDefault="00C03AFD" w:rsidP="00C03AFD">
            <w:pPr>
              <w:pStyle w:val="TableParagraph"/>
              <w:spacing w:before="110"/>
              <w:ind w:right="74"/>
              <w:jc w:val="right"/>
              <w:rPr>
                <w:color w:val="1F497D" w:themeColor="text2"/>
                <w:spacing w:val="-5"/>
                <w:sz w:val="20"/>
              </w:rPr>
            </w:pPr>
            <w:r w:rsidRPr="00C23706">
              <w:rPr>
                <w:color w:val="1F497D" w:themeColor="text2"/>
                <w:spacing w:val="-5"/>
                <w:sz w:val="20"/>
              </w:rPr>
              <w:t>12,899</w:t>
            </w:r>
          </w:p>
        </w:tc>
        <w:tc>
          <w:tcPr>
            <w:tcW w:w="1640" w:type="dxa"/>
            <w:vAlign w:val="center"/>
          </w:tcPr>
          <w:p w14:paraId="26D4A36D" w14:textId="232958A6" w:rsidR="00C03AFD" w:rsidRPr="00C23706" w:rsidRDefault="00C03AFD" w:rsidP="00C03AFD">
            <w:pPr>
              <w:pStyle w:val="TableParagraph"/>
              <w:spacing w:before="110"/>
              <w:ind w:right="79"/>
              <w:jc w:val="right"/>
              <w:rPr>
                <w:color w:val="1F497D" w:themeColor="text2"/>
                <w:spacing w:val="-5"/>
                <w:sz w:val="20"/>
              </w:rPr>
            </w:pPr>
            <w:r w:rsidRPr="00C23706">
              <w:rPr>
                <w:color w:val="1F497D" w:themeColor="text2"/>
                <w:spacing w:val="-5"/>
                <w:sz w:val="20"/>
              </w:rPr>
              <w:t>11,736</w:t>
            </w:r>
          </w:p>
        </w:tc>
        <w:tc>
          <w:tcPr>
            <w:tcW w:w="1640" w:type="dxa"/>
            <w:vAlign w:val="center"/>
          </w:tcPr>
          <w:p w14:paraId="468E4279" w14:textId="0E980CE1" w:rsidR="00C03AFD" w:rsidRPr="00C03AFD" w:rsidRDefault="00C03AFD" w:rsidP="00C03AFD">
            <w:pPr>
              <w:pStyle w:val="TableParagraph"/>
              <w:spacing w:before="110"/>
              <w:ind w:right="79"/>
              <w:jc w:val="right"/>
              <w:rPr>
                <w:color w:val="1F497D" w:themeColor="text2"/>
                <w:spacing w:val="-5"/>
                <w:sz w:val="20"/>
              </w:rPr>
            </w:pPr>
            <w:r w:rsidRPr="00C03AFD">
              <w:rPr>
                <w:color w:val="1F497D" w:themeColor="text2"/>
                <w:spacing w:val="-5"/>
                <w:sz w:val="20"/>
              </w:rPr>
              <w:t>15926</w:t>
            </w:r>
          </w:p>
        </w:tc>
        <w:tc>
          <w:tcPr>
            <w:tcW w:w="1640" w:type="dxa"/>
          </w:tcPr>
          <w:p w14:paraId="5A98E66F" w14:textId="1204A19A" w:rsidR="00C03AFD" w:rsidRPr="00C03AFD" w:rsidRDefault="00C03AFD" w:rsidP="00C03AFD">
            <w:pPr>
              <w:pStyle w:val="TableParagraph"/>
              <w:spacing w:before="110"/>
              <w:ind w:right="79"/>
              <w:jc w:val="right"/>
              <w:rPr>
                <w:color w:val="1F497D" w:themeColor="text2"/>
                <w:spacing w:val="-5"/>
                <w:sz w:val="20"/>
              </w:rPr>
            </w:pPr>
            <w:r w:rsidRPr="00C03AFD">
              <w:rPr>
                <w:color w:val="1F497D" w:themeColor="text2"/>
                <w:spacing w:val="-5"/>
                <w:sz w:val="20"/>
              </w:rPr>
              <w:t>17,051</w:t>
            </w:r>
          </w:p>
        </w:tc>
      </w:tr>
      <w:tr w:rsidR="00C03AFD" w14:paraId="23CD2C7C" w14:textId="77777777" w:rsidTr="00A270B6">
        <w:trPr>
          <w:trHeight w:val="440"/>
        </w:trPr>
        <w:tc>
          <w:tcPr>
            <w:tcW w:w="2300" w:type="dxa"/>
          </w:tcPr>
          <w:p w14:paraId="76365A75" w14:textId="77777777" w:rsidR="00C03AFD" w:rsidRDefault="00C03AFD" w:rsidP="00C03AFD">
            <w:pPr>
              <w:pStyle w:val="TableParagraph"/>
              <w:ind w:left="108"/>
              <w:rPr>
                <w:sz w:val="20"/>
              </w:rPr>
            </w:pPr>
            <w:r>
              <w:rPr>
                <w:spacing w:val="-6"/>
                <w:sz w:val="20"/>
              </w:rPr>
              <w:t>EBITDA</w:t>
            </w:r>
            <w:r>
              <w:rPr>
                <w:spacing w:val="-2"/>
                <w:sz w:val="20"/>
              </w:rPr>
              <w:t xml:space="preserve"> </w:t>
            </w:r>
            <w:r>
              <w:rPr>
                <w:spacing w:val="-6"/>
                <w:sz w:val="20"/>
              </w:rPr>
              <w:t>Margin</w:t>
            </w:r>
            <w:r>
              <w:rPr>
                <w:spacing w:val="-2"/>
                <w:sz w:val="20"/>
              </w:rPr>
              <w:t xml:space="preserve"> </w:t>
            </w:r>
            <w:r>
              <w:rPr>
                <w:spacing w:val="-6"/>
                <w:sz w:val="20"/>
              </w:rPr>
              <w:t>(%)</w:t>
            </w:r>
          </w:p>
        </w:tc>
        <w:tc>
          <w:tcPr>
            <w:tcW w:w="1640" w:type="dxa"/>
            <w:vAlign w:val="center"/>
          </w:tcPr>
          <w:p w14:paraId="1E392F05" w14:textId="193B6531" w:rsidR="00C03AFD" w:rsidRPr="00C23706" w:rsidRDefault="00C03AFD" w:rsidP="00C03AFD">
            <w:pPr>
              <w:pStyle w:val="TableParagraph"/>
              <w:spacing w:before="110"/>
              <w:ind w:right="89"/>
              <w:jc w:val="right"/>
              <w:rPr>
                <w:color w:val="1F497D" w:themeColor="text2"/>
                <w:spacing w:val="-5"/>
                <w:sz w:val="20"/>
              </w:rPr>
            </w:pPr>
            <w:r w:rsidRPr="00C23706">
              <w:rPr>
                <w:color w:val="1F497D" w:themeColor="text2"/>
                <w:spacing w:val="-5"/>
                <w:sz w:val="20"/>
              </w:rPr>
              <w:t>15.30%</w:t>
            </w:r>
          </w:p>
        </w:tc>
        <w:tc>
          <w:tcPr>
            <w:tcW w:w="1620" w:type="dxa"/>
            <w:vAlign w:val="center"/>
          </w:tcPr>
          <w:p w14:paraId="12CD97AE" w14:textId="71BB845D" w:rsidR="00C03AFD" w:rsidRPr="00C23706" w:rsidRDefault="00C03AFD" w:rsidP="00C03AFD">
            <w:pPr>
              <w:pStyle w:val="TableParagraph"/>
              <w:spacing w:before="110"/>
              <w:ind w:right="74"/>
              <w:jc w:val="right"/>
              <w:rPr>
                <w:color w:val="1F497D" w:themeColor="text2"/>
                <w:spacing w:val="-5"/>
                <w:sz w:val="20"/>
              </w:rPr>
            </w:pPr>
            <w:r w:rsidRPr="00C23706">
              <w:rPr>
                <w:color w:val="1F497D" w:themeColor="text2"/>
                <w:spacing w:val="-5"/>
                <w:sz w:val="20"/>
              </w:rPr>
              <w:t>9.91%</w:t>
            </w:r>
          </w:p>
        </w:tc>
        <w:tc>
          <w:tcPr>
            <w:tcW w:w="1640" w:type="dxa"/>
            <w:vAlign w:val="center"/>
          </w:tcPr>
          <w:p w14:paraId="74409EE9" w14:textId="2B18DEC3" w:rsidR="00C03AFD" w:rsidRPr="00C23706" w:rsidRDefault="00C03AFD" w:rsidP="00C03AFD">
            <w:pPr>
              <w:pStyle w:val="TableParagraph"/>
              <w:spacing w:before="110"/>
              <w:ind w:right="79"/>
              <w:jc w:val="right"/>
              <w:rPr>
                <w:color w:val="1F497D" w:themeColor="text2"/>
                <w:spacing w:val="-5"/>
                <w:sz w:val="20"/>
              </w:rPr>
            </w:pPr>
            <w:r w:rsidRPr="00C23706">
              <w:rPr>
                <w:color w:val="1F497D" w:themeColor="text2"/>
                <w:spacing w:val="-5"/>
                <w:sz w:val="20"/>
              </w:rPr>
              <w:t>11.38%</w:t>
            </w:r>
          </w:p>
        </w:tc>
        <w:tc>
          <w:tcPr>
            <w:tcW w:w="1640" w:type="dxa"/>
            <w:vAlign w:val="center"/>
          </w:tcPr>
          <w:p w14:paraId="6E1D5364" w14:textId="7C31C3A6" w:rsidR="00C03AFD" w:rsidRPr="00C03AFD" w:rsidRDefault="00C03AFD" w:rsidP="00C03AFD">
            <w:pPr>
              <w:pStyle w:val="TableParagraph"/>
              <w:spacing w:before="110"/>
              <w:ind w:right="79"/>
              <w:jc w:val="right"/>
              <w:rPr>
                <w:color w:val="1F497D" w:themeColor="text2"/>
                <w:spacing w:val="-5"/>
                <w:sz w:val="20"/>
              </w:rPr>
            </w:pPr>
            <w:r w:rsidRPr="00C03AFD">
              <w:rPr>
                <w:color w:val="1F497D" w:themeColor="text2"/>
                <w:spacing w:val="-5"/>
                <w:sz w:val="20"/>
              </w:rPr>
              <w:t>17.26%</w:t>
            </w:r>
          </w:p>
        </w:tc>
        <w:tc>
          <w:tcPr>
            <w:tcW w:w="1640" w:type="dxa"/>
          </w:tcPr>
          <w:p w14:paraId="7615222E" w14:textId="4BCB13EA" w:rsidR="00C03AFD" w:rsidRPr="00C03AFD" w:rsidRDefault="00C03AFD" w:rsidP="00C03AFD">
            <w:pPr>
              <w:pStyle w:val="TableParagraph"/>
              <w:spacing w:before="110"/>
              <w:ind w:right="79"/>
              <w:jc w:val="right"/>
              <w:rPr>
                <w:color w:val="1F497D" w:themeColor="text2"/>
                <w:spacing w:val="-5"/>
                <w:sz w:val="20"/>
              </w:rPr>
            </w:pPr>
            <w:r w:rsidRPr="00C03AFD">
              <w:rPr>
                <w:color w:val="1F497D" w:themeColor="text2"/>
                <w:spacing w:val="-5"/>
                <w:sz w:val="20"/>
              </w:rPr>
              <w:t>1</w:t>
            </w:r>
            <w:r w:rsidRPr="00C03AFD">
              <w:rPr>
                <w:color w:val="1F497D" w:themeColor="text2"/>
                <w:spacing w:val="-5"/>
                <w:sz w:val="20"/>
              </w:rPr>
              <w:t>8</w:t>
            </w:r>
            <w:r w:rsidRPr="00C03AFD">
              <w:rPr>
                <w:color w:val="1F497D" w:themeColor="text2"/>
                <w:spacing w:val="-5"/>
                <w:sz w:val="20"/>
              </w:rPr>
              <w:t>.3</w:t>
            </w:r>
            <w:r w:rsidRPr="00C03AFD">
              <w:rPr>
                <w:color w:val="1F497D" w:themeColor="text2"/>
                <w:spacing w:val="-5"/>
                <w:sz w:val="20"/>
              </w:rPr>
              <w:t>4</w:t>
            </w:r>
            <w:r w:rsidRPr="00C03AFD">
              <w:rPr>
                <w:color w:val="1F497D" w:themeColor="text2"/>
                <w:spacing w:val="-5"/>
                <w:sz w:val="20"/>
              </w:rP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1"/>
      </w:tblGrid>
      <w:tr w:rsidR="00C03AFD" w14:paraId="158F6F8A" w14:textId="3AB6AD91" w:rsidTr="00A270B6">
        <w:trPr>
          <w:divId w:val="910693338"/>
          <w:tblCellSpacing w:w="15" w:type="dxa"/>
        </w:trPr>
        <w:tc>
          <w:tcPr>
            <w:tcW w:w="0" w:type="auto"/>
            <w:vAlign w:val="center"/>
          </w:tcPr>
          <w:p w14:paraId="511B0B5A" w14:textId="77777777" w:rsidR="00C03AFD" w:rsidRDefault="00C03AFD" w:rsidP="00C03AFD">
            <w:pPr>
              <w:rPr>
                <w:rFonts w:ascii="Times New Roman" w:eastAsia="Times New Roman" w:hAnsi="Times New Roman" w:cs="Times New Roman"/>
                <w:sz w:val="24"/>
                <w:szCs w:val="24"/>
                <w:lang w:val="en-AE" w:eastAsia="en-AE"/>
              </w:rPr>
            </w:pPr>
          </w:p>
        </w:tc>
        <w:tc>
          <w:tcPr>
            <w:tcW w:w="0" w:type="auto"/>
          </w:tcPr>
          <w:p w14:paraId="0D2D6281" w14:textId="77777777" w:rsidR="00C03AFD" w:rsidRDefault="00C03AFD" w:rsidP="00C03AFD">
            <w:pPr>
              <w:rPr>
                <w:rFonts w:ascii="Times New Roman" w:eastAsia="Times New Roman" w:hAnsi="Times New Roman" w:cs="Times New Roman"/>
                <w:sz w:val="20"/>
                <w:szCs w:val="20"/>
                <w:lang w:val="en-AE" w:eastAsia="en-AE"/>
              </w:rPr>
            </w:pPr>
          </w:p>
        </w:tc>
        <w:tc>
          <w:tcPr>
            <w:tcW w:w="0" w:type="auto"/>
          </w:tcPr>
          <w:p w14:paraId="2128A5A3" w14:textId="77777777" w:rsidR="00C03AFD" w:rsidRDefault="00C03AFD" w:rsidP="00C03AFD">
            <w:pPr>
              <w:rPr>
                <w:rFonts w:ascii="Times New Roman" w:eastAsia="Times New Roman" w:hAnsi="Times New Roman" w:cs="Times New Roman"/>
                <w:sz w:val="20"/>
                <w:szCs w:val="20"/>
                <w:lang w:val="en-AE" w:eastAsia="en-AE"/>
              </w:rPr>
            </w:pPr>
          </w:p>
        </w:tc>
        <w:tc>
          <w:tcPr>
            <w:tcW w:w="0" w:type="auto"/>
          </w:tcPr>
          <w:p w14:paraId="2F672F97" w14:textId="77777777" w:rsidR="00C03AFD" w:rsidRDefault="00C03AFD" w:rsidP="00C03AFD">
            <w:pPr>
              <w:rPr>
                <w:rFonts w:ascii="Times New Roman" w:eastAsia="Times New Roman" w:hAnsi="Times New Roman" w:cs="Times New Roman"/>
                <w:sz w:val="20"/>
                <w:szCs w:val="20"/>
                <w:lang w:val="en-AE" w:eastAsia="en-AE"/>
              </w:rPr>
            </w:pPr>
          </w:p>
        </w:tc>
        <w:tc>
          <w:tcPr>
            <w:tcW w:w="0" w:type="auto"/>
            <w:vAlign w:val="center"/>
          </w:tcPr>
          <w:p w14:paraId="24997160" w14:textId="77777777" w:rsidR="00C03AFD" w:rsidRDefault="00C03AFD" w:rsidP="00C03AFD">
            <w:pPr>
              <w:rPr>
                <w:rFonts w:ascii="Times New Roman" w:eastAsia="Times New Roman" w:hAnsi="Times New Roman" w:cs="Times New Roman"/>
                <w:sz w:val="20"/>
                <w:szCs w:val="20"/>
                <w:lang w:val="en-AE" w:eastAsia="en-AE"/>
              </w:rPr>
            </w:pPr>
          </w:p>
        </w:tc>
      </w:tr>
    </w:tbl>
    <w:p w14:paraId="11304892" w14:textId="0554EB62" w:rsidR="00CE4942" w:rsidRDefault="00FF0044">
      <w:pPr>
        <w:spacing w:before="8"/>
        <w:ind w:left="133"/>
        <w:rPr>
          <w:sz w:val="18"/>
        </w:rPr>
      </w:pPr>
      <w:r>
        <w:rPr>
          <w:b/>
          <w:w w:val="90"/>
          <w:sz w:val="18"/>
        </w:rPr>
        <w:t>Source:</w:t>
      </w:r>
      <w:r>
        <w:rPr>
          <w:b/>
          <w:spacing w:val="8"/>
          <w:sz w:val="18"/>
        </w:rPr>
        <w:t xml:space="preserve"> </w:t>
      </w:r>
      <w:hyperlink r:id="rId5" w:history="1">
        <w:r w:rsidR="00C23706" w:rsidRPr="00C23706">
          <w:rPr>
            <w:rStyle w:val="Hyperlink"/>
            <w:spacing w:val="-5"/>
            <w:sz w:val="18"/>
          </w:rPr>
          <w:t>Wall Street Journal</w:t>
        </w:r>
      </w:hyperlink>
    </w:p>
    <w:p w14:paraId="045CD35F" w14:textId="77777777" w:rsidR="00CE4942" w:rsidRDefault="00FF0044">
      <w:pPr>
        <w:pStyle w:val="BodyText"/>
        <w:spacing w:before="1"/>
        <w:rPr>
          <w:i w:val="0"/>
          <w:sz w:val="22"/>
        </w:rPr>
      </w:pPr>
      <w:r>
        <w:rPr>
          <w:noProof/>
        </w:rPr>
        <mc:AlternateContent>
          <mc:Choice Requires="wps">
            <w:drawing>
              <wp:anchor distT="0" distB="0" distL="0" distR="0" simplePos="0" relativeHeight="487588864" behindDoc="1" locked="0" layoutInCell="1" allowOverlap="1" wp14:anchorId="68DEE46B" wp14:editId="49EDD8A7">
                <wp:simplePos x="0" y="0"/>
                <wp:positionH relativeFrom="page">
                  <wp:posOffset>596900</wp:posOffset>
                </wp:positionH>
                <wp:positionV relativeFrom="paragraph">
                  <wp:posOffset>176530</wp:posOffset>
                </wp:positionV>
                <wp:extent cx="6578600" cy="1270"/>
                <wp:effectExtent l="0" t="0" r="12700" b="11430"/>
                <wp:wrapTopAndBottom/>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98709" id="docshape3" o:spid="_x0000_s1026" style="position:absolute;margin-left:47pt;margin-top:13.9pt;width:51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" path="m,l10360,e" filled="f" strokecolor="#878787" strokeweight="1pt">
                <v:path arrowok="t" o:connecttype="custom" o:connectlocs="0,0;6578600,0" o:connectangles="0,0"/>
                <w10:wrap type="topAndBottom" anchorx="page"/>
              </v:shape>
            </w:pict>
          </mc:Fallback>
        </mc:AlternateContent>
      </w:r>
    </w:p>
    <w:p w14:paraId="78259E2D" w14:textId="6BB37F18" w:rsidR="00CE4942" w:rsidRDefault="00FF0044">
      <w:pPr>
        <w:pStyle w:val="Heading1"/>
        <w:spacing w:before="141"/>
        <w:rPr>
          <w:spacing w:val="-4"/>
        </w:rPr>
      </w:pPr>
      <w:r>
        <w:rPr>
          <w:w w:val="90"/>
        </w:rPr>
        <w:t>Recent</w:t>
      </w:r>
      <w:r>
        <w:rPr>
          <w:spacing w:val="20"/>
        </w:rPr>
        <w:t xml:space="preserve"> </w:t>
      </w:r>
      <w:r>
        <w:rPr>
          <w:spacing w:val="-4"/>
        </w:rPr>
        <w:t>News</w:t>
      </w:r>
    </w:p>
    <w:p w14:paraId="601FAD88" w14:textId="77777777" w:rsidR="00C23706" w:rsidRDefault="00C23706">
      <w:pPr>
        <w:pStyle w:val="Heading1"/>
        <w:spacing w:before="141"/>
      </w:pPr>
    </w:p>
    <w:p w14:paraId="1809A9C0" w14:textId="4A8F04AF" w:rsidR="00CE4942" w:rsidRDefault="00C23706" w:rsidP="00C23706">
      <w:pPr>
        <w:pStyle w:val="BodyText"/>
        <w:ind w:left="720" w:firstLine="60"/>
        <w:rPr>
          <w:i w:val="0"/>
        </w:rPr>
      </w:pPr>
      <w:r>
        <w:t>Paints (India) recently completed the dispatch of its Annual Report for FY 2022-23, as per SEBI regulations. Additionally, the company provided e-Voting details for its upcoming Annual General Meeting on 11th August 2023. These announcements ensure transparency and enable shareholders to participate in shaping the company's future through electronic voting.</w:t>
      </w:r>
    </w:p>
    <w:p w14:paraId="45C1F574" w14:textId="77777777" w:rsidR="00CE4942" w:rsidRDefault="00FF0044">
      <w:pPr>
        <w:pStyle w:val="BodyText"/>
        <w:spacing w:before="6"/>
        <w:rPr>
          <w:i w:val="0"/>
          <w:sz w:val="16"/>
        </w:rPr>
      </w:pPr>
      <w:r>
        <w:rPr>
          <w:noProof/>
        </w:rPr>
        <mc:AlternateContent>
          <mc:Choice Requires="wps">
            <w:drawing>
              <wp:anchor distT="0" distB="0" distL="0" distR="0" simplePos="0" relativeHeight="487589376" behindDoc="1" locked="0" layoutInCell="1" allowOverlap="1" wp14:anchorId="449D5B34" wp14:editId="63C0C03E">
                <wp:simplePos x="0" y="0"/>
                <wp:positionH relativeFrom="page">
                  <wp:posOffset>596900</wp:posOffset>
                </wp:positionH>
                <wp:positionV relativeFrom="paragraph">
                  <wp:posOffset>135890</wp:posOffset>
                </wp:positionV>
                <wp:extent cx="6578600" cy="1270"/>
                <wp:effectExtent l="0" t="0" r="12700" b="11430"/>
                <wp:wrapTopAndBottom/>
                <wp:docPr id="3"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E4256" id="docshape4" o:spid="_x0000_s1026" style="position:absolute;margin-left:47pt;margin-top:10.7pt;width:51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ssrA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" path="m,l10360,e" filled="f" strokecolor="#878787" strokeweight="1pt">
                <v:path arrowok="t" o:connecttype="custom" o:connectlocs="0,0;6578600,0" o:connectangles="0,0"/>
                <w10:wrap type="topAndBottom" anchorx="page"/>
              </v:shape>
            </w:pict>
          </mc:Fallback>
        </mc:AlternateContent>
      </w:r>
    </w:p>
    <w:p w14:paraId="3CF240A7" w14:textId="1D31C1DC" w:rsidR="00CE4942" w:rsidRDefault="00FF0044">
      <w:pPr>
        <w:pStyle w:val="Heading1"/>
        <w:spacing w:before="136"/>
      </w:pPr>
      <w:r>
        <w:rPr>
          <w:w w:val="90"/>
        </w:rPr>
        <w:t>Key</w:t>
      </w:r>
      <w:r>
        <w:rPr>
          <w:spacing w:val="-3"/>
          <w:w w:val="90"/>
        </w:rPr>
        <w:t xml:space="preserve"> </w:t>
      </w:r>
      <w:r>
        <w:rPr>
          <w:spacing w:val="-2"/>
          <w:w w:val="95"/>
        </w:rPr>
        <w:t>people</w:t>
      </w:r>
    </w:p>
    <w:p w14:paraId="34A71485" w14:textId="77777777" w:rsidR="00CE4942" w:rsidRDefault="00CE4942">
      <w:pPr>
        <w:sectPr w:rsidR="00CE4942">
          <w:type w:val="continuous"/>
          <w:pgSz w:w="12240" w:h="15840"/>
          <w:pgMar w:top="1180" w:right="740" w:bottom="280" w:left="740" w:header="720" w:footer="720" w:gutter="0"/>
          <w:cols w:space="720"/>
        </w:sect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48"/>
        <w:gridCol w:w="3912"/>
      </w:tblGrid>
      <w:tr w:rsidR="00CE4942" w14:paraId="424A4DB2" w14:textId="77777777" w:rsidTr="00C23706">
        <w:trPr>
          <w:trHeight w:val="414"/>
        </w:trPr>
        <w:tc>
          <w:tcPr>
            <w:tcW w:w="4148" w:type="dxa"/>
            <w:shd w:val="clear" w:color="auto" w:fill="154611"/>
          </w:tcPr>
          <w:p w14:paraId="08CB0198" w14:textId="77777777" w:rsidR="00CE4942" w:rsidRDefault="00FF0044">
            <w:pPr>
              <w:pStyle w:val="TableParagraph"/>
              <w:spacing w:before="115"/>
              <w:ind w:left="108"/>
              <w:rPr>
                <w:b/>
                <w:sz w:val="20"/>
              </w:rPr>
            </w:pPr>
            <w:r>
              <w:rPr>
                <w:b/>
                <w:color w:val="FFFFFF"/>
                <w:spacing w:val="-4"/>
                <w:sz w:val="20"/>
              </w:rPr>
              <w:lastRenderedPageBreak/>
              <w:t>Role</w:t>
            </w:r>
          </w:p>
        </w:tc>
        <w:tc>
          <w:tcPr>
            <w:tcW w:w="3912" w:type="dxa"/>
            <w:shd w:val="clear" w:color="auto" w:fill="154611"/>
          </w:tcPr>
          <w:p w14:paraId="6F08DE6F" w14:textId="77777777" w:rsidR="00CE4942" w:rsidRDefault="00FF0044">
            <w:pPr>
              <w:pStyle w:val="TableParagraph"/>
              <w:spacing w:before="115"/>
              <w:ind w:left="108"/>
              <w:rPr>
                <w:b/>
                <w:sz w:val="20"/>
              </w:rPr>
            </w:pPr>
            <w:r>
              <w:rPr>
                <w:b/>
                <w:color w:val="FFFFFF"/>
                <w:spacing w:val="-4"/>
                <w:sz w:val="20"/>
              </w:rPr>
              <w:t>Name</w:t>
            </w:r>
          </w:p>
        </w:tc>
      </w:tr>
      <w:tr w:rsidR="00CE4942" w14:paraId="2920BC3B" w14:textId="77777777" w:rsidTr="00C23706">
        <w:trPr>
          <w:trHeight w:val="432"/>
        </w:trPr>
        <w:tc>
          <w:tcPr>
            <w:tcW w:w="4148" w:type="dxa"/>
          </w:tcPr>
          <w:p w14:paraId="37938BCB" w14:textId="7B492A0E" w:rsidR="00CE4942" w:rsidRDefault="00C23706">
            <w:pPr>
              <w:pStyle w:val="TableParagraph"/>
              <w:spacing w:before="120"/>
              <w:ind w:left="108"/>
              <w:rPr>
                <w:sz w:val="20"/>
              </w:rPr>
            </w:pPr>
            <w:r>
              <w:t>Managing Director &amp; CEO</w:t>
            </w:r>
          </w:p>
        </w:tc>
        <w:tc>
          <w:tcPr>
            <w:tcW w:w="3912" w:type="dxa"/>
          </w:tcPr>
          <w:p w14:paraId="71338534" w14:textId="6412B4D0" w:rsidR="00C23706" w:rsidRDefault="00C23706" w:rsidP="00C23706">
            <w:pPr>
              <w:pStyle w:val="Heading3"/>
              <w:rPr>
                <w:rFonts w:ascii="Times New Roman" w:eastAsia="Times New Roman" w:hAnsi="Times New Roman" w:cs="Times New Roman"/>
              </w:rPr>
            </w:pPr>
            <w:r>
              <w:t xml:space="preserve"> </w:t>
            </w:r>
            <w:r>
              <w:t>Mr. Abhijit Roy</w:t>
            </w:r>
          </w:p>
          <w:p w14:paraId="3266B454" w14:textId="608A10B4" w:rsidR="00CE4942" w:rsidRDefault="00CE4942">
            <w:pPr>
              <w:pStyle w:val="TableParagraph"/>
              <w:spacing w:before="120"/>
              <w:ind w:left="108"/>
              <w:rPr>
                <w:sz w:val="20"/>
              </w:rPr>
            </w:pPr>
          </w:p>
        </w:tc>
      </w:tr>
      <w:tr w:rsidR="00CE4942" w14:paraId="6EBC9816" w14:textId="77777777" w:rsidTr="00C23706">
        <w:trPr>
          <w:trHeight w:val="414"/>
        </w:trPr>
        <w:tc>
          <w:tcPr>
            <w:tcW w:w="4148" w:type="dxa"/>
          </w:tcPr>
          <w:p w14:paraId="67E1E25F" w14:textId="22748872" w:rsidR="00CE4942" w:rsidRDefault="00C23706">
            <w:pPr>
              <w:pStyle w:val="TableParagraph"/>
              <w:ind w:left="108"/>
              <w:rPr>
                <w:sz w:val="20"/>
              </w:rPr>
            </w:pPr>
            <w:r>
              <w:t>Vice President &amp; Chief Financial Officer</w:t>
            </w:r>
          </w:p>
        </w:tc>
        <w:tc>
          <w:tcPr>
            <w:tcW w:w="3912" w:type="dxa"/>
          </w:tcPr>
          <w:p w14:paraId="2E1A3B9A" w14:textId="5E378BB9" w:rsidR="00C23706" w:rsidRDefault="00C23706" w:rsidP="00C23706">
            <w:pPr>
              <w:pStyle w:val="Heading3"/>
              <w:rPr>
                <w:rFonts w:ascii="Times New Roman" w:eastAsia="Times New Roman" w:hAnsi="Times New Roman" w:cs="Times New Roman"/>
              </w:rPr>
            </w:pPr>
            <w:r>
              <w:t>Mr. Kaushik Ghosh</w:t>
            </w:r>
          </w:p>
          <w:p w14:paraId="5FB64687" w14:textId="13F817F8" w:rsidR="00CE4942" w:rsidRDefault="00CE4942">
            <w:pPr>
              <w:pStyle w:val="TableParagraph"/>
              <w:ind w:left="108"/>
              <w:rPr>
                <w:sz w:val="20"/>
              </w:rPr>
            </w:pPr>
          </w:p>
        </w:tc>
      </w:tr>
      <w:tr w:rsidR="00CE4942" w14:paraId="63C1E344" w14:textId="77777777" w:rsidTr="00C23706">
        <w:trPr>
          <w:trHeight w:val="413"/>
        </w:trPr>
        <w:tc>
          <w:tcPr>
            <w:tcW w:w="4148" w:type="dxa"/>
          </w:tcPr>
          <w:p w14:paraId="5423652C" w14:textId="53C7CFFD" w:rsidR="00CE4942" w:rsidRDefault="00C23706">
            <w:pPr>
              <w:pStyle w:val="TableParagraph"/>
              <w:spacing w:before="110"/>
              <w:ind w:left="108"/>
              <w:rPr>
                <w:sz w:val="20"/>
              </w:rPr>
            </w:pPr>
            <w:r>
              <w:t>Vice President &amp; Company Secretary</w:t>
            </w:r>
          </w:p>
        </w:tc>
        <w:tc>
          <w:tcPr>
            <w:tcW w:w="3912" w:type="dxa"/>
          </w:tcPr>
          <w:p w14:paraId="6CED3973" w14:textId="263C2493" w:rsidR="00CE4942" w:rsidRPr="00C23706" w:rsidRDefault="00C23706" w:rsidP="00C23706">
            <w:pPr>
              <w:pStyle w:val="Heading3"/>
              <w:rPr>
                <w:rFonts w:ascii="Times New Roman" w:eastAsia="Times New Roman" w:hAnsi="Times New Roman" w:cs="Times New Roman"/>
              </w:rPr>
            </w:pPr>
            <w:r>
              <w:t>Mr. Arunito Ganguly</w:t>
            </w:r>
          </w:p>
        </w:tc>
      </w:tr>
    </w:tbl>
    <w:p w14:paraId="20389686" w14:textId="2756C053" w:rsidR="00CE4942" w:rsidRDefault="00FF0044">
      <w:pPr>
        <w:spacing w:before="32"/>
        <w:ind w:left="133"/>
        <w:rPr>
          <w:sz w:val="18"/>
        </w:rPr>
      </w:pPr>
      <w:r>
        <w:rPr>
          <w:b/>
          <w:w w:val="90"/>
          <w:sz w:val="18"/>
        </w:rPr>
        <w:t>Source:</w:t>
      </w:r>
      <w:r>
        <w:rPr>
          <w:b/>
          <w:spacing w:val="8"/>
          <w:sz w:val="18"/>
        </w:rPr>
        <w:t xml:space="preserve"> </w:t>
      </w:r>
      <w:r w:rsidR="00147116">
        <w:rPr>
          <w:spacing w:val="-5"/>
          <w:sz w:val="18"/>
        </w:rPr>
        <w:t>Berger Website</w:t>
      </w:r>
    </w:p>
    <w:p w14:paraId="35F35EF5" w14:textId="77777777" w:rsidR="00CE4942" w:rsidRDefault="00FF0044">
      <w:pPr>
        <w:pStyle w:val="BodyText"/>
        <w:spacing w:before="2"/>
        <w:rPr>
          <w:i w:val="0"/>
          <w:sz w:val="18"/>
        </w:rPr>
      </w:pPr>
      <w:r>
        <w:rPr>
          <w:noProof/>
        </w:rPr>
        <mc:AlternateContent>
          <mc:Choice Requires="wps">
            <w:drawing>
              <wp:anchor distT="0" distB="0" distL="0" distR="0" simplePos="0" relativeHeight="487589888" behindDoc="1" locked="0" layoutInCell="1" allowOverlap="1" wp14:anchorId="749BE901" wp14:editId="1C46CD71">
                <wp:simplePos x="0" y="0"/>
                <wp:positionH relativeFrom="page">
                  <wp:posOffset>596900</wp:posOffset>
                </wp:positionH>
                <wp:positionV relativeFrom="paragraph">
                  <wp:posOffset>147955</wp:posOffset>
                </wp:positionV>
                <wp:extent cx="6578600" cy="1270"/>
                <wp:effectExtent l="0" t="0" r="12700" b="11430"/>
                <wp:wrapTopAndBottom/>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D6C7C" id="docshape5" o:spid="_x0000_s1026" style="position:absolute;margin-left:47pt;margin-top:11.65pt;width:51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sOqw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" path="m,l10360,e" filled="f" strokecolor="#878787" strokeweight="1pt">
                <v:path arrowok="t" o:connecttype="custom" o:connectlocs="0,0;6578600,0" o:connectangles="0,0"/>
                <w10:wrap type="topAndBottom" anchorx="page"/>
              </v:shape>
            </w:pict>
          </mc:Fallback>
        </mc:AlternateContent>
      </w:r>
    </w:p>
    <w:p w14:paraId="548EB365" w14:textId="5AE910D1" w:rsidR="00CE4942" w:rsidRDefault="00FF0044">
      <w:pPr>
        <w:pStyle w:val="BodyText"/>
        <w:spacing w:before="131" w:line="288" w:lineRule="auto"/>
        <w:ind w:left="133" w:right="241"/>
        <w:rPr>
          <w:color w:val="999999"/>
          <w:spacing w:val="-2"/>
        </w:rPr>
      </w:pPr>
      <w:r>
        <w:rPr>
          <w:b/>
          <w:i w:val="0"/>
          <w:spacing w:val="-2"/>
          <w:sz w:val="28"/>
        </w:rPr>
        <w:t>Key</w:t>
      </w:r>
      <w:r>
        <w:rPr>
          <w:b/>
          <w:i w:val="0"/>
          <w:spacing w:val="-16"/>
          <w:sz w:val="28"/>
        </w:rPr>
        <w:t xml:space="preserve"> </w:t>
      </w:r>
      <w:r>
        <w:rPr>
          <w:b/>
          <w:i w:val="0"/>
          <w:spacing w:val="-2"/>
          <w:sz w:val="28"/>
        </w:rPr>
        <w:t>products</w:t>
      </w:r>
      <w:r>
        <w:rPr>
          <w:b/>
          <w:i w:val="0"/>
          <w:spacing w:val="-16"/>
          <w:sz w:val="28"/>
        </w:rPr>
        <w:t xml:space="preserve"> </w:t>
      </w:r>
    </w:p>
    <w:p w14:paraId="3A3711DF" w14:textId="39C168BB" w:rsidR="00297D02" w:rsidRDefault="00297D02">
      <w:pPr>
        <w:pStyle w:val="BodyText"/>
        <w:spacing w:before="131" w:line="288" w:lineRule="auto"/>
        <w:ind w:left="133" w:right="241"/>
      </w:pPr>
      <w:r>
        <w:t>Berger Paints offers a diverse range of key products, including decorative paints for interior and exterior surfaces, industrial paints for various industries, and protective coatings for safeguarding structures and equipment. These products cater to residential and commercial customers, reflecting the company's prominence in the Indian paint industry.</w:t>
      </w:r>
    </w:p>
    <w:p w14:paraId="01851418" w14:textId="77777777" w:rsidR="00CE4942" w:rsidRDefault="00CE4942">
      <w:pPr>
        <w:pStyle w:val="BodyText"/>
      </w:pPr>
    </w:p>
    <w:p w14:paraId="69608D7F" w14:textId="77777777" w:rsidR="00CE4942" w:rsidRDefault="00CE4942">
      <w:pPr>
        <w:pStyle w:val="BodyText"/>
        <w:spacing w:before="2"/>
        <w:rPr>
          <w:sz w:val="12"/>
        </w:rPr>
      </w:pPr>
    </w:p>
    <w:tbl>
      <w:tblPr>
        <w:tblW w:w="10943"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05"/>
        <w:gridCol w:w="1459"/>
        <w:gridCol w:w="7879"/>
      </w:tblGrid>
      <w:tr w:rsidR="00CE4942" w14:paraId="4AE52581" w14:textId="77777777" w:rsidTr="00297D02">
        <w:trPr>
          <w:trHeight w:val="470"/>
        </w:trPr>
        <w:tc>
          <w:tcPr>
            <w:tcW w:w="1605" w:type="dxa"/>
            <w:shd w:val="clear" w:color="auto" w:fill="154611"/>
          </w:tcPr>
          <w:p w14:paraId="3821247E" w14:textId="77777777" w:rsidR="00CE4942" w:rsidRDefault="00FF0044">
            <w:pPr>
              <w:pStyle w:val="TableParagraph"/>
              <w:spacing w:before="115"/>
              <w:ind w:left="108"/>
              <w:rPr>
                <w:b/>
                <w:sz w:val="20"/>
              </w:rPr>
            </w:pPr>
            <w:r>
              <w:rPr>
                <w:b/>
                <w:color w:val="FFFFFF"/>
                <w:spacing w:val="-4"/>
                <w:sz w:val="20"/>
              </w:rPr>
              <w:t>Name</w:t>
            </w:r>
          </w:p>
        </w:tc>
        <w:tc>
          <w:tcPr>
            <w:tcW w:w="1459" w:type="dxa"/>
            <w:shd w:val="clear" w:color="auto" w:fill="154611"/>
          </w:tcPr>
          <w:p w14:paraId="6A81D588" w14:textId="77777777" w:rsidR="00CE4942" w:rsidRDefault="00FF0044">
            <w:pPr>
              <w:pStyle w:val="TableParagraph"/>
              <w:spacing w:before="115"/>
              <w:ind w:left="98"/>
              <w:rPr>
                <w:b/>
                <w:sz w:val="20"/>
              </w:rPr>
            </w:pPr>
            <w:r>
              <w:rPr>
                <w:b/>
                <w:color w:val="FFFFFF"/>
                <w:spacing w:val="-2"/>
                <w:sz w:val="20"/>
              </w:rPr>
              <w:t>Revenue</w:t>
            </w:r>
          </w:p>
        </w:tc>
        <w:tc>
          <w:tcPr>
            <w:tcW w:w="7879" w:type="dxa"/>
            <w:shd w:val="clear" w:color="auto" w:fill="154611"/>
          </w:tcPr>
          <w:p w14:paraId="11E9A17E" w14:textId="77777777" w:rsidR="00CE4942" w:rsidRDefault="00FF0044">
            <w:pPr>
              <w:pStyle w:val="TableParagraph"/>
              <w:spacing w:before="115"/>
              <w:ind w:left="108"/>
              <w:rPr>
                <w:b/>
                <w:sz w:val="20"/>
              </w:rPr>
            </w:pPr>
            <w:r>
              <w:rPr>
                <w:b/>
                <w:color w:val="FFFFFF"/>
                <w:spacing w:val="-2"/>
                <w:sz w:val="20"/>
              </w:rPr>
              <w:t>Description</w:t>
            </w:r>
          </w:p>
        </w:tc>
      </w:tr>
      <w:tr w:rsidR="00CE4942" w14:paraId="7F282AC7" w14:textId="77777777" w:rsidTr="00297D02">
        <w:trPr>
          <w:trHeight w:val="492"/>
        </w:trPr>
        <w:tc>
          <w:tcPr>
            <w:tcW w:w="1605" w:type="dxa"/>
          </w:tcPr>
          <w:p w14:paraId="53DCB1AF" w14:textId="06E4E031" w:rsidR="00CE4942" w:rsidRDefault="00297D02">
            <w:pPr>
              <w:pStyle w:val="TableParagraph"/>
              <w:spacing w:before="120"/>
              <w:ind w:left="108"/>
              <w:rPr>
                <w:sz w:val="20"/>
              </w:rPr>
            </w:pPr>
            <w:r>
              <w:t>Decorative Paints</w:t>
            </w:r>
          </w:p>
        </w:tc>
        <w:tc>
          <w:tcPr>
            <w:tcW w:w="1459" w:type="dxa"/>
          </w:tcPr>
          <w:p w14:paraId="54996F06" w14:textId="0F4555DC" w:rsidR="00CE4942" w:rsidRDefault="00FF0044">
            <w:pPr>
              <w:pStyle w:val="TableParagraph"/>
              <w:spacing w:before="120"/>
              <w:ind w:left="98"/>
              <w:rPr>
                <w:sz w:val="20"/>
              </w:rPr>
            </w:pPr>
            <w:r w:rsidRPr="00297D02">
              <w:rPr>
                <w:color w:val="1F497D" w:themeColor="text2"/>
                <w:spacing w:val="-5"/>
                <w:sz w:val="20"/>
              </w:rPr>
              <w:t>$</w:t>
            </w:r>
            <w:r w:rsidR="00297D02" w:rsidRPr="00297D02">
              <w:rPr>
                <w:color w:val="1F497D" w:themeColor="text2"/>
              </w:rPr>
              <w:t xml:space="preserve"> </w:t>
            </w:r>
            <w:r w:rsidR="00297D02" w:rsidRPr="00297D02">
              <w:rPr>
                <w:color w:val="1F497D" w:themeColor="text2"/>
                <w:spacing w:val="-5"/>
                <w:sz w:val="20"/>
              </w:rPr>
              <w:t>14,06,56,782</w:t>
            </w:r>
          </w:p>
        </w:tc>
        <w:tc>
          <w:tcPr>
            <w:tcW w:w="7879" w:type="dxa"/>
          </w:tcPr>
          <w:p w14:paraId="1D451AF7" w14:textId="2475202E" w:rsidR="00CE4942" w:rsidRDefault="00297D02" w:rsidP="00297D02">
            <w:pPr>
              <w:pStyle w:val="BodyText"/>
              <w:spacing w:before="131" w:line="288" w:lineRule="auto"/>
              <w:ind w:left="133" w:right="241"/>
            </w:pPr>
            <w:r>
              <w:t>A diverse range of paints for interior and exterior surfaces, offering various colors, finishes, and textures. Ideal for enhancing the aesthetics of residential and commercial properties.</w:t>
            </w:r>
          </w:p>
        </w:tc>
      </w:tr>
      <w:tr w:rsidR="00CE4942" w14:paraId="4B4A5A9B" w14:textId="77777777" w:rsidTr="00297D02">
        <w:trPr>
          <w:trHeight w:val="470"/>
        </w:trPr>
        <w:tc>
          <w:tcPr>
            <w:tcW w:w="1605" w:type="dxa"/>
          </w:tcPr>
          <w:p w14:paraId="42FE0536" w14:textId="38D6FB30" w:rsidR="00CE4942" w:rsidRDefault="00297D02">
            <w:pPr>
              <w:pStyle w:val="TableParagraph"/>
              <w:ind w:left="108"/>
              <w:rPr>
                <w:sz w:val="20"/>
              </w:rPr>
            </w:pPr>
            <w:r>
              <w:t>Industrial Paints</w:t>
            </w:r>
          </w:p>
        </w:tc>
        <w:tc>
          <w:tcPr>
            <w:tcW w:w="1459" w:type="dxa"/>
          </w:tcPr>
          <w:p w14:paraId="261AB845" w14:textId="38786204" w:rsidR="00CE4942" w:rsidRDefault="00FF0044">
            <w:pPr>
              <w:pStyle w:val="TableParagraph"/>
              <w:ind w:left="98"/>
              <w:rPr>
                <w:sz w:val="20"/>
              </w:rPr>
            </w:pPr>
            <w:r w:rsidRPr="00297D02">
              <w:rPr>
                <w:color w:val="1F497D" w:themeColor="text2"/>
                <w:spacing w:val="-5"/>
                <w:sz w:val="20"/>
              </w:rPr>
              <w:t>$</w:t>
            </w:r>
            <w:r w:rsidR="00297D02" w:rsidRPr="00297D02">
              <w:rPr>
                <w:color w:val="1F497D" w:themeColor="text2"/>
              </w:rPr>
              <w:t xml:space="preserve"> </w:t>
            </w:r>
            <w:r w:rsidR="00297D02" w:rsidRPr="00297D02">
              <w:rPr>
                <w:color w:val="1F497D" w:themeColor="text2"/>
                <w:spacing w:val="-5"/>
                <w:sz w:val="20"/>
              </w:rPr>
              <w:t>55,53,99,058</w:t>
            </w:r>
          </w:p>
        </w:tc>
        <w:tc>
          <w:tcPr>
            <w:tcW w:w="7879" w:type="dxa"/>
          </w:tcPr>
          <w:p w14:paraId="6A1BE5C3" w14:textId="01C8E712" w:rsidR="00CE4942" w:rsidRDefault="00297D02" w:rsidP="00297D02">
            <w:pPr>
              <w:pStyle w:val="BodyText"/>
              <w:spacing w:before="131" w:line="288" w:lineRule="auto"/>
              <w:ind w:left="133" w:right="241"/>
            </w:pPr>
            <w:r>
              <w:t>Tailored coatings for different industries, providing durability, protection, and resistance to harsh environments. Suitable for automotive, construction, marine, and more.</w:t>
            </w:r>
          </w:p>
        </w:tc>
      </w:tr>
      <w:tr w:rsidR="00CE4942" w14:paraId="0234E09D" w14:textId="77777777" w:rsidTr="00297D02">
        <w:trPr>
          <w:trHeight w:val="470"/>
        </w:trPr>
        <w:tc>
          <w:tcPr>
            <w:tcW w:w="1605" w:type="dxa"/>
          </w:tcPr>
          <w:p w14:paraId="7E82D44E" w14:textId="7FDA5813" w:rsidR="00CE4942" w:rsidRDefault="00297D02">
            <w:pPr>
              <w:pStyle w:val="TableParagraph"/>
              <w:spacing w:before="110"/>
              <w:ind w:left="108"/>
              <w:rPr>
                <w:sz w:val="20"/>
              </w:rPr>
            </w:pPr>
            <w:r>
              <w:t>Protective Coatings</w:t>
            </w:r>
          </w:p>
        </w:tc>
        <w:tc>
          <w:tcPr>
            <w:tcW w:w="1459" w:type="dxa"/>
          </w:tcPr>
          <w:p w14:paraId="7C17B908" w14:textId="31C37EB7" w:rsidR="00CE4942" w:rsidRDefault="00FF0044">
            <w:pPr>
              <w:pStyle w:val="TableParagraph"/>
              <w:spacing w:before="110"/>
              <w:ind w:left="98"/>
              <w:rPr>
                <w:sz w:val="20"/>
              </w:rPr>
            </w:pPr>
            <w:r w:rsidRPr="00297D02">
              <w:rPr>
                <w:color w:val="1F497D" w:themeColor="text2"/>
                <w:spacing w:val="-5"/>
                <w:sz w:val="20"/>
              </w:rPr>
              <w:t>$</w:t>
            </w:r>
            <w:r w:rsidR="00297D02" w:rsidRPr="00297D02">
              <w:rPr>
                <w:color w:val="1F497D" w:themeColor="text2"/>
              </w:rPr>
              <w:t xml:space="preserve"> </w:t>
            </w:r>
            <w:r w:rsidR="00297D02" w:rsidRPr="00297D02">
              <w:rPr>
                <w:color w:val="1F497D" w:themeColor="text2"/>
                <w:spacing w:val="-5"/>
                <w:sz w:val="20"/>
              </w:rPr>
              <w:t>6,90,42,728</w:t>
            </w:r>
          </w:p>
        </w:tc>
        <w:tc>
          <w:tcPr>
            <w:tcW w:w="7879" w:type="dxa"/>
          </w:tcPr>
          <w:p w14:paraId="35225C1F" w14:textId="780EB5C7" w:rsidR="00CE4942" w:rsidRDefault="00297D02" w:rsidP="00297D02">
            <w:pPr>
              <w:pStyle w:val="BodyText"/>
              <w:spacing w:before="131" w:line="288" w:lineRule="auto"/>
              <w:ind w:left="133" w:right="241"/>
            </w:pPr>
            <w:r>
              <w:t>Specialized coatings to safeguard structures, equipment, and machinery from corrosion, abrasion, and wear. Extends the lifespan of assets and reduces maintenance costs.</w:t>
            </w:r>
          </w:p>
        </w:tc>
      </w:tr>
    </w:tbl>
    <w:p w14:paraId="4199A839" w14:textId="3494E17F" w:rsidR="00CE4942" w:rsidRDefault="00FF0044">
      <w:pPr>
        <w:spacing w:before="13"/>
        <w:ind w:left="133"/>
        <w:rPr>
          <w:sz w:val="18"/>
        </w:rPr>
      </w:pPr>
      <w:r>
        <w:rPr>
          <w:b/>
          <w:w w:val="90"/>
          <w:sz w:val="18"/>
        </w:rPr>
        <w:t>Source:</w:t>
      </w:r>
      <w:r>
        <w:rPr>
          <w:b/>
          <w:spacing w:val="8"/>
          <w:sz w:val="18"/>
        </w:rPr>
        <w:t xml:space="preserve"> </w:t>
      </w:r>
      <w:r w:rsidR="00147116">
        <w:rPr>
          <w:spacing w:val="-5"/>
          <w:sz w:val="18"/>
        </w:rPr>
        <w:t>Berger 2021 Annual Report</w:t>
      </w:r>
    </w:p>
    <w:p w14:paraId="3ED76D99" w14:textId="77777777" w:rsidR="00CE4942" w:rsidRDefault="00CE4942">
      <w:pPr>
        <w:pStyle w:val="BodyText"/>
        <w:rPr>
          <w:i w:val="0"/>
        </w:rPr>
      </w:pPr>
    </w:p>
    <w:p w14:paraId="69945DB9" w14:textId="77777777" w:rsidR="00CE4942" w:rsidRDefault="00FF0044">
      <w:pPr>
        <w:pStyle w:val="BodyText"/>
        <w:spacing w:before="6"/>
        <w:rPr>
          <w:i w:val="0"/>
          <w:sz w:val="15"/>
        </w:rPr>
      </w:pPr>
      <w:r>
        <w:rPr>
          <w:noProof/>
        </w:rPr>
        <mc:AlternateContent>
          <mc:Choice Requires="wps">
            <w:drawing>
              <wp:anchor distT="0" distB="0" distL="0" distR="0" simplePos="0" relativeHeight="487590400" behindDoc="1" locked="0" layoutInCell="1" allowOverlap="1" wp14:anchorId="6344281D" wp14:editId="48C3C5FD">
                <wp:simplePos x="0" y="0"/>
                <wp:positionH relativeFrom="page">
                  <wp:posOffset>596900</wp:posOffset>
                </wp:positionH>
                <wp:positionV relativeFrom="paragraph">
                  <wp:posOffset>128905</wp:posOffset>
                </wp:positionV>
                <wp:extent cx="6578600" cy="1270"/>
                <wp:effectExtent l="0" t="0" r="12700" b="11430"/>
                <wp:wrapTopAndBottom/>
                <wp:docPr id="1"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940 940"/>
                            <a:gd name="T1" fmla="*/ T0 w 10360"/>
                            <a:gd name="T2" fmla="+- 0 11300 940"/>
                            <a:gd name="T3" fmla="*/ T2 w 10360"/>
                          </a:gdLst>
                          <a:ahLst/>
                          <a:cxnLst>
                            <a:cxn ang="0">
                              <a:pos x="T1" y="0"/>
                            </a:cxn>
                            <a:cxn ang="0">
                              <a:pos x="T3" y="0"/>
                            </a:cxn>
                          </a:cxnLst>
                          <a:rect l="0" t="0" r="r" b="b"/>
                          <a:pathLst>
                            <a:path w="10360">
                              <a:moveTo>
                                <a:pt x="0" y="0"/>
                              </a:moveTo>
                              <a:lnTo>
                                <a:pt x="1036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776FF" id="docshape6" o:spid="_x0000_s1026" style="position:absolute;margin-left:47pt;margin-top:10.15pt;width:51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" path="m,l10360,e" filled="f" strokecolor="#878787" strokeweight="1pt">
                <v:path arrowok="t" o:connecttype="custom" o:connectlocs="0,0;6578600,0" o:connectangles="0,0"/>
                <w10:wrap type="topAndBottom" anchorx="page"/>
              </v:shape>
            </w:pict>
          </mc:Fallback>
        </mc:AlternateContent>
      </w:r>
    </w:p>
    <w:p w14:paraId="63B0367C" w14:textId="59A572F7" w:rsidR="00CE4942" w:rsidRDefault="00FF0044" w:rsidP="00C03AFD">
      <w:pPr>
        <w:pStyle w:val="BodyText"/>
        <w:spacing w:before="97" w:line="288" w:lineRule="auto"/>
        <w:ind w:left="133" w:right="433"/>
        <w:jc w:val="both"/>
        <w:rPr>
          <w:b/>
          <w:i w:val="0"/>
          <w:spacing w:val="-7"/>
          <w:sz w:val="28"/>
        </w:rPr>
      </w:pPr>
      <w:r>
        <w:rPr>
          <w:b/>
          <w:i w:val="0"/>
          <w:spacing w:val="-2"/>
          <w:sz w:val="28"/>
        </w:rPr>
        <w:t>Other</w:t>
      </w:r>
      <w:r>
        <w:rPr>
          <w:b/>
          <w:i w:val="0"/>
          <w:spacing w:val="-7"/>
          <w:sz w:val="28"/>
        </w:rPr>
        <w:t xml:space="preserve"> </w:t>
      </w:r>
    </w:p>
    <w:p w14:paraId="3B3856DB" w14:textId="568CB94C" w:rsidR="00C03AFD" w:rsidRDefault="00C03AFD" w:rsidP="00C03AFD">
      <w:pPr>
        <w:pStyle w:val="BodyText"/>
        <w:spacing w:before="97" w:line="288" w:lineRule="auto"/>
        <w:ind w:left="133" w:right="433"/>
        <w:jc w:val="both"/>
      </w:pPr>
      <w:r w:rsidRPr="00C03AFD">
        <w:drawing>
          <wp:inline distT="0" distB="0" distL="0" distR="0" wp14:anchorId="6FAD6FAC" wp14:editId="5EE52CB1">
            <wp:extent cx="6832600" cy="27432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2600" cy="2743200"/>
                    </a:xfrm>
                    <a:prstGeom prst="rect">
                      <a:avLst/>
                    </a:prstGeom>
                  </pic:spPr>
                </pic:pic>
              </a:graphicData>
            </a:graphic>
          </wp:inline>
        </w:drawing>
      </w:r>
    </w:p>
    <w:sectPr w:rsidR="00C03AFD">
      <w:pgSz w:w="12240" w:h="15840"/>
      <w:pgMar w:top="84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F7137"/>
    <w:multiLevelType w:val="hybridMultilevel"/>
    <w:tmpl w:val="41B89122"/>
    <w:lvl w:ilvl="0" w:tplc="40A8F024">
      <w:numFmt w:val="bullet"/>
      <w:lvlText w:val="●"/>
      <w:lvlJc w:val="left"/>
      <w:pPr>
        <w:ind w:left="853" w:hanging="360"/>
      </w:pPr>
      <w:rPr>
        <w:rFonts w:ascii="Arial" w:eastAsia="Arial" w:hAnsi="Arial" w:cs="Arial" w:hint="default"/>
        <w:b w:val="0"/>
        <w:bCs w:val="0"/>
        <w:i w:val="0"/>
        <w:iCs w:val="0"/>
        <w:w w:val="100"/>
        <w:sz w:val="20"/>
        <w:szCs w:val="20"/>
        <w:lang w:val="en-US" w:eastAsia="en-US" w:bidi="ar-SA"/>
      </w:rPr>
    </w:lvl>
    <w:lvl w:ilvl="1" w:tplc="5C164B7A">
      <w:numFmt w:val="bullet"/>
      <w:lvlText w:val="○"/>
      <w:lvlJc w:val="left"/>
      <w:pPr>
        <w:ind w:left="1573" w:hanging="360"/>
      </w:pPr>
      <w:rPr>
        <w:rFonts w:ascii="Arial" w:eastAsia="Arial" w:hAnsi="Arial" w:cs="Arial" w:hint="default"/>
        <w:b w:val="0"/>
        <w:bCs w:val="0"/>
        <w:i w:val="0"/>
        <w:iCs w:val="0"/>
        <w:w w:val="100"/>
        <w:sz w:val="20"/>
        <w:szCs w:val="20"/>
        <w:lang w:val="en-US" w:eastAsia="en-US" w:bidi="ar-SA"/>
      </w:rPr>
    </w:lvl>
    <w:lvl w:ilvl="2" w:tplc="DA4E9654">
      <w:numFmt w:val="bullet"/>
      <w:lvlText w:val="•"/>
      <w:lvlJc w:val="left"/>
      <w:pPr>
        <w:ind w:left="2600" w:hanging="360"/>
      </w:pPr>
      <w:rPr>
        <w:rFonts w:hint="default"/>
        <w:lang w:val="en-US" w:eastAsia="en-US" w:bidi="ar-SA"/>
      </w:rPr>
    </w:lvl>
    <w:lvl w:ilvl="3" w:tplc="8FC01E5E">
      <w:numFmt w:val="bullet"/>
      <w:lvlText w:val="•"/>
      <w:lvlJc w:val="left"/>
      <w:pPr>
        <w:ind w:left="3620" w:hanging="360"/>
      </w:pPr>
      <w:rPr>
        <w:rFonts w:hint="default"/>
        <w:lang w:val="en-US" w:eastAsia="en-US" w:bidi="ar-SA"/>
      </w:rPr>
    </w:lvl>
    <w:lvl w:ilvl="4" w:tplc="7C008168">
      <w:numFmt w:val="bullet"/>
      <w:lvlText w:val="•"/>
      <w:lvlJc w:val="left"/>
      <w:pPr>
        <w:ind w:left="4640" w:hanging="360"/>
      </w:pPr>
      <w:rPr>
        <w:rFonts w:hint="default"/>
        <w:lang w:val="en-US" w:eastAsia="en-US" w:bidi="ar-SA"/>
      </w:rPr>
    </w:lvl>
    <w:lvl w:ilvl="5" w:tplc="0C127F70">
      <w:numFmt w:val="bullet"/>
      <w:lvlText w:val="•"/>
      <w:lvlJc w:val="left"/>
      <w:pPr>
        <w:ind w:left="5660" w:hanging="360"/>
      </w:pPr>
      <w:rPr>
        <w:rFonts w:hint="default"/>
        <w:lang w:val="en-US" w:eastAsia="en-US" w:bidi="ar-SA"/>
      </w:rPr>
    </w:lvl>
    <w:lvl w:ilvl="6" w:tplc="85CA37B2">
      <w:numFmt w:val="bullet"/>
      <w:lvlText w:val="•"/>
      <w:lvlJc w:val="left"/>
      <w:pPr>
        <w:ind w:left="6680" w:hanging="360"/>
      </w:pPr>
      <w:rPr>
        <w:rFonts w:hint="default"/>
        <w:lang w:val="en-US" w:eastAsia="en-US" w:bidi="ar-SA"/>
      </w:rPr>
    </w:lvl>
    <w:lvl w:ilvl="7" w:tplc="0122DA20">
      <w:numFmt w:val="bullet"/>
      <w:lvlText w:val="•"/>
      <w:lvlJc w:val="left"/>
      <w:pPr>
        <w:ind w:left="7700" w:hanging="360"/>
      </w:pPr>
      <w:rPr>
        <w:rFonts w:hint="default"/>
        <w:lang w:val="en-US" w:eastAsia="en-US" w:bidi="ar-SA"/>
      </w:rPr>
    </w:lvl>
    <w:lvl w:ilvl="8" w:tplc="B89A674C">
      <w:numFmt w:val="bullet"/>
      <w:lvlText w:val="•"/>
      <w:lvlJc w:val="left"/>
      <w:pPr>
        <w:ind w:left="872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42"/>
    <w:rsid w:val="00147116"/>
    <w:rsid w:val="00297D02"/>
    <w:rsid w:val="004635BA"/>
    <w:rsid w:val="00C03AFD"/>
    <w:rsid w:val="00C23706"/>
    <w:rsid w:val="00CE4942"/>
    <w:rsid w:val="00FF0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DF4E"/>
  <w15:docId w15:val="{BA8D2669-CE9A-454B-B256-34DAC553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3"/>
      <w:ind w:left="133"/>
      <w:outlineLvl w:val="0"/>
    </w:pPr>
    <w:rPr>
      <w:b/>
      <w:bCs/>
      <w:sz w:val="28"/>
      <w:szCs w:val="28"/>
    </w:rPr>
  </w:style>
  <w:style w:type="paragraph" w:styleId="Heading3">
    <w:name w:val="heading 3"/>
    <w:basedOn w:val="Normal"/>
    <w:next w:val="Normal"/>
    <w:link w:val="Heading3Char"/>
    <w:uiPriority w:val="9"/>
    <w:unhideWhenUsed/>
    <w:qFormat/>
    <w:rsid w:val="00C2370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spacing w:before="46"/>
      <w:ind w:left="1573" w:hanging="361"/>
    </w:pPr>
  </w:style>
  <w:style w:type="paragraph" w:customStyle="1" w:styleId="TableParagraph">
    <w:name w:val="Table Paragraph"/>
    <w:basedOn w:val="Normal"/>
    <w:uiPriority w:val="1"/>
    <w:qFormat/>
    <w:pPr>
      <w:spacing w:before="105"/>
    </w:pPr>
  </w:style>
  <w:style w:type="character" w:styleId="Hyperlink">
    <w:name w:val="Hyperlink"/>
    <w:basedOn w:val="DefaultParagraphFont"/>
    <w:uiPriority w:val="99"/>
    <w:unhideWhenUsed/>
    <w:rsid w:val="00C23706"/>
    <w:rPr>
      <w:color w:val="0000FF" w:themeColor="hyperlink"/>
      <w:u w:val="single"/>
    </w:rPr>
  </w:style>
  <w:style w:type="character" w:styleId="UnresolvedMention">
    <w:name w:val="Unresolved Mention"/>
    <w:basedOn w:val="DefaultParagraphFont"/>
    <w:uiPriority w:val="99"/>
    <w:semiHidden/>
    <w:unhideWhenUsed/>
    <w:rsid w:val="00C23706"/>
    <w:rPr>
      <w:color w:val="605E5C"/>
      <w:shd w:val="clear" w:color="auto" w:fill="E1DFDD"/>
    </w:rPr>
  </w:style>
  <w:style w:type="character" w:customStyle="1" w:styleId="Heading3Char">
    <w:name w:val="Heading 3 Char"/>
    <w:basedOn w:val="DefaultParagraphFont"/>
    <w:link w:val="Heading3"/>
    <w:uiPriority w:val="9"/>
    <w:rsid w:val="00C2370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888">
      <w:bodyDiv w:val="1"/>
      <w:marLeft w:val="0"/>
      <w:marRight w:val="0"/>
      <w:marTop w:val="0"/>
      <w:marBottom w:val="0"/>
      <w:divBdr>
        <w:top w:val="none" w:sz="0" w:space="0" w:color="auto"/>
        <w:left w:val="none" w:sz="0" w:space="0" w:color="auto"/>
        <w:bottom w:val="none" w:sz="0" w:space="0" w:color="auto"/>
        <w:right w:val="none" w:sz="0" w:space="0" w:color="auto"/>
      </w:divBdr>
    </w:div>
    <w:div w:id="186414355">
      <w:bodyDiv w:val="1"/>
      <w:marLeft w:val="0"/>
      <w:marRight w:val="0"/>
      <w:marTop w:val="0"/>
      <w:marBottom w:val="0"/>
      <w:divBdr>
        <w:top w:val="none" w:sz="0" w:space="0" w:color="auto"/>
        <w:left w:val="none" w:sz="0" w:space="0" w:color="auto"/>
        <w:bottom w:val="none" w:sz="0" w:space="0" w:color="auto"/>
        <w:right w:val="none" w:sz="0" w:space="0" w:color="auto"/>
      </w:divBdr>
    </w:div>
    <w:div w:id="386149629">
      <w:bodyDiv w:val="1"/>
      <w:marLeft w:val="0"/>
      <w:marRight w:val="0"/>
      <w:marTop w:val="0"/>
      <w:marBottom w:val="0"/>
      <w:divBdr>
        <w:top w:val="none" w:sz="0" w:space="0" w:color="auto"/>
        <w:left w:val="none" w:sz="0" w:space="0" w:color="auto"/>
        <w:bottom w:val="none" w:sz="0" w:space="0" w:color="auto"/>
        <w:right w:val="none" w:sz="0" w:space="0" w:color="auto"/>
      </w:divBdr>
    </w:div>
    <w:div w:id="475151631">
      <w:bodyDiv w:val="1"/>
      <w:marLeft w:val="0"/>
      <w:marRight w:val="0"/>
      <w:marTop w:val="0"/>
      <w:marBottom w:val="0"/>
      <w:divBdr>
        <w:top w:val="none" w:sz="0" w:space="0" w:color="auto"/>
        <w:left w:val="none" w:sz="0" w:space="0" w:color="auto"/>
        <w:bottom w:val="none" w:sz="0" w:space="0" w:color="auto"/>
        <w:right w:val="none" w:sz="0" w:space="0" w:color="auto"/>
      </w:divBdr>
    </w:div>
    <w:div w:id="660080025">
      <w:bodyDiv w:val="1"/>
      <w:marLeft w:val="0"/>
      <w:marRight w:val="0"/>
      <w:marTop w:val="0"/>
      <w:marBottom w:val="0"/>
      <w:divBdr>
        <w:top w:val="none" w:sz="0" w:space="0" w:color="auto"/>
        <w:left w:val="none" w:sz="0" w:space="0" w:color="auto"/>
        <w:bottom w:val="none" w:sz="0" w:space="0" w:color="auto"/>
        <w:right w:val="none" w:sz="0" w:space="0" w:color="auto"/>
      </w:divBdr>
    </w:div>
    <w:div w:id="698287108">
      <w:bodyDiv w:val="1"/>
      <w:marLeft w:val="0"/>
      <w:marRight w:val="0"/>
      <w:marTop w:val="0"/>
      <w:marBottom w:val="0"/>
      <w:divBdr>
        <w:top w:val="none" w:sz="0" w:space="0" w:color="auto"/>
        <w:left w:val="none" w:sz="0" w:space="0" w:color="auto"/>
        <w:bottom w:val="none" w:sz="0" w:space="0" w:color="auto"/>
        <w:right w:val="none" w:sz="0" w:space="0" w:color="auto"/>
      </w:divBdr>
    </w:div>
    <w:div w:id="719136912">
      <w:bodyDiv w:val="1"/>
      <w:marLeft w:val="0"/>
      <w:marRight w:val="0"/>
      <w:marTop w:val="0"/>
      <w:marBottom w:val="0"/>
      <w:divBdr>
        <w:top w:val="none" w:sz="0" w:space="0" w:color="auto"/>
        <w:left w:val="none" w:sz="0" w:space="0" w:color="auto"/>
        <w:bottom w:val="none" w:sz="0" w:space="0" w:color="auto"/>
        <w:right w:val="none" w:sz="0" w:space="0" w:color="auto"/>
      </w:divBdr>
    </w:div>
    <w:div w:id="752434976">
      <w:bodyDiv w:val="1"/>
      <w:marLeft w:val="0"/>
      <w:marRight w:val="0"/>
      <w:marTop w:val="0"/>
      <w:marBottom w:val="0"/>
      <w:divBdr>
        <w:top w:val="none" w:sz="0" w:space="0" w:color="auto"/>
        <w:left w:val="none" w:sz="0" w:space="0" w:color="auto"/>
        <w:bottom w:val="none" w:sz="0" w:space="0" w:color="auto"/>
        <w:right w:val="none" w:sz="0" w:space="0" w:color="auto"/>
      </w:divBdr>
    </w:div>
    <w:div w:id="1298029462">
      <w:bodyDiv w:val="1"/>
      <w:marLeft w:val="0"/>
      <w:marRight w:val="0"/>
      <w:marTop w:val="0"/>
      <w:marBottom w:val="0"/>
      <w:divBdr>
        <w:top w:val="none" w:sz="0" w:space="0" w:color="auto"/>
        <w:left w:val="none" w:sz="0" w:space="0" w:color="auto"/>
        <w:bottom w:val="none" w:sz="0" w:space="0" w:color="auto"/>
        <w:right w:val="none" w:sz="0" w:space="0" w:color="auto"/>
      </w:divBdr>
    </w:div>
    <w:div w:id="1908492093">
      <w:bodyDiv w:val="1"/>
      <w:marLeft w:val="0"/>
      <w:marRight w:val="0"/>
      <w:marTop w:val="0"/>
      <w:marBottom w:val="0"/>
      <w:divBdr>
        <w:top w:val="none" w:sz="0" w:space="0" w:color="auto"/>
        <w:left w:val="none" w:sz="0" w:space="0" w:color="auto"/>
        <w:bottom w:val="none" w:sz="0" w:space="0" w:color="auto"/>
        <w:right w:val="none" w:sz="0" w:space="0" w:color="auto"/>
      </w:divBdr>
    </w:div>
    <w:div w:id="205838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sj.com/market-data/quotes/IN/XNSE/BERGEPAINT/financials/annual/income-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Resource: Business summary template</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Business summary template</dc:title>
  <cp:lastModifiedBy>Balasubramanyan</cp:lastModifiedBy>
  <cp:revision>4</cp:revision>
  <dcterms:created xsi:type="dcterms:W3CDTF">2023-04-03T16:41:00Z</dcterms:created>
  <dcterms:modified xsi:type="dcterms:W3CDTF">2023-07-22T06:28:00Z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m113 Google Docs Renderer</vt:lpwstr>
  </property>
</Properties>
</file>