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0EF2" w14:textId="68A122B2" w:rsidR="00821DD3" w:rsidRPr="00821DD3" w:rsidRDefault="00821DD3" w:rsidP="00821DD3">
      <w:pPr>
        <w:spacing w:line="360" w:lineRule="auto"/>
        <w:jc w:val="center"/>
        <w:rPr>
          <w:rFonts w:ascii="Cambria" w:hAnsi="Cambria"/>
          <w:b/>
          <w:bCs/>
          <w:sz w:val="32"/>
          <w:szCs w:val="32"/>
          <w:lang w:val="en-US"/>
        </w:rPr>
      </w:pPr>
      <w:r w:rsidRPr="00821DD3">
        <w:rPr>
          <w:rFonts w:ascii="Cambria" w:hAnsi="Cambria"/>
          <w:b/>
          <w:bCs/>
          <w:sz w:val="32"/>
          <w:szCs w:val="32"/>
          <w:lang w:val="en-US"/>
        </w:rPr>
        <w:t>SET OFF AND CARRY FORWARD OF LOSSES</w:t>
      </w:r>
    </w:p>
    <w:p w14:paraId="0BB98AAD" w14:textId="22A14295" w:rsidR="007376E4" w:rsidRPr="00821DD3" w:rsidRDefault="007376E4" w:rsidP="00821DD3">
      <w:pPr>
        <w:spacing w:line="360" w:lineRule="auto"/>
        <w:jc w:val="both"/>
        <w:rPr>
          <w:rFonts w:ascii="Cambria" w:hAnsi="Cambria"/>
          <w:b/>
          <w:bCs/>
          <w:sz w:val="28"/>
          <w:szCs w:val="28"/>
          <w:u w:val="single"/>
          <w:lang w:val="en-US"/>
        </w:rPr>
      </w:pPr>
      <w:r w:rsidRPr="00821DD3">
        <w:rPr>
          <w:rFonts w:ascii="Cambria" w:hAnsi="Cambria"/>
          <w:b/>
          <w:bCs/>
          <w:sz w:val="28"/>
          <w:szCs w:val="28"/>
          <w:u w:val="single"/>
          <w:lang w:val="en-US"/>
        </w:rPr>
        <w:t>SET OFF OF LOSSES</w:t>
      </w:r>
    </w:p>
    <w:p w14:paraId="767F0ACE" w14:textId="77777777" w:rsidR="006C1475" w:rsidRPr="00821DD3" w:rsidRDefault="006C1475" w:rsidP="00821DD3">
      <w:pPr>
        <w:spacing w:line="360" w:lineRule="auto"/>
        <w:jc w:val="both"/>
        <w:rPr>
          <w:rFonts w:ascii="Cambria" w:hAnsi="Cambria"/>
          <w:lang w:val="en-US"/>
        </w:rPr>
      </w:pPr>
    </w:p>
    <w:tbl>
      <w:tblPr>
        <w:tblStyle w:val="TableGrid"/>
        <w:tblW w:w="0" w:type="auto"/>
        <w:tblLook w:val="04A0" w:firstRow="1" w:lastRow="0" w:firstColumn="1" w:lastColumn="0" w:noHBand="0" w:noVBand="1"/>
      </w:tblPr>
      <w:tblGrid>
        <w:gridCol w:w="562"/>
        <w:gridCol w:w="4111"/>
        <w:gridCol w:w="3969"/>
      </w:tblGrid>
      <w:tr w:rsidR="006C1475" w:rsidRPr="00821DD3" w14:paraId="70B415F4" w14:textId="77777777" w:rsidTr="00414EAC">
        <w:tc>
          <w:tcPr>
            <w:tcW w:w="562" w:type="dxa"/>
          </w:tcPr>
          <w:p w14:paraId="02CE8204"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1</w:t>
            </w:r>
          </w:p>
        </w:tc>
        <w:tc>
          <w:tcPr>
            <w:tcW w:w="4111" w:type="dxa"/>
          </w:tcPr>
          <w:p w14:paraId="475E8CA0"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from House Property</w:t>
            </w:r>
          </w:p>
        </w:tc>
        <w:tc>
          <w:tcPr>
            <w:tcW w:w="3969" w:type="dxa"/>
          </w:tcPr>
          <w:p w14:paraId="1145A04F" w14:textId="77777777" w:rsidR="006C1475" w:rsidRPr="00821DD3" w:rsidRDefault="006C1475" w:rsidP="00821DD3">
            <w:pPr>
              <w:pStyle w:val="ListParagraph"/>
              <w:numPr>
                <w:ilvl w:val="0"/>
                <w:numId w:val="2"/>
              </w:numPr>
              <w:spacing w:line="360" w:lineRule="auto"/>
              <w:jc w:val="both"/>
              <w:rPr>
                <w:rFonts w:ascii="Cambria" w:hAnsi="Cambria"/>
                <w:lang w:val="en-US"/>
              </w:rPr>
            </w:pPr>
            <w:r w:rsidRPr="00821DD3">
              <w:rPr>
                <w:rFonts w:ascii="Cambria" w:hAnsi="Cambria"/>
                <w:lang w:val="en-US"/>
              </w:rPr>
              <w:t>Income from any other house property.</w:t>
            </w:r>
          </w:p>
          <w:p w14:paraId="3723BA6F" w14:textId="3533A68C" w:rsidR="006C1475" w:rsidRPr="00821DD3" w:rsidRDefault="006C1475" w:rsidP="00821DD3">
            <w:pPr>
              <w:pStyle w:val="ListParagraph"/>
              <w:numPr>
                <w:ilvl w:val="0"/>
                <w:numId w:val="2"/>
              </w:numPr>
              <w:spacing w:line="360" w:lineRule="auto"/>
              <w:jc w:val="both"/>
              <w:rPr>
                <w:rFonts w:ascii="Cambria" w:hAnsi="Cambria"/>
                <w:lang w:val="en-US"/>
              </w:rPr>
            </w:pPr>
            <w:r w:rsidRPr="00821DD3">
              <w:rPr>
                <w:rFonts w:ascii="Cambria" w:hAnsi="Cambria"/>
                <w:lang w:val="en-US"/>
              </w:rPr>
              <w:t>Any other head of income However w.e.f AY 2018-19, set off of</w:t>
            </w:r>
            <w:r w:rsidR="00A807C6">
              <w:rPr>
                <w:rFonts w:ascii="Cambria" w:hAnsi="Cambria"/>
                <w:lang w:val="en-US"/>
              </w:rPr>
              <w:t xml:space="preserve"> </w:t>
            </w:r>
            <w:r w:rsidRPr="00821DD3">
              <w:rPr>
                <w:rFonts w:ascii="Cambria" w:hAnsi="Cambria"/>
                <w:lang w:val="en-US"/>
              </w:rPr>
              <w:t>loss against any other head is restricted to two lakh Rupees for any Assessment Year.</w:t>
            </w:r>
          </w:p>
        </w:tc>
      </w:tr>
      <w:tr w:rsidR="006C1475" w:rsidRPr="00821DD3" w14:paraId="2929784E" w14:textId="77777777" w:rsidTr="00414EAC">
        <w:tc>
          <w:tcPr>
            <w:tcW w:w="562" w:type="dxa"/>
          </w:tcPr>
          <w:p w14:paraId="47BB257B"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2</w:t>
            </w:r>
          </w:p>
        </w:tc>
        <w:tc>
          <w:tcPr>
            <w:tcW w:w="4111" w:type="dxa"/>
          </w:tcPr>
          <w:p w14:paraId="7199B2A0"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from Business or Profession</w:t>
            </w:r>
          </w:p>
        </w:tc>
        <w:tc>
          <w:tcPr>
            <w:tcW w:w="3969" w:type="dxa"/>
          </w:tcPr>
          <w:p w14:paraId="3066A740" w14:textId="77777777" w:rsidR="006C1475" w:rsidRPr="00821DD3" w:rsidRDefault="006C1475" w:rsidP="00821DD3">
            <w:pPr>
              <w:pStyle w:val="ListParagraph"/>
              <w:numPr>
                <w:ilvl w:val="0"/>
                <w:numId w:val="1"/>
              </w:numPr>
              <w:spacing w:line="360" w:lineRule="auto"/>
              <w:jc w:val="both"/>
              <w:rPr>
                <w:rFonts w:ascii="Cambria" w:hAnsi="Cambria"/>
                <w:lang w:val="en-US"/>
              </w:rPr>
            </w:pPr>
            <w:r w:rsidRPr="00821DD3">
              <w:rPr>
                <w:rFonts w:ascii="Cambria" w:hAnsi="Cambria"/>
                <w:lang w:val="en-US"/>
              </w:rPr>
              <w:t>Income from any other business or profession</w:t>
            </w:r>
          </w:p>
          <w:p w14:paraId="6D2B174B" w14:textId="77777777" w:rsidR="006C1475" w:rsidRPr="00821DD3" w:rsidRDefault="006C1475" w:rsidP="00821DD3">
            <w:pPr>
              <w:pStyle w:val="ListParagraph"/>
              <w:numPr>
                <w:ilvl w:val="0"/>
                <w:numId w:val="1"/>
              </w:numPr>
              <w:spacing w:line="360" w:lineRule="auto"/>
              <w:jc w:val="both"/>
              <w:rPr>
                <w:rFonts w:ascii="Cambria" w:hAnsi="Cambria"/>
                <w:lang w:val="en-US"/>
              </w:rPr>
            </w:pPr>
            <w:r w:rsidRPr="00821DD3">
              <w:rPr>
                <w:rFonts w:ascii="Cambria" w:hAnsi="Cambria"/>
                <w:lang w:val="en-US"/>
              </w:rPr>
              <w:t>Any other head except Income under the head salary.</w:t>
            </w:r>
          </w:p>
        </w:tc>
      </w:tr>
      <w:tr w:rsidR="006C1475" w:rsidRPr="00821DD3" w14:paraId="728FC0B0" w14:textId="77777777" w:rsidTr="00414EAC">
        <w:tc>
          <w:tcPr>
            <w:tcW w:w="562" w:type="dxa"/>
          </w:tcPr>
          <w:p w14:paraId="36F91D15"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3</w:t>
            </w:r>
          </w:p>
        </w:tc>
        <w:tc>
          <w:tcPr>
            <w:tcW w:w="4111" w:type="dxa"/>
          </w:tcPr>
          <w:p w14:paraId="0DDD72D1"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from Speculation</w:t>
            </w:r>
          </w:p>
        </w:tc>
        <w:tc>
          <w:tcPr>
            <w:tcW w:w="3969" w:type="dxa"/>
          </w:tcPr>
          <w:p w14:paraId="038A7AA5" w14:textId="77777777" w:rsidR="006C1475" w:rsidRPr="00821DD3" w:rsidRDefault="006C1475" w:rsidP="00821DD3">
            <w:pPr>
              <w:pStyle w:val="ListParagraph"/>
              <w:numPr>
                <w:ilvl w:val="0"/>
                <w:numId w:val="3"/>
              </w:numPr>
              <w:spacing w:line="360" w:lineRule="auto"/>
              <w:jc w:val="both"/>
              <w:rPr>
                <w:rFonts w:ascii="Cambria" w:hAnsi="Cambria"/>
                <w:lang w:val="en-US"/>
              </w:rPr>
            </w:pPr>
            <w:r w:rsidRPr="00821DD3">
              <w:rPr>
                <w:rFonts w:ascii="Cambria" w:hAnsi="Cambria"/>
                <w:lang w:val="en-US"/>
              </w:rPr>
              <w:t>Income from Speculation</w:t>
            </w:r>
          </w:p>
        </w:tc>
      </w:tr>
      <w:tr w:rsidR="006C1475" w:rsidRPr="00821DD3" w14:paraId="07885938" w14:textId="77777777" w:rsidTr="00414EAC">
        <w:tc>
          <w:tcPr>
            <w:tcW w:w="562" w:type="dxa"/>
          </w:tcPr>
          <w:p w14:paraId="0FE01B59"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4</w:t>
            </w:r>
          </w:p>
        </w:tc>
        <w:tc>
          <w:tcPr>
            <w:tcW w:w="4111" w:type="dxa"/>
          </w:tcPr>
          <w:p w14:paraId="2385DF1B"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of specified business</w:t>
            </w:r>
          </w:p>
        </w:tc>
        <w:tc>
          <w:tcPr>
            <w:tcW w:w="3969" w:type="dxa"/>
          </w:tcPr>
          <w:p w14:paraId="61CCC402" w14:textId="77777777" w:rsidR="006C1475" w:rsidRPr="00821DD3" w:rsidRDefault="006C1475" w:rsidP="00821DD3">
            <w:pPr>
              <w:pStyle w:val="ListParagraph"/>
              <w:numPr>
                <w:ilvl w:val="0"/>
                <w:numId w:val="4"/>
              </w:numPr>
              <w:spacing w:line="360" w:lineRule="auto"/>
              <w:jc w:val="both"/>
              <w:rPr>
                <w:rFonts w:ascii="Cambria" w:hAnsi="Cambria"/>
                <w:lang w:val="en-US"/>
              </w:rPr>
            </w:pPr>
            <w:r w:rsidRPr="00821DD3">
              <w:rPr>
                <w:rFonts w:ascii="Cambria" w:hAnsi="Cambria"/>
                <w:lang w:val="en-US"/>
              </w:rPr>
              <w:t>Income from any other specified business</w:t>
            </w:r>
          </w:p>
        </w:tc>
      </w:tr>
      <w:tr w:rsidR="006C1475" w:rsidRPr="00821DD3" w14:paraId="417794ED" w14:textId="77777777" w:rsidTr="00414EAC">
        <w:tc>
          <w:tcPr>
            <w:tcW w:w="562" w:type="dxa"/>
          </w:tcPr>
          <w:p w14:paraId="14D380AE"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5</w:t>
            </w:r>
          </w:p>
        </w:tc>
        <w:tc>
          <w:tcPr>
            <w:tcW w:w="4111" w:type="dxa"/>
          </w:tcPr>
          <w:p w14:paraId="10FC43B1"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Short Term Capital Loss</w:t>
            </w:r>
          </w:p>
        </w:tc>
        <w:tc>
          <w:tcPr>
            <w:tcW w:w="3969" w:type="dxa"/>
          </w:tcPr>
          <w:p w14:paraId="38BDA4C8" w14:textId="77777777" w:rsidR="006C1475" w:rsidRPr="00821DD3" w:rsidRDefault="006C1475" w:rsidP="00821DD3">
            <w:pPr>
              <w:pStyle w:val="ListParagraph"/>
              <w:numPr>
                <w:ilvl w:val="0"/>
                <w:numId w:val="5"/>
              </w:numPr>
              <w:spacing w:line="360" w:lineRule="auto"/>
              <w:jc w:val="both"/>
              <w:rPr>
                <w:rFonts w:ascii="Cambria" w:hAnsi="Cambria"/>
                <w:lang w:val="en-US"/>
              </w:rPr>
            </w:pPr>
            <w:r w:rsidRPr="00821DD3">
              <w:rPr>
                <w:rFonts w:ascii="Cambria" w:hAnsi="Cambria"/>
                <w:lang w:val="en-US"/>
              </w:rPr>
              <w:t>Short Term Capital Gain</w:t>
            </w:r>
          </w:p>
          <w:p w14:paraId="5E67716F" w14:textId="77777777" w:rsidR="006C1475" w:rsidRPr="00821DD3" w:rsidRDefault="006C1475" w:rsidP="00821DD3">
            <w:pPr>
              <w:pStyle w:val="ListParagraph"/>
              <w:numPr>
                <w:ilvl w:val="0"/>
                <w:numId w:val="5"/>
              </w:numPr>
              <w:spacing w:line="360" w:lineRule="auto"/>
              <w:jc w:val="both"/>
              <w:rPr>
                <w:rFonts w:ascii="Cambria" w:hAnsi="Cambria"/>
                <w:lang w:val="en-US"/>
              </w:rPr>
            </w:pPr>
            <w:r w:rsidRPr="00821DD3">
              <w:rPr>
                <w:rFonts w:ascii="Cambria" w:hAnsi="Cambria"/>
                <w:lang w:val="en-US"/>
              </w:rPr>
              <w:t>Long Term Capital Gain</w:t>
            </w:r>
          </w:p>
        </w:tc>
      </w:tr>
      <w:tr w:rsidR="006C1475" w:rsidRPr="00821DD3" w14:paraId="65FF44EB" w14:textId="77777777" w:rsidTr="00414EAC">
        <w:tc>
          <w:tcPr>
            <w:tcW w:w="562" w:type="dxa"/>
          </w:tcPr>
          <w:p w14:paraId="23992DA1"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6</w:t>
            </w:r>
          </w:p>
        </w:tc>
        <w:tc>
          <w:tcPr>
            <w:tcW w:w="4111" w:type="dxa"/>
          </w:tcPr>
          <w:p w14:paraId="467831AF"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Long Term Capital Loss</w:t>
            </w:r>
          </w:p>
        </w:tc>
        <w:tc>
          <w:tcPr>
            <w:tcW w:w="3969" w:type="dxa"/>
          </w:tcPr>
          <w:p w14:paraId="0C16E942" w14:textId="77777777" w:rsidR="006C1475" w:rsidRPr="00821DD3" w:rsidRDefault="006C1475" w:rsidP="00821DD3">
            <w:pPr>
              <w:pStyle w:val="ListParagraph"/>
              <w:numPr>
                <w:ilvl w:val="0"/>
                <w:numId w:val="6"/>
              </w:numPr>
              <w:spacing w:line="360" w:lineRule="auto"/>
              <w:jc w:val="both"/>
              <w:rPr>
                <w:rFonts w:ascii="Cambria" w:hAnsi="Cambria"/>
                <w:lang w:val="en-US"/>
              </w:rPr>
            </w:pPr>
            <w:r w:rsidRPr="00821DD3">
              <w:rPr>
                <w:rFonts w:ascii="Cambria" w:hAnsi="Cambria"/>
                <w:lang w:val="en-US"/>
              </w:rPr>
              <w:t>Long Term Capital Gain</w:t>
            </w:r>
          </w:p>
        </w:tc>
      </w:tr>
      <w:tr w:rsidR="006C1475" w:rsidRPr="00821DD3" w14:paraId="2C866619" w14:textId="77777777" w:rsidTr="00414EAC">
        <w:tc>
          <w:tcPr>
            <w:tcW w:w="562" w:type="dxa"/>
          </w:tcPr>
          <w:p w14:paraId="0D03D134"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7</w:t>
            </w:r>
          </w:p>
        </w:tc>
        <w:tc>
          <w:tcPr>
            <w:tcW w:w="4111" w:type="dxa"/>
          </w:tcPr>
          <w:p w14:paraId="667D6598"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from activity of owning and maintaining horse races</w:t>
            </w:r>
          </w:p>
        </w:tc>
        <w:tc>
          <w:tcPr>
            <w:tcW w:w="3969" w:type="dxa"/>
          </w:tcPr>
          <w:p w14:paraId="73AF70C7" w14:textId="77777777" w:rsidR="006C1475" w:rsidRPr="00821DD3" w:rsidRDefault="006C1475" w:rsidP="00821DD3">
            <w:pPr>
              <w:pStyle w:val="ListParagraph"/>
              <w:numPr>
                <w:ilvl w:val="0"/>
                <w:numId w:val="7"/>
              </w:numPr>
              <w:spacing w:line="360" w:lineRule="auto"/>
              <w:jc w:val="both"/>
              <w:rPr>
                <w:rFonts w:ascii="Cambria" w:hAnsi="Cambria"/>
                <w:lang w:val="en-US"/>
              </w:rPr>
            </w:pPr>
            <w:r w:rsidRPr="00821DD3">
              <w:rPr>
                <w:rFonts w:ascii="Cambria" w:hAnsi="Cambria"/>
                <w:lang w:val="en-US"/>
              </w:rPr>
              <w:t>Income from activity of owning and maintenance of horse race.</w:t>
            </w:r>
          </w:p>
        </w:tc>
      </w:tr>
    </w:tbl>
    <w:p w14:paraId="528754D1" w14:textId="77777777" w:rsidR="00821DD3" w:rsidRPr="00821DD3" w:rsidRDefault="00821DD3" w:rsidP="00821DD3">
      <w:pPr>
        <w:spacing w:line="360" w:lineRule="auto"/>
        <w:jc w:val="both"/>
        <w:rPr>
          <w:rFonts w:ascii="Cambria" w:hAnsi="Cambria"/>
          <w:lang w:val="en-US"/>
        </w:rPr>
      </w:pPr>
    </w:p>
    <w:p w14:paraId="124D7BFF" w14:textId="2CCDBA2E" w:rsidR="006C1475" w:rsidRPr="00821DD3" w:rsidRDefault="006C1475" w:rsidP="00821DD3">
      <w:pPr>
        <w:spacing w:line="360" w:lineRule="auto"/>
        <w:jc w:val="both"/>
        <w:rPr>
          <w:rFonts w:ascii="Cambria" w:hAnsi="Cambria"/>
          <w:b/>
          <w:bCs/>
          <w:sz w:val="28"/>
          <w:szCs w:val="28"/>
          <w:lang w:val="en-US"/>
        </w:rPr>
      </w:pPr>
      <w:r w:rsidRPr="00821DD3">
        <w:rPr>
          <w:rFonts w:ascii="Cambria" w:hAnsi="Cambria"/>
          <w:b/>
          <w:bCs/>
          <w:sz w:val="28"/>
          <w:szCs w:val="28"/>
          <w:lang w:val="en-US"/>
        </w:rPr>
        <w:t>CARRY FORWARD AND SET OFF OF LOSSES</w:t>
      </w:r>
      <w:r w:rsidR="00821DD3">
        <w:rPr>
          <w:rFonts w:ascii="Cambria" w:hAnsi="Cambria"/>
          <w:b/>
          <w:bCs/>
          <w:sz w:val="28"/>
          <w:szCs w:val="28"/>
          <w:lang w:val="en-US"/>
        </w:rPr>
        <w:t>:</w:t>
      </w:r>
    </w:p>
    <w:tbl>
      <w:tblPr>
        <w:tblStyle w:val="TableGrid"/>
        <w:tblW w:w="0" w:type="auto"/>
        <w:tblLook w:val="04A0" w:firstRow="1" w:lastRow="0" w:firstColumn="1" w:lastColumn="0" w:noHBand="0" w:noVBand="1"/>
      </w:tblPr>
      <w:tblGrid>
        <w:gridCol w:w="562"/>
        <w:gridCol w:w="4111"/>
        <w:gridCol w:w="3969"/>
      </w:tblGrid>
      <w:tr w:rsidR="006C1475" w:rsidRPr="00821DD3" w14:paraId="04EBAA6B" w14:textId="77777777" w:rsidTr="00414EAC">
        <w:tc>
          <w:tcPr>
            <w:tcW w:w="562" w:type="dxa"/>
          </w:tcPr>
          <w:p w14:paraId="332CBCE3"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1</w:t>
            </w:r>
          </w:p>
        </w:tc>
        <w:tc>
          <w:tcPr>
            <w:tcW w:w="4111" w:type="dxa"/>
          </w:tcPr>
          <w:p w14:paraId="565728BB"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from House Property</w:t>
            </w:r>
          </w:p>
        </w:tc>
        <w:tc>
          <w:tcPr>
            <w:tcW w:w="3969" w:type="dxa"/>
          </w:tcPr>
          <w:p w14:paraId="68C266B9"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In the following 8 years, in Income from House Property</w:t>
            </w:r>
          </w:p>
        </w:tc>
      </w:tr>
      <w:tr w:rsidR="006C1475" w:rsidRPr="00821DD3" w14:paraId="7687C69E" w14:textId="77777777" w:rsidTr="00414EAC">
        <w:tc>
          <w:tcPr>
            <w:tcW w:w="562" w:type="dxa"/>
          </w:tcPr>
          <w:p w14:paraId="5FF56ADD"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2</w:t>
            </w:r>
          </w:p>
        </w:tc>
        <w:tc>
          <w:tcPr>
            <w:tcW w:w="4111" w:type="dxa"/>
          </w:tcPr>
          <w:p w14:paraId="65118FA0"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from Business or Profession</w:t>
            </w:r>
          </w:p>
        </w:tc>
        <w:tc>
          <w:tcPr>
            <w:tcW w:w="3969" w:type="dxa"/>
          </w:tcPr>
          <w:p w14:paraId="6DBFEA2E"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In following 8 years, income from business or profession</w:t>
            </w:r>
          </w:p>
        </w:tc>
      </w:tr>
      <w:tr w:rsidR="006C1475" w:rsidRPr="00821DD3" w14:paraId="1AEBCBBE" w14:textId="77777777" w:rsidTr="00414EAC">
        <w:tc>
          <w:tcPr>
            <w:tcW w:w="562" w:type="dxa"/>
          </w:tcPr>
          <w:p w14:paraId="51DB886B"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lastRenderedPageBreak/>
              <w:t>3</w:t>
            </w:r>
          </w:p>
        </w:tc>
        <w:tc>
          <w:tcPr>
            <w:tcW w:w="4111" w:type="dxa"/>
          </w:tcPr>
          <w:p w14:paraId="6E0D55CC"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from Speculation</w:t>
            </w:r>
          </w:p>
        </w:tc>
        <w:tc>
          <w:tcPr>
            <w:tcW w:w="3969" w:type="dxa"/>
          </w:tcPr>
          <w:p w14:paraId="10A166A7"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In following 4 years, Income from Speculation</w:t>
            </w:r>
          </w:p>
        </w:tc>
      </w:tr>
      <w:tr w:rsidR="006C1475" w:rsidRPr="00821DD3" w14:paraId="45A1F99E" w14:textId="77777777" w:rsidTr="00414EAC">
        <w:tc>
          <w:tcPr>
            <w:tcW w:w="562" w:type="dxa"/>
          </w:tcPr>
          <w:p w14:paraId="62F3FEE7"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4</w:t>
            </w:r>
          </w:p>
        </w:tc>
        <w:tc>
          <w:tcPr>
            <w:tcW w:w="4111" w:type="dxa"/>
          </w:tcPr>
          <w:p w14:paraId="4586DDAD"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from Specified Business</w:t>
            </w:r>
          </w:p>
        </w:tc>
        <w:tc>
          <w:tcPr>
            <w:tcW w:w="3969" w:type="dxa"/>
          </w:tcPr>
          <w:p w14:paraId="61F3160E"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In following 4 years, Income from any other specified business</w:t>
            </w:r>
          </w:p>
        </w:tc>
      </w:tr>
      <w:tr w:rsidR="006C1475" w:rsidRPr="00821DD3" w14:paraId="5C388195" w14:textId="77777777" w:rsidTr="00414EAC">
        <w:tc>
          <w:tcPr>
            <w:tcW w:w="562" w:type="dxa"/>
          </w:tcPr>
          <w:p w14:paraId="71F1F6C4"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5</w:t>
            </w:r>
          </w:p>
        </w:tc>
        <w:tc>
          <w:tcPr>
            <w:tcW w:w="4111" w:type="dxa"/>
          </w:tcPr>
          <w:p w14:paraId="6A94AB45"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Short term Capital Loss</w:t>
            </w:r>
          </w:p>
        </w:tc>
        <w:tc>
          <w:tcPr>
            <w:tcW w:w="3969" w:type="dxa"/>
          </w:tcPr>
          <w:p w14:paraId="647B6FD3" w14:textId="71EBA3C7" w:rsidR="006C1475" w:rsidRPr="00821DD3" w:rsidRDefault="006C1475" w:rsidP="00821DD3">
            <w:pPr>
              <w:spacing w:line="360" w:lineRule="auto"/>
              <w:jc w:val="both"/>
              <w:rPr>
                <w:rFonts w:ascii="Cambria" w:hAnsi="Cambria"/>
                <w:lang w:val="en-US"/>
              </w:rPr>
            </w:pPr>
            <w:r w:rsidRPr="00821DD3">
              <w:rPr>
                <w:rFonts w:ascii="Cambria" w:hAnsi="Cambria"/>
                <w:lang w:val="en-US"/>
              </w:rPr>
              <w:t xml:space="preserve">In the following eight </w:t>
            </w:r>
            <w:r w:rsidR="00E27F43" w:rsidRPr="00821DD3">
              <w:rPr>
                <w:rFonts w:ascii="Cambria" w:hAnsi="Cambria"/>
                <w:lang w:val="en-US"/>
              </w:rPr>
              <w:t>years.</w:t>
            </w:r>
          </w:p>
          <w:p w14:paraId="6E7DD1DC" w14:textId="77777777" w:rsidR="006C1475" w:rsidRPr="00821DD3" w:rsidRDefault="006C1475" w:rsidP="00821DD3">
            <w:pPr>
              <w:pStyle w:val="ListParagraph"/>
              <w:numPr>
                <w:ilvl w:val="0"/>
                <w:numId w:val="8"/>
              </w:numPr>
              <w:spacing w:line="360" w:lineRule="auto"/>
              <w:jc w:val="both"/>
              <w:rPr>
                <w:rFonts w:ascii="Cambria" w:hAnsi="Cambria"/>
                <w:lang w:val="en-US"/>
              </w:rPr>
            </w:pPr>
            <w:r w:rsidRPr="00821DD3">
              <w:rPr>
                <w:rFonts w:ascii="Cambria" w:hAnsi="Cambria"/>
                <w:lang w:val="en-US"/>
              </w:rPr>
              <w:t>Short Term capital Gain</w:t>
            </w:r>
          </w:p>
          <w:p w14:paraId="6BE8C773" w14:textId="77777777" w:rsidR="006C1475" w:rsidRPr="00821DD3" w:rsidRDefault="006C1475" w:rsidP="00821DD3">
            <w:pPr>
              <w:pStyle w:val="ListParagraph"/>
              <w:numPr>
                <w:ilvl w:val="0"/>
                <w:numId w:val="8"/>
              </w:numPr>
              <w:spacing w:line="360" w:lineRule="auto"/>
              <w:jc w:val="both"/>
              <w:rPr>
                <w:rFonts w:ascii="Cambria" w:hAnsi="Cambria"/>
                <w:lang w:val="en-US"/>
              </w:rPr>
            </w:pPr>
            <w:r w:rsidRPr="00821DD3">
              <w:rPr>
                <w:rFonts w:ascii="Cambria" w:hAnsi="Cambria"/>
                <w:lang w:val="en-US"/>
              </w:rPr>
              <w:t>Long Term Capital Gain</w:t>
            </w:r>
          </w:p>
        </w:tc>
      </w:tr>
      <w:tr w:rsidR="006C1475" w:rsidRPr="00821DD3" w14:paraId="33BEFBFE" w14:textId="77777777" w:rsidTr="00414EAC">
        <w:tc>
          <w:tcPr>
            <w:tcW w:w="562" w:type="dxa"/>
          </w:tcPr>
          <w:p w14:paraId="7ED0263D"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6</w:t>
            </w:r>
          </w:p>
        </w:tc>
        <w:tc>
          <w:tcPr>
            <w:tcW w:w="4111" w:type="dxa"/>
          </w:tcPr>
          <w:p w14:paraId="1257EEB2"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Long Term Capital Loss</w:t>
            </w:r>
          </w:p>
        </w:tc>
        <w:tc>
          <w:tcPr>
            <w:tcW w:w="3969" w:type="dxa"/>
          </w:tcPr>
          <w:p w14:paraId="526CD1F1"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In the following 8 years, Long Term Capital Gain</w:t>
            </w:r>
          </w:p>
        </w:tc>
      </w:tr>
      <w:tr w:rsidR="006C1475" w:rsidRPr="00821DD3" w14:paraId="737A01A5" w14:textId="77777777" w:rsidTr="00414EAC">
        <w:tc>
          <w:tcPr>
            <w:tcW w:w="562" w:type="dxa"/>
          </w:tcPr>
          <w:p w14:paraId="40D61943"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7</w:t>
            </w:r>
          </w:p>
        </w:tc>
        <w:tc>
          <w:tcPr>
            <w:tcW w:w="4111" w:type="dxa"/>
          </w:tcPr>
          <w:p w14:paraId="7093FEF2"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Loss from activity of owning and maintaining horse race</w:t>
            </w:r>
          </w:p>
        </w:tc>
        <w:tc>
          <w:tcPr>
            <w:tcW w:w="3969" w:type="dxa"/>
          </w:tcPr>
          <w:p w14:paraId="78A8816C" w14:textId="77777777" w:rsidR="006C1475" w:rsidRPr="00821DD3" w:rsidRDefault="006C1475" w:rsidP="00821DD3">
            <w:pPr>
              <w:spacing w:line="360" w:lineRule="auto"/>
              <w:jc w:val="both"/>
              <w:rPr>
                <w:rFonts w:ascii="Cambria" w:hAnsi="Cambria"/>
                <w:lang w:val="en-US"/>
              </w:rPr>
            </w:pPr>
            <w:r w:rsidRPr="00821DD3">
              <w:rPr>
                <w:rFonts w:ascii="Cambria" w:hAnsi="Cambria"/>
                <w:lang w:val="en-US"/>
              </w:rPr>
              <w:t>In the following 4 years income from owning and maintaining horse race.</w:t>
            </w:r>
          </w:p>
        </w:tc>
      </w:tr>
    </w:tbl>
    <w:p w14:paraId="257C78A3" w14:textId="2F4B0107" w:rsidR="006C1475" w:rsidRPr="00821DD3" w:rsidRDefault="006C1475" w:rsidP="00821DD3">
      <w:pPr>
        <w:spacing w:line="360" w:lineRule="auto"/>
        <w:jc w:val="both"/>
        <w:rPr>
          <w:rFonts w:ascii="Cambria" w:hAnsi="Cambria"/>
          <w:lang w:val="en-US"/>
        </w:rPr>
      </w:pPr>
    </w:p>
    <w:p w14:paraId="407E569D" w14:textId="49CD9A01" w:rsidR="00821DD3" w:rsidRPr="00821DD3" w:rsidRDefault="006C1475" w:rsidP="00821DD3">
      <w:pPr>
        <w:spacing w:line="360" w:lineRule="auto"/>
        <w:jc w:val="both"/>
        <w:rPr>
          <w:rFonts w:ascii="Cambria" w:hAnsi="Cambria"/>
          <w:b/>
          <w:bCs/>
          <w:sz w:val="28"/>
          <w:szCs w:val="28"/>
          <w:lang w:val="en-US"/>
        </w:rPr>
      </w:pPr>
      <w:r w:rsidRPr="00821DD3">
        <w:rPr>
          <w:rFonts w:ascii="Cambria" w:hAnsi="Cambria"/>
          <w:b/>
          <w:bCs/>
          <w:sz w:val="28"/>
          <w:szCs w:val="28"/>
          <w:lang w:val="en-US"/>
        </w:rPr>
        <w:t>CARRY FORWARD OF LOSSES OF CERTAIN COMPANIES (Section79)</w:t>
      </w:r>
      <w:r w:rsidR="00821DD3">
        <w:rPr>
          <w:rFonts w:ascii="Cambria" w:hAnsi="Cambria"/>
          <w:b/>
          <w:bCs/>
          <w:sz w:val="28"/>
          <w:szCs w:val="28"/>
          <w:lang w:val="en-US"/>
        </w:rPr>
        <w:t>:</w:t>
      </w:r>
    </w:p>
    <w:p w14:paraId="68048BD2" w14:textId="77777777" w:rsidR="00D70D71" w:rsidRPr="00821DD3" w:rsidRDefault="00D70D71" w:rsidP="00821DD3">
      <w:pPr>
        <w:spacing w:line="360" w:lineRule="auto"/>
        <w:jc w:val="both"/>
        <w:rPr>
          <w:rFonts w:ascii="Cambria" w:hAnsi="Cambria"/>
          <w:lang w:val="en-US"/>
        </w:rPr>
      </w:pPr>
      <w:r w:rsidRPr="00821DD3">
        <w:rPr>
          <w:rFonts w:ascii="Cambria" w:hAnsi="Cambria"/>
          <w:lang w:val="en-US"/>
        </w:rPr>
        <w:t>New Provisions of Section 79 as effective from 1st April 2020</w:t>
      </w:r>
    </w:p>
    <w:p w14:paraId="1174DFD1" w14:textId="77777777" w:rsidR="00D70D71" w:rsidRPr="00821DD3" w:rsidRDefault="00D70D71" w:rsidP="00821DD3">
      <w:pPr>
        <w:spacing w:line="360" w:lineRule="auto"/>
        <w:jc w:val="both"/>
        <w:rPr>
          <w:rFonts w:ascii="Cambria" w:hAnsi="Cambria"/>
          <w:lang w:val="en-US"/>
        </w:rPr>
      </w:pPr>
      <w:r w:rsidRPr="00821DD3">
        <w:rPr>
          <w:rFonts w:ascii="Cambria" w:hAnsi="Cambria"/>
          <w:lang w:val="en-US"/>
        </w:rPr>
        <w:t>Provisions of Section 79 apply to a company, not being a company in which the public are substantially interest.</w:t>
      </w:r>
    </w:p>
    <w:p w14:paraId="4BBB1750" w14:textId="0C65B24F" w:rsidR="00D70D71" w:rsidRPr="00385DB8" w:rsidRDefault="00D70D71" w:rsidP="00821DD3">
      <w:pPr>
        <w:spacing w:line="360" w:lineRule="auto"/>
        <w:jc w:val="both"/>
        <w:rPr>
          <w:rFonts w:ascii="Cambria" w:hAnsi="Cambria"/>
          <w:b/>
          <w:bCs/>
          <w:lang w:val="en-US"/>
        </w:rPr>
      </w:pPr>
      <w:r w:rsidRPr="00385DB8">
        <w:rPr>
          <w:rFonts w:ascii="Cambria" w:hAnsi="Cambria"/>
          <w:b/>
          <w:bCs/>
          <w:lang w:val="en-US"/>
        </w:rPr>
        <w:t>Condition:</w:t>
      </w:r>
    </w:p>
    <w:p w14:paraId="637A2F5A" w14:textId="35EA71F4" w:rsidR="00D70D71" w:rsidRPr="00821DD3" w:rsidRDefault="00D70D71" w:rsidP="00821DD3">
      <w:pPr>
        <w:spacing w:line="360" w:lineRule="auto"/>
        <w:jc w:val="both"/>
        <w:rPr>
          <w:rFonts w:ascii="Cambria" w:hAnsi="Cambria"/>
          <w:lang w:val="en-US"/>
        </w:rPr>
      </w:pPr>
      <w:r w:rsidRPr="00821DD3">
        <w:rPr>
          <w:rFonts w:ascii="Cambria" w:hAnsi="Cambria"/>
          <w:lang w:val="en-US"/>
        </w:rPr>
        <w:t>To carry forward losses and set off against the income of the previous year, the following condition needs to be fulfilled:</w:t>
      </w:r>
    </w:p>
    <w:p w14:paraId="617780FC" w14:textId="7E225B74" w:rsidR="00D70D71" w:rsidRPr="00821DD3" w:rsidRDefault="00D70D71" w:rsidP="00821DD3">
      <w:pPr>
        <w:spacing w:line="360" w:lineRule="auto"/>
        <w:jc w:val="both"/>
        <w:rPr>
          <w:rFonts w:ascii="Cambria" w:hAnsi="Cambria"/>
          <w:lang w:val="en-US"/>
        </w:rPr>
      </w:pPr>
      <w:r w:rsidRPr="00821DD3">
        <w:rPr>
          <w:rFonts w:ascii="Cambria" w:hAnsi="Cambria"/>
          <w:lang w:val="en-US"/>
        </w:rPr>
        <w:t>51% of the voting power of the company are beneficially held, as on the last day of the previous year in which the loss is sought to be set off, by the same person who holds at least 51% of the shares on the last day of the financial year in which the loss was incurred.</w:t>
      </w:r>
    </w:p>
    <w:p w14:paraId="071B6BBA" w14:textId="77777777" w:rsidR="00D70D71" w:rsidRPr="00821DD3" w:rsidRDefault="00D70D71" w:rsidP="00821DD3">
      <w:pPr>
        <w:spacing w:line="360" w:lineRule="auto"/>
        <w:jc w:val="both"/>
        <w:rPr>
          <w:rFonts w:ascii="Cambria" w:hAnsi="Cambria"/>
          <w:lang w:val="en-US"/>
        </w:rPr>
      </w:pPr>
    </w:p>
    <w:p w14:paraId="409C35F6" w14:textId="77777777" w:rsidR="00D70D71" w:rsidRPr="00385DB8" w:rsidRDefault="00D70D71" w:rsidP="00821DD3">
      <w:pPr>
        <w:spacing w:line="360" w:lineRule="auto"/>
        <w:jc w:val="both"/>
        <w:rPr>
          <w:rFonts w:ascii="Cambria" w:hAnsi="Cambria"/>
          <w:b/>
          <w:bCs/>
          <w:u w:val="single"/>
          <w:lang w:val="en-US"/>
        </w:rPr>
      </w:pPr>
      <w:r w:rsidRPr="00385DB8">
        <w:rPr>
          <w:rFonts w:ascii="Cambria" w:hAnsi="Cambria"/>
          <w:b/>
          <w:bCs/>
          <w:u w:val="single"/>
          <w:lang w:val="en-US"/>
        </w:rPr>
        <w:t xml:space="preserve">Situation of carry forward and set </w:t>
      </w:r>
      <w:proofErr w:type="gramStart"/>
      <w:r w:rsidRPr="00385DB8">
        <w:rPr>
          <w:rFonts w:ascii="Cambria" w:hAnsi="Cambria"/>
          <w:b/>
          <w:bCs/>
          <w:u w:val="single"/>
          <w:lang w:val="en-US"/>
        </w:rPr>
        <w:t>off of</w:t>
      </w:r>
      <w:proofErr w:type="gramEnd"/>
      <w:r w:rsidRPr="00385DB8">
        <w:rPr>
          <w:rFonts w:ascii="Cambria" w:hAnsi="Cambria"/>
          <w:b/>
          <w:bCs/>
          <w:u w:val="single"/>
          <w:lang w:val="en-US"/>
        </w:rPr>
        <w:t xml:space="preserve"> losses in case of eligible start-ups</w:t>
      </w:r>
    </w:p>
    <w:p w14:paraId="782E62BD" w14:textId="77777777" w:rsidR="00D70D71" w:rsidRPr="00821DD3" w:rsidRDefault="00D70D71" w:rsidP="00821DD3">
      <w:pPr>
        <w:spacing w:line="360" w:lineRule="auto"/>
        <w:jc w:val="both"/>
        <w:rPr>
          <w:rFonts w:ascii="Cambria" w:hAnsi="Cambria"/>
          <w:lang w:val="en-US"/>
        </w:rPr>
      </w:pPr>
      <w:r w:rsidRPr="00821DD3">
        <w:rPr>
          <w:rFonts w:ascii="Cambria" w:hAnsi="Cambria"/>
          <w:lang w:val="en-US"/>
        </w:rPr>
        <w:t>Even if the above-referred condition is not satisfied by the 'eligible start-ups', the loss incurred in any year (prior to the previous year) shall be allowed to be carried forward and set off against the income of the previous year, if the following condition is satisfied:</w:t>
      </w:r>
    </w:p>
    <w:p w14:paraId="268EE90B" w14:textId="77777777" w:rsidR="00D70D71" w:rsidRPr="00821DD3" w:rsidRDefault="00D70D71" w:rsidP="00821DD3">
      <w:pPr>
        <w:spacing w:line="360" w:lineRule="auto"/>
        <w:jc w:val="both"/>
        <w:rPr>
          <w:rFonts w:ascii="Cambria" w:hAnsi="Cambria"/>
          <w:lang w:val="en-US"/>
        </w:rPr>
      </w:pPr>
      <w:r w:rsidRPr="00821DD3">
        <w:rPr>
          <w:rFonts w:ascii="Cambria" w:hAnsi="Cambria"/>
          <w:lang w:val="en-US"/>
        </w:rPr>
        <w:lastRenderedPageBreak/>
        <w:t>All the shareholders having voting power on the last day of the previous year in which loss was incurred continue to be holding shares on the last of day of the previous year in which income is to be set off.</w:t>
      </w:r>
    </w:p>
    <w:p w14:paraId="538F128D" w14:textId="27157D2B" w:rsidR="00D70D71" w:rsidRPr="00821DD3" w:rsidRDefault="00D70D71" w:rsidP="00821DD3">
      <w:pPr>
        <w:spacing w:line="360" w:lineRule="auto"/>
        <w:jc w:val="both"/>
        <w:rPr>
          <w:rFonts w:ascii="Cambria" w:hAnsi="Cambria"/>
          <w:lang w:val="en-US"/>
        </w:rPr>
      </w:pPr>
      <w:r w:rsidRPr="00821DD3">
        <w:rPr>
          <w:rFonts w:ascii="Cambria" w:hAnsi="Cambria"/>
          <w:lang w:val="en-US"/>
        </w:rPr>
        <w:t>The above relief is available in case the loss is incurred during the period of 7 years beginning from the year of incorporation.</w:t>
      </w:r>
    </w:p>
    <w:p w14:paraId="1E3726DF" w14:textId="77777777" w:rsidR="00D70D71" w:rsidRPr="00821DD3" w:rsidRDefault="00D70D71" w:rsidP="00821DD3">
      <w:pPr>
        <w:spacing w:line="360" w:lineRule="auto"/>
        <w:jc w:val="both"/>
        <w:rPr>
          <w:rFonts w:ascii="Cambria" w:hAnsi="Cambria"/>
          <w:lang w:val="en-US"/>
        </w:rPr>
      </w:pPr>
    </w:p>
    <w:p w14:paraId="326C6BEA" w14:textId="7E6FB31C" w:rsidR="00A15614" w:rsidRPr="00385DB8" w:rsidRDefault="00A15614" w:rsidP="00821DD3">
      <w:pPr>
        <w:spacing w:line="360" w:lineRule="auto"/>
        <w:jc w:val="both"/>
        <w:rPr>
          <w:rFonts w:ascii="Cambria" w:hAnsi="Cambria"/>
          <w:b/>
          <w:bCs/>
          <w:lang w:val="en-US"/>
        </w:rPr>
      </w:pPr>
      <w:r w:rsidRPr="00385DB8">
        <w:rPr>
          <w:rFonts w:ascii="Cambria" w:hAnsi="Cambria"/>
          <w:b/>
          <w:bCs/>
          <w:lang w:val="en-US"/>
        </w:rPr>
        <w:t>Section 79(1) not apply in certain cases:</w:t>
      </w:r>
    </w:p>
    <w:p w14:paraId="034FDDF4" w14:textId="77777777" w:rsidR="00A15614" w:rsidRPr="00821DD3" w:rsidRDefault="00A15614" w:rsidP="00821DD3">
      <w:pPr>
        <w:pStyle w:val="ListParagraph"/>
        <w:numPr>
          <w:ilvl w:val="0"/>
          <w:numId w:val="10"/>
        </w:numPr>
        <w:spacing w:line="360" w:lineRule="auto"/>
        <w:jc w:val="both"/>
        <w:rPr>
          <w:rFonts w:ascii="Cambria" w:hAnsi="Cambria"/>
          <w:lang w:val="en-US"/>
        </w:rPr>
      </w:pPr>
      <w:r w:rsidRPr="00821DD3">
        <w:rPr>
          <w:rFonts w:ascii="Cambria" w:hAnsi="Cambria"/>
          <w:lang w:val="en-US"/>
        </w:rPr>
        <w:t>When the change in voting power and shareholding takes place in a previous year on account of the death of the shareholder.</w:t>
      </w:r>
    </w:p>
    <w:p w14:paraId="2A027D15" w14:textId="77777777" w:rsidR="00A15614" w:rsidRPr="00821DD3" w:rsidRDefault="00A15614" w:rsidP="00821DD3">
      <w:pPr>
        <w:pStyle w:val="ListParagraph"/>
        <w:numPr>
          <w:ilvl w:val="0"/>
          <w:numId w:val="10"/>
        </w:numPr>
        <w:spacing w:line="360" w:lineRule="auto"/>
        <w:jc w:val="both"/>
        <w:rPr>
          <w:rFonts w:ascii="Cambria" w:hAnsi="Cambria"/>
          <w:lang w:val="en-US"/>
        </w:rPr>
      </w:pPr>
      <w:r w:rsidRPr="00821DD3">
        <w:rPr>
          <w:rFonts w:ascii="Cambria" w:hAnsi="Cambria"/>
          <w:lang w:val="en-US"/>
        </w:rPr>
        <w:t>When the change in voting power and shareholding takes place in a previous year on account of share transfer resulted due to gift to any relative of the shareholder making such gift.</w:t>
      </w:r>
    </w:p>
    <w:p w14:paraId="3C856540" w14:textId="77777777" w:rsidR="00A15614" w:rsidRPr="00821DD3" w:rsidRDefault="00A15614" w:rsidP="00821DD3">
      <w:pPr>
        <w:pStyle w:val="ListParagraph"/>
        <w:numPr>
          <w:ilvl w:val="0"/>
          <w:numId w:val="10"/>
        </w:numPr>
        <w:spacing w:line="360" w:lineRule="auto"/>
        <w:jc w:val="both"/>
        <w:rPr>
          <w:rFonts w:ascii="Cambria" w:hAnsi="Cambria"/>
          <w:lang w:val="en-US"/>
        </w:rPr>
      </w:pPr>
      <w:r w:rsidRPr="00821DD3">
        <w:rPr>
          <w:rFonts w:ascii="Cambria" w:hAnsi="Cambria"/>
          <w:lang w:val="en-US"/>
        </w:rPr>
        <w:t>In case of a change in shareholding of an Indian company (being a subsidiary of a foreign company) due to demerger or amalgamation of a foreign company. The demerger or amalgamation is undertaken with the condition that 51% shareholding of amalgamating or demerged foreign company would continue to be the shareholders of the amalgamated or the resulting foreign company.</w:t>
      </w:r>
    </w:p>
    <w:p w14:paraId="648A11D4" w14:textId="77777777" w:rsidR="00A15614" w:rsidRPr="00821DD3" w:rsidRDefault="00A15614" w:rsidP="00821DD3">
      <w:pPr>
        <w:pStyle w:val="ListParagraph"/>
        <w:numPr>
          <w:ilvl w:val="0"/>
          <w:numId w:val="10"/>
        </w:numPr>
        <w:spacing w:line="360" w:lineRule="auto"/>
        <w:jc w:val="both"/>
        <w:rPr>
          <w:rFonts w:ascii="Cambria" w:hAnsi="Cambria"/>
          <w:lang w:val="en-US"/>
        </w:rPr>
      </w:pPr>
      <w:r w:rsidRPr="00821DD3">
        <w:rPr>
          <w:rFonts w:ascii="Cambria" w:hAnsi="Cambria"/>
          <w:lang w:val="en-US"/>
        </w:rPr>
        <w:t>When the change in shareholding takes place based on a resolution plan which is approved under the Insolvency and Bankruptcy Code.</w:t>
      </w:r>
    </w:p>
    <w:p w14:paraId="1FDADA18" w14:textId="77777777" w:rsidR="00A15614" w:rsidRPr="00821DD3" w:rsidRDefault="00A15614" w:rsidP="00821DD3">
      <w:pPr>
        <w:pStyle w:val="ListParagraph"/>
        <w:numPr>
          <w:ilvl w:val="0"/>
          <w:numId w:val="10"/>
        </w:numPr>
        <w:spacing w:line="360" w:lineRule="auto"/>
        <w:jc w:val="both"/>
        <w:rPr>
          <w:rFonts w:ascii="Cambria" w:hAnsi="Cambria"/>
          <w:lang w:val="en-US"/>
        </w:rPr>
      </w:pPr>
      <w:r w:rsidRPr="00821DD3">
        <w:rPr>
          <w:rFonts w:ascii="Cambria" w:hAnsi="Cambria"/>
          <w:lang w:val="en-US"/>
        </w:rPr>
        <w:t>When the company and it is subsidiary (including a subsidiary of such subsidiary) in case:</w:t>
      </w:r>
    </w:p>
    <w:p w14:paraId="29ED89A9" w14:textId="4F7A7738" w:rsidR="00A15614" w:rsidRPr="00821DD3" w:rsidRDefault="00A15614" w:rsidP="00821DD3">
      <w:pPr>
        <w:pStyle w:val="ListParagraph"/>
        <w:numPr>
          <w:ilvl w:val="0"/>
          <w:numId w:val="11"/>
        </w:numPr>
        <w:spacing w:line="360" w:lineRule="auto"/>
        <w:jc w:val="both"/>
        <w:rPr>
          <w:rFonts w:ascii="Cambria" w:hAnsi="Cambria"/>
          <w:lang w:val="en-US"/>
        </w:rPr>
      </w:pPr>
      <w:r w:rsidRPr="00821DD3">
        <w:rPr>
          <w:rFonts w:ascii="Cambria" w:hAnsi="Cambria"/>
          <w:lang w:val="en-US"/>
        </w:rPr>
        <w:t>The Tribunal (on application under Section 241) has suspended the Board of Directors of the company and has appointed new directors; and</w:t>
      </w:r>
    </w:p>
    <w:p w14:paraId="18C6E20D" w14:textId="2DCC219D" w:rsidR="00A15614" w:rsidRPr="00821DD3" w:rsidRDefault="00A15614" w:rsidP="00821DD3">
      <w:pPr>
        <w:pStyle w:val="ListParagraph"/>
        <w:numPr>
          <w:ilvl w:val="0"/>
          <w:numId w:val="11"/>
        </w:numPr>
        <w:spacing w:line="360" w:lineRule="auto"/>
        <w:jc w:val="both"/>
        <w:rPr>
          <w:rFonts w:ascii="Cambria" w:hAnsi="Cambria"/>
          <w:lang w:val="en-US"/>
        </w:rPr>
      </w:pPr>
      <w:r w:rsidRPr="00821DD3">
        <w:rPr>
          <w:rFonts w:ascii="Cambria" w:hAnsi="Cambria"/>
          <w:lang w:val="en-US"/>
        </w:rPr>
        <w:t xml:space="preserve">Change in shareholding of the company and its subsidiary (including a subsidiary of such subsidiary) </w:t>
      </w:r>
      <w:r w:rsidR="00385DB8" w:rsidRPr="00821DD3">
        <w:rPr>
          <w:rFonts w:ascii="Cambria" w:hAnsi="Cambria"/>
          <w:lang w:val="en-US"/>
        </w:rPr>
        <w:t>based on</w:t>
      </w:r>
      <w:r w:rsidRPr="00821DD3">
        <w:rPr>
          <w:rFonts w:ascii="Cambria" w:hAnsi="Cambria"/>
          <w:lang w:val="en-US"/>
        </w:rPr>
        <w:t xml:space="preserve"> resolution plan approved by the tribunal under Section 242 of the companies act.</w:t>
      </w:r>
    </w:p>
    <w:p w14:paraId="2F732E8C" w14:textId="1EC20A83" w:rsidR="00D70D71" w:rsidRPr="00821DD3" w:rsidRDefault="00D70D71" w:rsidP="00821DD3">
      <w:pPr>
        <w:spacing w:line="360" w:lineRule="auto"/>
        <w:jc w:val="both"/>
        <w:rPr>
          <w:rFonts w:ascii="Cambria" w:hAnsi="Cambria"/>
          <w:b/>
          <w:bCs/>
          <w:lang w:val="en-US"/>
        </w:rPr>
      </w:pPr>
      <w:r w:rsidRPr="00821DD3">
        <w:rPr>
          <w:rFonts w:ascii="Cambria" w:hAnsi="Cambria"/>
          <w:b/>
          <w:bCs/>
          <w:lang w:val="en-US"/>
        </w:rPr>
        <w:t>No set-off of loss against undisclosed income discovered during search (Section 79 A)</w:t>
      </w:r>
    </w:p>
    <w:p w14:paraId="70CD9017" w14:textId="209581CC" w:rsidR="00D70D71" w:rsidRPr="00821DD3" w:rsidRDefault="00D70D71" w:rsidP="00821DD3">
      <w:pPr>
        <w:spacing w:line="360" w:lineRule="auto"/>
        <w:jc w:val="both"/>
        <w:rPr>
          <w:rFonts w:ascii="Cambria" w:hAnsi="Cambria"/>
          <w:lang w:val="en-US"/>
        </w:rPr>
      </w:pPr>
      <w:r w:rsidRPr="00821DD3">
        <w:rPr>
          <w:rFonts w:ascii="Cambria" w:hAnsi="Cambria"/>
          <w:lang w:val="en-US"/>
        </w:rPr>
        <w:t xml:space="preserve">The Finance Act, 2022 has inserted a new section 79A to the Income-tax Act to restrict set </w:t>
      </w:r>
      <w:proofErr w:type="gramStart"/>
      <w:r w:rsidR="00821DD3" w:rsidRPr="00821DD3">
        <w:rPr>
          <w:rFonts w:ascii="Cambria" w:hAnsi="Cambria"/>
          <w:lang w:val="en-US"/>
        </w:rPr>
        <w:t>off</w:t>
      </w:r>
      <w:r w:rsidRPr="00821DD3">
        <w:rPr>
          <w:rFonts w:ascii="Cambria" w:hAnsi="Cambria"/>
          <w:lang w:val="en-US"/>
        </w:rPr>
        <w:t xml:space="preserve"> </w:t>
      </w:r>
      <w:r w:rsidR="00821DD3">
        <w:rPr>
          <w:rFonts w:ascii="Cambria" w:hAnsi="Cambria"/>
          <w:lang w:val="en-US"/>
        </w:rPr>
        <w:t xml:space="preserve"> of</w:t>
      </w:r>
      <w:proofErr w:type="gramEnd"/>
      <w:r w:rsidR="00821DD3">
        <w:rPr>
          <w:rFonts w:ascii="Cambria" w:hAnsi="Cambria"/>
          <w:lang w:val="en-US"/>
        </w:rPr>
        <w:t xml:space="preserve"> </w:t>
      </w:r>
      <w:r w:rsidRPr="00821DD3">
        <w:rPr>
          <w:rFonts w:ascii="Cambria" w:hAnsi="Cambria"/>
          <w:lang w:val="en-US"/>
        </w:rPr>
        <w:t xml:space="preserve">losses consequent to search, requisition and survey. It has been provided that in case the total income of any previous year of an </w:t>
      </w:r>
      <w:proofErr w:type="spellStart"/>
      <w:r w:rsidRPr="00821DD3">
        <w:rPr>
          <w:rFonts w:ascii="Cambria" w:hAnsi="Cambria"/>
          <w:lang w:val="en-US"/>
        </w:rPr>
        <w:t>assessee</w:t>
      </w:r>
      <w:proofErr w:type="spellEnd"/>
      <w:r w:rsidRPr="00821DD3">
        <w:rPr>
          <w:rFonts w:ascii="Cambria" w:hAnsi="Cambria"/>
          <w:lang w:val="en-US"/>
        </w:rPr>
        <w:t xml:space="preserve"> includes any undisclosed income detected </w:t>
      </w:r>
      <w:r w:rsidR="00821DD3" w:rsidRPr="00821DD3">
        <w:rPr>
          <w:rFonts w:ascii="Cambria" w:hAnsi="Cambria"/>
          <w:lang w:val="en-US"/>
        </w:rPr>
        <w:t>because of</w:t>
      </w:r>
      <w:r w:rsidRPr="00821DD3">
        <w:rPr>
          <w:rFonts w:ascii="Cambria" w:hAnsi="Cambria"/>
          <w:lang w:val="en-US"/>
        </w:rPr>
        <w:t>:</w:t>
      </w:r>
    </w:p>
    <w:p w14:paraId="191DBD64" w14:textId="77777777" w:rsidR="00D70D71" w:rsidRPr="00821DD3" w:rsidRDefault="00D70D71" w:rsidP="00821DD3">
      <w:pPr>
        <w:spacing w:line="360" w:lineRule="auto"/>
        <w:jc w:val="both"/>
        <w:rPr>
          <w:rFonts w:ascii="Cambria" w:hAnsi="Cambria"/>
          <w:lang w:val="en-US"/>
        </w:rPr>
      </w:pPr>
      <w:r w:rsidRPr="00821DD3">
        <w:rPr>
          <w:rFonts w:ascii="Cambria" w:hAnsi="Cambria"/>
          <w:lang w:val="en-US"/>
        </w:rPr>
        <w:t>(a) Search initiated under section 132; or</w:t>
      </w:r>
    </w:p>
    <w:p w14:paraId="24F762B2" w14:textId="77777777" w:rsidR="00D70D71" w:rsidRPr="00821DD3" w:rsidRDefault="00D70D71" w:rsidP="00821DD3">
      <w:pPr>
        <w:spacing w:line="360" w:lineRule="auto"/>
        <w:jc w:val="both"/>
        <w:rPr>
          <w:rFonts w:ascii="Cambria" w:hAnsi="Cambria"/>
          <w:lang w:val="en-US"/>
        </w:rPr>
      </w:pPr>
      <w:r w:rsidRPr="00821DD3">
        <w:rPr>
          <w:rFonts w:ascii="Cambria" w:hAnsi="Cambria"/>
          <w:lang w:val="en-US"/>
        </w:rPr>
        <w:t>(b) A requisition made under section 132A; or</w:t>
      </w:r>
    </w:p>
    <w:p w14:paraId="41921770" w14:textId="77777777" w:rsidR="00D70D71" w:rsidRPr="00821DD3" w:rsidRDefault="00D70D71" w:rsidP="00821DD3">
      <w:pPr>
        <w:spacing w:line="360" w:lineRule="auto"/>
        <w:jc w:val="both"/>
        <w:rPr>
          <w:rFonts w:ascii="Cambria" w:hAnsi="Cambria"/>
          <w:lang w:val="en-US"/>
        </w:rPr>
      </w:pPr>
      <w:r w:rsidRPr="00821DD3">
        <w:rPr>
          <w:rFonts w:ascii="Cambria" w:hAnsi="Cambria"/>
          <w:lang w:val="en-US"/>
        </w:rPr>
        <w:t>(c) A survey conducted under section 133A other than under section 133A(2A).</w:t>
      </w:r>
    </w:p>
    <w:p w14:paraId="1C99F630" w14:textId="77777777" w:rsidR="00D70D71" w:rsidRPr="00821DD3" w:rsidRDefault="00D70D71" w:rsidP="00821DD3">
      <w:pPr>
        <w:spacing w:line="360" w:lineRule="auto"/>
        <w:jc w:val="both"/>
        <w:rPr>
          <w:rFonts w:ascii="Cambria" w:hAnsi="Cambria"/>
          <w:lang w:val="en-US"/>
        </w:rPr>
      </w:pPr>
      <w:r w:rsidRPr="00821DD3">
        <w:rPr>
          <w:rFonts w:ascii="Cambria" w:hAnsi="Cambria"/>
          <w:lang w:val="en-US"/>
        </w:rPr>
        <w:lastRenderedPageBreak/>
        <w:t xml:space="preserve">Then, no set-off of any loss, whether brought forward or otherwise, or unabsorbed depreciation, shall be allowed against such undisclosed income while computing the total income of the </w:t>
      </w:r>
      <w:proofErr w:type="spellStart"/>
      <w:r w:rsidRPr="00821DD3">
        <w:rPr>
          <w:rFonts w:ascii="Cambria" w:hAnsi="Cambria"/>
          <w:lang w:val="en-US"/>
        </w:rPr>
        <w:t>assessee</w:t>
      </w:r>
      <w:proofErr w:type="spellEnd"/>
      <w:r w:rsidRPr="00821DD3">
        <w:rPr>
          <w:rFonts w:ascii="Cambria" w:hAnsi="Cambria"/>
          <w:lang w:val="en-US"/>
        </w:rPr>
        <w:t xml:space="preserve"> for such previous year.</w:t>
      </w:r>
    </w:p>
    <w:p w14:paraId="2543FE02" w14:textId="77777777" w:rsidR="00D70D71" w:rsidRPr="00821DD3" w:rsidRDefault="00D70D71" w:rsidP="00821DD3">
      <w:pPr>
        <w:spacing w:line="360" w:lineRule="auto"/>
        <w:jc w:val="both"/>
        <w:rPr>
          <w:rFonts w:ascii="Cambria" w:hAnsi="Cambria"/>
          <w:lang w:val="en-US"/>
        </w:rPr>
      </w:pPr>
    </w:p>
    <w:p w14:paraId="7085024C" w14:textId="77777777" w:rsidR="00821DD3" w:rsidRPr="00821DD3" w:rsidRDefault="00D70D71" w:rsidP="00821DD3">
      <w:pPr>
        <w:spacing w:line="360" w:lineRule="auto"/>
        <w:jc w:val="both"/>
        <w:rPr>
          <w:rFonts w:ascii="Cambria" w:hAnsi="Cambria"/>
          <w:lang w:val="en-US"/>
        </w:rPr>
      </w:pPr>
      <w:r w:rsidRPr="00821DD3">
        <w:rPr>
          <w:rFonts w:ascii="Cambria" w:hAnsi="Cambria"/>
          <w:lang w:val="en-US"/>
        </w:rPr>
        <w:t>For this provision, the ‘undisclosed income’ means:</w:t>
      </w:r>
    </w:p>
    <w:p w14:paraId="01DB28C1" w14:textId="5B3F9E5D" w:rsidR="00D70D71" w:rsidRPr="00385DB8" w:rsidRDefault="00D70D71" w:rsidP="00385DB8">
      <w:pPr>
        <w:pStyle w:val="ListParagraph"/>
        <w:numPr>
          <w:ilvl w:val="0"/>
          <w:numId w:val="13"/>
        </w:numPr>
        <w:spacing w:line="360" w:lineRule="auto"/>
        <w:jc w:val="both"/>
        <w:rPr>
          <w:rFonts w:ascii="Cambria" w:hAnsi="Cambria"/>
          <w:lang w:val="en-US"/>
        </w:rPr>
      </w:pPr>
      <w:r w:rsidRPr="00821DD3">
        <w:rPr>
          <w:rFonts w:ascii="Cambria" w:hAnsi="Cambria"/>
          <w:lang w:val="en-US"/>
        </w:rPr>
        <w:t>Any income of the previous year represented, either wholly or partly, by any money,</w:t>
      </w:r>
      <w:r w:rsidR="00385DB8">
        <w:rPr>
          <w:rFonts w:ascii="Cambria" w:hAnsi="Cambria"/>
          <w:lang w:val="en-US"/>
        </w:rPr>
        <w:t xml:space="preserve"> </w:t>
      </w:r>
      <w:r w:rsidRPr="00385DB8">
        <w:rPr>
          <w:rFonts w:ascii="Cambria" w:hAnsi="Cambria"/>
          <w:lang w:val="en-US"/>
        </w:rPr>
        <w:t xml:space="preserve">bullion, jewellery or other valuable article or thing or any entry in the books of account or other documents or transactions found </w:t>
      </w:r>
      <w:r w:rsidR="00E27F43" w:rsidRPr="00385DB8">
        <w:rPr>
          <w:rFonts w:ascii="Cambria" w:hAnsi="Cambria"/>
          <w:lang w:val="en-US"/>
        </w:rPr>
        <w:t>during</w:t>
      </w:r>
      <w:r w:rsidRPr="00385DB8">
        <w:rPr>
          <w:rFonts w:ascii="Cambria" w:hAnsi="Cambria"/>
          <w:lang w:val="en-US"/>
        </w:rPr>
        <w:t xml:space="preserve"> a search under section 132 or a requisition under section 132A or a survey under section 133A other than under section 133A(2A), which has:</w:t>
      </w:r>
    </w:p>
    <w:p w14:paraId="31E5143F" w14:textId="77777777" w:rsidR="00821DD3" w:rsidRPr="00821DD3" w:rsidRDefault="00D70D71" w:rsidP="00821DD3">
      <w:pPr>
        <w:pStyle w:val="ListParagraph"/>
        <w:numPr>
          <w:ilvl w:val="0"/>
          <w:numId w:val="14"/>
        </w:numPr>
        <w:spacing w:line="360" w:lineRule="auto"/>
        <w:jc w:val="both"/>
        <w:rPr>
          <w:rFonts w:ascii="Cambria" w:hAnsi="Cambria"/>
          <w:lang w:val="en-US"/>
        </w:rPr>
      </w:pPr>
      <w:r w:rsidRPr="00821DD3">
        <w:rPr>
          <w:rFonts w:ascii="Cambria" w:hAnsi="Cambria"/>
          <w:lang w:val="en-US"/>
        </w:rPr>
        <w:t>not been recorded on or before the date of search or requisition or survey in the books of account or other documents maintained in the normal course relating to such previous year; or</w:t>
      </w:r>
    </w:p>
    <w:p w14:paraId="420BEB4B" w14:textId="3C44AE72" w:rsidR="00D70D71" w:rsidRPr="00821DD3" w:rsidRDefault="00D70D71" w:rsidP="00821DD3">
      <w:pPr>
        <w:pStyle w:val="ListParagraph"/>
        <w:numPr>
          <w:ilvl w:val="0"/>
          <w:numId w:val="14"/>
        </w:numPr>
        <w:spacing w:line="360" w:lineRule="auto"/>
        <w:jc w:val="both"/>
        <w:rPr>
          <w:rFonts w:ascii="Cambria" w:hAnsi="Cambria"/>
          <w:lang w:val="en-US"/>
        </w:rPr>
      </w:pPr>
      <w:r w:rsidRPr="00821DD3">
        <w:rPr>
          <w:rFonts w:ascii="Cambria" w:hAnsi="Cambria"/>
          <w:lang w:val="en-US"/>
        </w:rPr>
        <w:t xml:space="preserve">not been disclosed to the Commissioner before the date of search or requisition or </w:t>
      </w:r>
      <w:proofErr w:type="gramStart"/>
      <w:r w:rsidRPr="00821DD3">
        <w:rPr>
          <w:rFonts w:ascii="Cambria" w:hAnsi="Cambria"/>
          <w:lang w:val="en-US"/>
        </w:rPr>
        <w:t>survey, as the case may be</w:t>
      </w:r>
      <w:proofErr w:type="gramEnd"/>
      <w:r w:rsidRPr="00821DD3">
        <w:rPr>
          <w:rFonts w:ascii="Cambria" w:hAnsi="Cambria"/>
          <w:lang w:val="en-US"/>
        </w:rPr>
        <w:t>.</w:t>
      </w:r>
    </w:p>
    <w:p w14:paraId="0529784F" w14:textId="2C802AD1" w:rsidR="00A15614" w:rsidRPr="00821DD3" w:rsidRDefault="00D70D71" w:rsidP="00821DD3">
      <w:pPr>
        <w:pStyle w:val="ListParagraph"/>
        <w:numPr>
          <w:ilvl w:val="0"/>
          <w:numId w:val="13"/>
        </w:numPr>
        <w:spacing w:line="360" w:lineRule="auto"/>
        <w:jc w:val="both"/>
        <w:rPr>
          <w:rFonts w:ascii="Cambria" w:hAnsi="Cambria"/>
          <w:lang w:val="en-US"/>
        </w:rPr>
      </w:pPr>
      <w:r w:rsidRPr="00821DD3">
        <w:rPr>
          <w:rFonts w:ascii="Cambria" w:hAnsi="Cambria"/>
          <w:lang w:val="en-US"/>
        </w:rPr>
        <w:t xml:space="preserve">Any income of the previous year represented, either wholly or partly, by any entry in respect of an expense recorded in the books of account or other documents maintained in the ordinary course relating to the previous year which is found to be </w:t>
      </w:r>
      <w:r w:rsidR="00E27F43" w:rsidRPr="00821DD3">
        <w:rPr>
          <w:rFonts w:ascii="Cambria" w:hAnsi="Cambria"/>
          <w:lang w:val="en-US"/>
        </w:rPr>
        <w:t>false,</w:t>
      </w:r>
      <w:r w:rsidRPr="00821DD3">
        <w:rPr>
          <w:rFonts w:ascii="Cambria" w:hAnsi="Cambria"/>
          <w:lang w:val="en-US"/>
        </w:rPr>
        <w:t xml:space="preserve"> and which would not have been found to be so, had the search not been initiated or the survey not been </w:t>
      </w:r>
      <w:proofErr w:type="gramStart"/>
      <w:r w:rsidRPr="00821DD3">
        <w:rPr>
          <w:rFonts w:ascii="Cambria" w:hAnsi="Cambria"/>
          <w:lang w:val="en-US"/>
        </w:rPr>
        <w:t>conducted</w:t>
      </w:r>
      <w:proofErr w:type="gramEnd"/>
      <w:r w:rsidRPr="00821DD3">
        <w:rPr>
          <w:rFonts w:ascii="Cambria" w:hAnsi="Cambria"/>
          <w:lang w:val="en-US"/>
        </w:rPr>
        <w:t xml:space="preserve"> or the requisition not been made.</w:t>
      </w:r>
    </w:p>
    <w:p w14:paraId="5BEE7717" w14:textId="665B88FE" w:rsidR="00821DD3" w:rsidRPr="00821DD3" w:rsidRDefault="00821DD3" w:rsidP="00821DD3">
      <w:pPr>
        <w:spacing w:line="360" w:lineRule="auto"/>
        <w:jc w:val="both"/>
        <w:rPr>
          <w:rFonts w:ascii="Cambria" w:hAnsi="Cambria"/>
          <w:lang w:val="en-US"/>
        </w:rPr>
      </w:pPr>
    </w:p>
    <w:p w14:paraId="66183185" w14:textId="5014B16D" w:rsidR="00821DD3" w:rsidRPr="00821DD3" w:rsidRDefault="00821DD3" w:rsidP="00821DD3">
      <w:pPr>
        <w:spacing w:line="360" w:lineRule="auto"/>
        <w:jc w:val="both"/>
        <w:rPr>
          <w:rFonts w:ascii="Cambria" w:hAnsi="Cambria"/>
          <w:b/>
          <w:bCs/>
          <w:lang w:val="en-US"/>
        </w:rPr>
      </w:pPr>
      <w:r w:rsidRPr="00821DD3">
        <w:rPr>
          <w:rFonts w:ascii="Cambria" w:hAnsi="Cambria"/>
          <w:b/>
          <w:bCs/>
          <w:lang w:val="en-US"/>
        </w:rPr>
        <w:t>Change in shareholding due to strategic disinvestment</w:t>
      </w:r>
      <w:r w:rsidR="00385DB8">
        <w:rPr>
          <w:rFonts w:ascii="Cambria" w:hAnsi="Cambria"/>
          <w:b/>
          <w:bCs/>
          <w:lang w:val="en-US"/>
        </w:rPr>
        <w:t xml:space="preserve"> (Section 79 (2)</w:t>
      </w:r>
    </w:p>
    <w:p w14:paraId="4930A5DD" w14:textId="77777777" w:rsidR="00821DD3" w:rsidRPr="00821DD3" w:rsidRDefault="00821DD3" w:rsidP="00821DD3">
      <w:pPr>
        <w:spacing w:line="360" w:lineRule="auto"/>
        <w:jc w:val="both"/>
        <w:rPr>
          <w:rFonts w:ascii="Cambria" w:hAnsi="Cambria"/>
          <w:lang w:val="en-US"/>
        </w:rPr>
      </w:pPr>
      <w:r w:rsidRPr="00821DD3">
        <w:rPr>
          <w:rFonts w:ascii="Cambria" w:hAnsi="Cambria"/>
          <w:lang w:val="en-US"/>
        </w:rPr>
        <w:t>With effect from Assessment Year 2022-23, The Finance Act, 2022 has introduced one more situation wherein the provisions of section 79 shall not apply. It has been provided that the section 79 shall not apply to an erstwhile Public Sector Company (PSU), subject to condition that the ultimate holding company of such erstwhile PSU, immediately after completion of the strategic disinvestment, continues to hold, directly or through its subsidiary or subsidiaries, at least 51% of the voting power of such PSU in aggregate.</w:t>
      </w:r>
    </w:p>
    <w:p w14:paraId="6A57F45C" w14:textId="77777777" w:rsidR="00821DD3" w:rsidRPr="00821DD3" w:rsidRDefault="00821DD3" w:rsidP="00821DD3">
      <w:pPr>
        <w:spacing w:line="360" w:lineRule="auto"/>
        <w:jc w:val="both"/>
        <w:rPr>
          <w:rFonts w:ascii="Cambria" w:hAnsi="Cambria"/>
          <w:lang w:val="en-US"/>
        </w:rPr>
      </w:pPr>
      <w:r w:rsidRPr="00821DD3">
        <w:rPr>
          <w:rFonts w:ascii="Cambria" w:hAnsi="Cambria"/>
          <w:lang w:val="en-US"/>
        </w:rPr>
        <w:t>However, this relaxation shall cease to apply from the previous year in which the ultimate holding company ceases to hold, directly or through its subsidiary or subsidiaries, 51% of the voting power of the erstwhile public sector company. If the relaxation ceases to apply in any previous year, the provisions of section 79 shall apply for such previous year and subsequent previous years.</w:t>
      </w:r>
    </w:p>
    <w:p w14:paraId="60A357BB" w14:textId="30B1BE91" w:rsidR="00821DD3" w:rsidRDefault="00821DD3" w:rsidP="00821DD3">
      <w:pPr>
        <w:spacing w:line="360" w:lineRule="auto"/>
        <w:jc w:val="both"/>
        <w:rPr>
          <w:rFonts w:ascii="Cambria" w:hAnsi="Cambria"/>
          <w:lang w:val="en-US"/>
        </w:rPr>
      </w:pPr>
      <w:r w:rsidRPr="00821DD3">
        <w:rPr>
          <w:rFonts w:ascii="Cambria" w:hAnsi="Cambria"/>
          <w:lang w:val="en-US"/>
        </w:rPr>
        <w:t>The erstwhile public sector company shall have the same meaning as assigned to it in clause (ii) of the Explanation to clause (d) of section 72</w:t>
      </w:r>
      <w:proofErr w:type="gramStart"/>
      <w:r w:rsidRPr="00821DD3">
        <w:rPr>
          <w:rFonts w:ascii="Cambria" w:hAnsi="Cambria"/>
          <w:lang w:val="en-US"/>
        </w:rPr>
        <w:t>A(</w:t>
      </w:r>
      <w:proofErr w:type="gramEnd"/>
      <w:r w:rsidRPr="00821DD3">
        <w:rPr>
          <w:rFonts w:ascii="Cambria" w:hAnsi="Cambria"/>
          <w:lang w:val="en-US"/>
        </w:rPr>
        <w:t>1).</w:t>
      </w:r>
    </w:p>
    <w:p w14:paraId="2DE89F16" w14:textId="52075ADD" w:rsidR="00A807C6" w:rsidRDefault="00A807C6" w:rsidP="00821DD3">
      <w:pPr>
        <w:spacing w:line="360" w:lineRule="auto"/>
        <w:jc w:val="both"/>
        <w:rPr>
          <w:rFonts w:ascii="Cambria" w:hAnsi="Cambria"/>
          <w:lang w:val="en-US"/>
        </w:rPr>
      </w:pPr>
      <w:r>
        <w:rPr>
          <w:rFonts w:ascii="Cambria" w:hAnsi="Cambria"/>
          <w:lang w:val="en-US"/>
        </w:rPr>
        <w:lastRenderedPageBreak/>
        <w:t>Order of Set Off</w:t>
      </w:r>
    </w:p>
    <w:p w14:paraId="7F35B091" w14:textId="59C7252E" w:rsidR="00A807C6" w:rsidRDefault="00A807C6" w:rsidP="00821DD3">
      <w:pPr>
        <w:spacing w:line="360" w:lineRule="auto"/>
        <w:jc w:val="both"/>
        <w:rPr>
          <w:rFonts w:ascii="Cambria" w:hAnsi="Cambria"/>
          <w:lang w:val="en-US"/>
        </w:rPr>
      </w:pPr>
      <w:r>
        <w:rPr>
          <w:rFonts w:ascii="Cambria" w:hAnsi="Cambria"/>
          <w:lang w:val="en-US"/>
        </w:rPr>
        <w:t xml:space="preserve">If an assessee is entitled to claim depreciation, capital expenditure etc. as well as carried forward business losses, the sequence of allowing deduction will be as </w:t>
      </w:r>
      <w:proofErr w:type="gramStart"/>
      <w:r>
        <w:rPr>
          <w:rFonts w:ascii="Cambria" w:hAnsi="Cambria"/>
          <w:lang w:val="en-US"/>
        </w:rPr>
        <w:t>under;</w:t>
      </w:r>
      <w:proofErr w:type="gramEnd"/>
    </w:p>
    <w:p w14:paraId="60C7470C" w14:textId="09B87CD4" w:rsidR="00A807C6" w:rsidRDefault="00A807C6" w:rsidP="00A807C6">
      <w:pPr>
        <w:pStyle w:val="ListParagraph"/>
        <w:numPr>
          <w:ilvl w:val="0"/>
          <w:numId w:val="15"/>
        </w:numPr>
        <w:spacing w:line="360" w:lineRule="auto"/>
        <w:jc w:val="both"/>
        <w:rPr>
          <w:rFonts w:ascii="Cambria" w:hAnsi="Cambria"/>
          <w:lang w:val="en-US"/>
        </w:rPr>
      </w:pPr>
      <w:r w:rsidRPr="00A807C6">
        <w:rPr>
          <w:rFonts w:ascii="Cambria" w:hAnsi="Cambria"/>
          <w:lang w:val="en-US"/>
        </w:rPr>
        <w:t>Current Depreciation</w:t>
      </w:r>
    </w:p>
    <w:p w14:paraId="059984DF" w14:textId="5840C7D0" w:rsidR="00A807C6" w:rsidRDefault="00A807C6" w:rsidP="00A807C6">
      <w:pPr>
        <w:pStyle w:val="ListParagraph"/>
        <w:numPr>
          <w:ilvl w:val="0"/>
          <w:numId w:val="15"/>
        </w:numPr>
        <w:spacing w:line="360" w:lineRule="auto"/>
        <w:jc w:val="both"/>
        <w:rPr>
          <w:rFonts w:ascii="Cambria" w:hAnsi="Cambria"/>
          <w:lang w:val="en-US"/>
        </w:rPr>
      </w:pPr>
      <w:r>
        <w:rPr>
          <w:rFonts w:ascii="Cambria" w:hAnsi="Cambria"/>
          <w:lang w:val="en-US"/>
        </w:rPr>
        <w:t>Capital expenditure on scientific research and family planning</w:t>
      </w:r>
    </w:p>
    <w:p w14:paraId="483E5605" w14:textId="10BE84FE" w:rsidR="00A807C6" w:rsidRDefault="00A807C6" w:rsidP="00A807C6">
      <w:pPr>
        <w:pStyle w:val="ListParagraph"/>
        <w:numPr>
          <w:ilvl w:val="0"/>
          <w:numId w:val="15"/>
        </w:numPr>
        <w:spacing w:line="360" w:lineRule="auto"/>
        <w:jc w:val="both"/>
        <w:rPr>
          <w:rFonts w:ascii="Cambria" w:hAnsi="Cambria"/>
          <w:lang w:val="en-US"/>
        </w:rPr>
      </w:pPr>
      <w:r>
        <w:rPr>
          <w:rFonts w:ascii="Cambria" w:hAnsi="Cambria"/>
          <w:lang w:val="en-US"/>
        </w:rPr>
        <w:t>Carried forward business losses</w:t>
      </w:r>
    </w:p>
    <w:p w14:paraId="7800CDC6" w14:textId="06708933" w:rsidR="00A807C6" w:rsidRDefault="00A807C6" w:rsidP="00A807C6">
      <w:pPr>
        <w:pStyle w:val="ListParagraph"/>
        <w:numPr>
          <w:ilvl w:val="0"/>
          <w:numId w:val="15"/>
        </w:numPr>
        <w:spacing w:line="360" w:lineRule="auto"/>
        <w:jc w:val="both"/>
        <w:rPr>
          <w:rFonts w:ascii="Cambria" w:hAnsi="Cambria"/>
          <w:lang w:val="en-US"/>
        </w:rPr>
      </w:pPr>
      <w:r>
        <w:rPr>
          <w:rFonts w:ascii="Cambria" w:hAnsi="Cambria"/>
          <w:lang w:val="en-US"/>
        </w:rPr>
        <w:t>Unabsorbed Depreciation</w:t>
      </w:r>
    </w:p>
    <w:p w14:paraId="264C11B1" w14:textId="0B5B7B7F" w:rsidR="00A807C6" w:rsidRDefault="00A807C6" w:rsidP="00A807C6">
      <w:pPr>
        <w:pStyle w:val="ListParagraph"/>
        <w:numPr>
          <w:ilvl w:val="0"/>
          <w:numId w:val="15"/>
        </w:numPr>
        <w:spacing w:line="360" w:lineRule="auto"/>
        <w:jc w:val="both"/>
        <w:rPr>
          <w:rFonts w:ascii="Cambria" w:hAnsi="Cambria"/>
          <w:lang w:val="en-US"/>
        </w:rPr>
      </w:pPr>
      <w:r>
        <w:rPr>
          <w:rFonts w:ascii="Cambria" w:hAnsi="Cambria"/>
          <w:lang w:val="en-US"/>
        </w:rPr>
        <w:t>Unabsorbed Capital expenses on scientific research and family planning</w:t>
      </w:r>
    </w:p>
    <w:p w14:paraId="4F9D5D80" w14:textId="77777777" w:rsidR="00A807C6" w:rsidRPr="00A807C6" w:rsidRDefault="00A807C6" w:rsidP="00A807C6">
      <w:pPr>
        <w:pStyle w:val="ListParagraph"/>
        <w:spacing w:line="360" w:lineRule="auto"/>
        <w:ind w:firstLine="0"/>
        <w:jc w:val="both"/>
        <w:rPr>
          <w:rFonts w:ascii="Cambria" w:hAnsi="Cambria"/>
          <w:lang w:val="en-US"/>
        </w:rPr>
      </w:pPr>
    </w:p>
    <w:sectPr w:rsidR="00A807C6" w:rsidRPr="00A80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19E"/>
    <w:multiLevelType w:val="hybridMultilevel"/>
    <w:tmpl w:val="5D366B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21A4A"/>
    <w:multiLevelType w:val="hybridMultilevel"/>
    <w:tmpl w:val="CA4E94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93525"/>
    <w:multiLevelType w:val="hybridMultilevel"/>
    <w:tmpl w:val="430CB2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1714A4"/>
    <w:multiLevelType w:val="hybridMultilevel"/>
    <w:tmpl w:val="AD0AF0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9B7853"/>
    <w:multiLevelType w:val="hybridMultilevel"/>
    <w:tmpl w:val="41747E1E"/>
    <w:lvl w:ilvl="0" w:tplc="A776EBB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34256E1"/>
    <w:multiLevelType w:val="hybridMultilevel"/>
    <w:tmpl w:val="7DE664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0468DC"/>
    <w:multiLevelType w:val="hybridMultilevel"/>
    <w:tmpl w:val="FC4468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3318AC"/>
    <w:multiLevelType w:val="hybridMultilevel"/>
    <w:tmpl w:val="3B4C53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4D6C2A"/>
    <w:multiLevelType w:val="hybridMultilevel"/>
    <w:tmpl w:val="899478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AE651E"/>
    <w:multiLevelType w:val="hybridMultilevel"/>
    <w:tmpl w:val="F26E0A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1D6370"/>
    <w:multiLevelType w:val="hybridMultilevel"/>
    <w:tmpl w:val="63F63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3D34D6"/>
    <w:multiLevelType w:val="hybridMultilevel"/>
    <w:tmpl w:val="4D0E7C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8F6B9B"/>
    <w:multiLevelType w:val="hybridMultilevel"/>
    <w:tmpl w:val="A80E97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006FFF"/>
    <w:multiLevelType w:val="hybridMultilevel"/>
    <w:tmpl w:val="762E59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6773F4"/>
    <w:multiLevelType w:val="hybridMultilevel"/>
    <w:tmpl w:val="540CD9CC"/>
    <w:lvl w:ilvl="0" w:tplc="0002A6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16190253">
    <w:abstractNumId w:val="8"/>
  </w:num>
  <w:num w:numId="2" w16cid:durableId="2075930674">
    <w:abstractNumId w:val="6"/>
  </w:num>
  <w:num w:numId="3" w16cid:durableId="1652247674">
    <w:abstractNumId w:val="0"/>
  </w:num>
  <w:num w:numId="4" w16cid:durableId="891159555">
    <w:abstractNumId w:val="11"/>
  </w:num>
  <w:num w:numId="5" w16cid:durableId="1025324236">
    <w:abstractNumId w:val="2"/>
  </w:num>
  <w:num w:numId="6" w16cid:durableId="660155919">
    <w:abstractNumId w:val="5"/>
  </w:num>
  <w:num w:numId="7" w16cid:durableId="513374558">
    <w:abstractNumId w:val="1"/>
  </w:num>
  <w:num w:numId="8" w16cid:durableId="436215031">
    <w:abstractNumId w:val="9"/>
  </w:num>
  <w:num w:numId="9" w16cid:durableId="608397574">
    <w:abstractNumId w:val="3"/>
  </w:num>
  <w:num w:numId="10" w16cid:durableId="721750084">
    <w:abstractNumId w:val="13"/>
  </w:num>
  <w:num w:numId="11" w16cid:durableId="1364944721">
    <w:abstractNumId w:val="4"/>
  </w:num>
  <w:num w:numId="12" w16cid:durableId="124549496">
    <w:abstractNumId w:val="12"/>
  </w:num>
  <w:num w:numId="13" w16cid:durableId="561797846">
    <w:abstractNumId w:val="7"/>
  </w:num>
  <w:num w:numId="14" w16cid:durableId="854151866">
    <w:abstractNumId w:val="14"/>
  </w:num>
  <w:num w:numId="15" w16cid:durableId="12126962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E4"/>
    <w:rsid w:val="00385DB8"/>
    <w:rsid w:val="006C1475"/>
    <w:rsid w:val="007376E4"/>
    <w:rsid w:val="00821DD3"/>
    <w:rsid w:val="00A15614"/>
    <w:rsid w:val="00A807C6"/>
    <w:rsid w:val="00D70D71"/>
    <w:rsid w:val="00E27F43"/>
    <w:rsid w:val="00F05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A188"/>
  <w15:chartTrackingRefBased/>
  <w15:docId w15:val="{2084FA56-0431-9D4F-A1EA-3466F734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F43"/>
    <w:pPr>
      <w:spacing w:after="180" w:line="274" w:lineRule="auto"/>
    </w:pPr>
    <w:rPr>
      <w:sz w:val="21"/>
    </w:rPr>
  </w:style>
  <w:style w:type="paragraph" w:styleId="Heading1">
    <w:name w:val="heading 1"/>
    <w:basedOn w:val="Normal"/>
    <w:next w:val="Normal"/>
    <w:link w:val="Heading1Char"/>
    <w:uiPriority w:val="9"/>
    <w:qFormat/>
    <w:rsid w:val="00E27F43"/>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E27F43"/>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E27F43"/>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E27F43"/>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E27F43"/>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E27F43"/>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E27F43"/>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E27F4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27F4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7F43"/>
    <w:pPr>
      <w:spacing w:line="240" w:lineRule="auto"/>
      <w:ind w:left="720" w:hanging="288"/>
      <w:contextualSpacing/>
    </w:pPr>
    <w:rPr>
      <w:color w:val="44546A" w:themeColor="text2"/>
    </w:rPr>
  </w:style>
  <w:style w:type="character" w:customStyle="1" w:styleId="Heading1Char">
    <w:name w:val="Heading 1 Char"/>
    <w:basedOn w:val="DefaultParagraphFont"/>
    <w:link w:val="Heading1"/>
    <w:uiPriority w:val="9"/>
    <w:rsid w:val="00E27F43"/>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E27F43"/>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E27F43"/>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E27F43"/>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E27F4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27F43"/>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E27F43"/>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E27F4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27F4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27F43"/>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E27F4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E27F43"/>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E27F43"/>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E27F43"/>
    <w:rPr>
      <w:rFonts w:eastAsiaTheme="majorEastAsia" w:cstheme="majorBidi"/>
      <w:iCs/>
      <w:color w:val="44546A" w:themeColor="text2"/>
      <w:sz w:val="40"/>
      <w:szCs w:val="24"/>
    </w:rPr>
  </w:style>
  <w:style w:type="character" w:styleId="Strong">
    <w:name w:val="Strong"/>
    <w:basedOn w:val="DefaultParagraphFont"/>
    <w:uiPriority w:val="22"/>
    <w:qFormat/>
    <w:rsid w:val="00E27F43"/>
    <w:rPr>
      <w:b w:val="0"/>
      <w:bCs/>
      <w:i/>
      <w:color w:val="44546A" w:themeColor="text2"/>
    </w:rPr>
  </w:style>
  <w:style w:type="character" w:styleId="Emphasis">
    <w:name w:val="Emphasis"/>
    <w:basedOn w:val="DefaultParagraphFont"/>
    <w:uiPriority w:val="20"/>
    <w:qFormat/>
    <w:rsid w:val="00E27F43"/>
    <w:rPr>
      <w:b/>
      <w:i/>
      <w:iCs/>
    </w:rPr>
  </w:style>
  <w:style w:type="paragraph" w:styleId="NoSpacing">
    <w:name w:val="No Spacing"/>
    <w:link w:val="NoSpacingChar"/>
    <w:uiPriority w:val="1"/>
    <w:qFormat/>
    <w:rsid w:val="00E27F43"/>
    <w:pPr>
      <w:spacing w:after="0" w:line="240" w:lineRule="auto"/>
    </w:pPr>
  </w:style>
  <w:style w:type="paragraph" w:styleId="Quote">
    <w:name w:val="Quote"/>
    <w:basedOn w:val="Normal"/>
    <w:next w:val="Normal"/>
    <w:link w:val="QuoteChar"/>
    <w:uiPriority w:val="29"/>
    <w:qFormat/>
    <w:rsid w:val="00E27F43"/>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E27F43"/>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E27F4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E27F43"/>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E27F43"/>
    <w:rPr>
      <w:i/>
      <w:iCs/>
      <w:color w:val="000000"/>
    </w:rPr>
  </w:style>
  <w:style w:type="character" w:styleId="IntenseEmphasis">
    <w:name w:val="Intense Emphasis"/>
    <w:basedOn w:val="DefaultParagraphFont"/>
    <w:uiPriority w:val="21"/>
    <w:qFormat/>
    <w:rsid w:val="00E27F43"/>
    <w:rPr>
      <w:b/>
      <w:bCs/>
      <w:i/>
      <w:iCs/>
      <w:color w:val="4472C4" w:themeColor="accent1"/>
    </w:rPr>
  </w:style>
  <w:style w:type="character" w:styleId="SubtleReference">
    <w:name w:val="Subtle Reference"/>
    <w:basedOn w:val="DefaultParagraphFont"/>
    <w:uiPriority w:val="31"/>
    <w:qFormat/>
    <w:rsid w:val="00E27F43"/>
    <w:rPr>
      <w:smallCaps/>
      <w:color w:val="000000"/>
      <w:u w:val="single"/>
    </w:rPr>
  </w:style>
  <w:style w:type="character" w:styleId="IntenseReference">
    <w:name w:val="Intense Reference"/>
    <w:basedOn w:val="DefaultParagraphFont"/>
    <w:uiPriority w:val="32"/>
    <w:qFormat/>
    <w:rsid w:val="00E27F43"/>
    <w:rPr>
      <w:b w:val="0"/>
      <w:bCs/>
      <w:smallCaps/>
      <w:color w:val="4472C4" w:themeColor="accent1"/>
      <w:spacing w:val="5"/>
      <w:u w:val="single"/>
    </w:rPr>
  </w:style>
  <w:style w:type="character" w:styleId="BookTitle">
    <w:name w:val="Book Title"/>
    <w:basedOn w:val="DefaultParagraphFont"/>
    <w:uiPriority w:val="33"/>
    <w:qFormat/>
    <w:rsid w:val="00E27F43"/>
    <w:rPr>
      <w:b/>
      <w:bCs/>
      <w:caps/>
      <w:smallCaps w:val="0"/>
      <w:color w:val="44546A" w:themeColor="text2"/>
      <w:spacing w:val="10"/>
    </w:rPr>
  </w:style>
  <w:style w:type="paragraph" w:styleId="TOCHeading">
    <w:name w:val="TOC Heading"/>
    <w:basedOn w:val="Heading1"/>
    <w:next w:val="Normal"/>
    <w:uiPriority w:val="39"/>
    <w:semiHidden/>
    <w:unhideWhenUsed/>
    <w:qFormat/>
    <w:rsid w:val="00E27F43"/>
    <w:pPr>
      <w:spacing w:before="480" w:line="264" w:lineRule="auto"/>
      <w:outlineLvl w:val="9"/>
    </w:pPr>
    <w:rPr>
      <w:b/>
    </w:rPr>
  </w:style>
  <w:style w:type="character" w:customStyle="1" w:styleId="NoSpacingChar">
    <w:name w:val="No Spacing Char"/>
    <w:basedOn w:val="DefaultParagraphFont"/>
    <w:link w:val="NoSpacing"/>
    <w:uiPriority w:val="1"/>
    <w:rsid w:val="00E27F43"/>
  </w:style>
  <w:style w:type="paragraph" w:customStyle="1" w:styleId="PersonalName">
    <w:name w:val="Personal Name"/>
    <w:basedOn w:val="Title"/>
    <w:qFormat/>
    <w:rsid w:val="00E27F43"/>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6558">
      <w:bodyDiv w:val="1"/>
      <w:marLeft w:val="0"/>
      <w:marRight w:val="0"/>
      <w:marTop w:val="0"/>
      <w:marBottom w:val="0"/>
      <w:divBdr>
        <w:top w:val="none" w:sz="0" w:space="0" w:color="auto"/>
        <w:left w:val="none" w:sz="0" w:space="0" w:color="auto"/>
        <w:bottom w:val="none" w:sz="0" w:space="0" w:color="auto"/>
        <w:right w:val="none" w:sz="0" w:space="0" w:color="auto"/>
      </w:divBdr>
    </w:div>
    <w:div w:id="845707753">
      <w:bodyDiv w:val="1"/>
      <w:marLeft w:val="0"/>
      <w:marRight w:val="0"/>
      <w:marTop w:val="0"/>
      <w:marBottom w:val="0"/>
      <w:divBdr>
        <w:top w:val="none" w:sz="0" w:space="0" w:color="auto"/>
        <w:left w:val="none" w:sz="0" w:space="0" w:color="auto"/>
        <w:bottom w:val="none" w:sz="0" w:space="0" w:color="auto"/>
        <w:right w:val="none" w:sz="0" w:space="0" w:color="auto"/>
      </w:divBdr>
      <w:divsChild>
        <w:div w:id="1645230839">
          <w:marLeft w:val="0"/>
          <w:marRight w:val="0"/>
          <w:marTop w:val="0"/>
          <w:marBottom w:val="0"/>
          <w:divBdr>
            <w:top w:val="none" w:sz="0" w:space="0" w:color="auto"/>
            <w:left w:val="none" w:sz="0" w:space="0" w:color="auto"/>
            <w:bottom w:val="none" w:sz="0" w:space="0" w:color="auto"/>
            <w:right w:val="none" w:sz="0" w:space="0" w:color="auto"/>
          </w:divBdr>
          <w:divsChild>
            <w:div w:id="663359722">
              <w:marLeft w:val="0"/>
              <w:marRight w:val="0"/>
              <w:marTop w:val="0"/>
              <w:marBottom w:val="0"/>
              <w:divBdr>
                <w:top w:val="none" w:sz="0" w:space="0" w:color="auto"/>
                <w:left w:val="none" w:sz="0" w:space="0" w:color="auto"/>
                <w:bottom w:val="none" w:sz="0" w:space="0" w:color="auto"/>
                <w:right w:val="none" w:sz="0" w:space="0" w:color="auto"/>
              </w:divBdr>
              <w:divsChild>
                <w:div w:id="13887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2369">
      <w:bodyDiv w:val="1"/>
      <w:marLeft w:val="0"/>
      <w:marRight w:val="0"/>
      <w:marTop w:val="0"/>
      <w:marBottom w:val="0"/>
      <w:divBdr>
        <w:top w:val="none" w:sz="0" w:space="0" w:color="auto"/>
        <w:left w:val="none" w:sz="0" w:space="0" w:color="auto"/>
        <w:bottom w:val="none" w:sz="0" w:space="0" w:color="auto"/>
        <w:right w:val="none" w:sz="0" w:space="0" w:color="auto"/>
      </w:divBdr>
    </w:div>
    <w:div w:id="1505169677">
      <w:bodyDiv w:val="1"/>
      <w:marLeft w:val="0"/>
      <w:marRight w:val="0"/>
      <w:marTop w:val="0"/>
      <w:marBottom w:val="0"/>
      <w:divBdr>
        <w:top w:val="none" w:sz="0" w:space="0" w:color="auto"/>
        <w:left w:val="none" w:sz="0" w:space="0" w:color="auto"/>
        <w:bottom w:val="none" w:sz="0" w:space="0" w:color="auto"/>
        <w:right w:val="none" w:sz="0" w:space="0" w:color="auto"/>
      </w:divBdr>
      <w:divsChild>
        <w:div w:id="1007710872">
          <w:marLeft w:val="0"/>
          <w:marRight w:val="0"/>
          <w:marTop w:val="0"/>
          <w:marBottom w:val="0"/>
          <w:divBdr>
            <w:top w:val="none" w:sz="0" w:space="0" w:color="auto"/>
            <w:left w:val="none" w:sz="0" w:space="0" w:color="auto"/>
            <w:bottom w:val="none" w:sz="0" w:space="0" w:color="auto"/>
            <w:right w:val="none" w:sz="0" w:space="0" w:color="auto"/>
          </w:divBdr>
          <w:divsChild>
            <w:div w:id="1509059052">
              <w:marLeft w:val="0"/>
              <w:marRight w:val="0"/>
              <w:marTop w:val="0"/>
              <w:marBottom w:val="0"/>
              <w:divBdr>
                <w:top w:val="none" w:sz="0" w:space="0" w:color="auto"/>
                <w:left w:val="none" w:sz="0" w:space="0" w:color="auto"/>
                <w:bottom w:val="none" w:sz="0" w:space="0" w:color="auto"/>
                <w:right w:val="none" w:sz="0" w:space="0" w:color="auto"/>
              </w:divBdr>
              <w:divsChild>
                <w:div w:id="419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6306">
      <w:bodyDiv w:val="1"/>
      <w:marLeft w:val="0"/>
      <w:marRight w:val="0"/>
      <w:marTop w:val="0"/>
      <w:marBottom w:val="0"/>
      <w:divBdr>
        <w:top w:val="none" w:sz="0" w:space="0" w:color="auto"/>
        <w:left w:val="none" w:sz="0" w:space="0" w:color="auto"/>
        <w:bottom w:val="none" w:sz="0" w:space="0" w:color="auto"/>
        <w:right w:val="none" w:sz="0" w:space="0" w:color="auto"/>
      </w:divBdr>
      <w:divsChild>
        <w:div w:id="265231705">
          <w:marLeft w:val="0"/>
          <w:marRight w:val="0"/>
          <w:marTop w:val="0"/>
          <w:marBottom w:val="0"/>
          <w:divBdr>
            <w:top w:val="none" w:sz="0" w:space="0" w:color="auto"/>
            <w:left w:val="none" w:sz="0" w:space="0" w:color="auto"/>
            <w:bottom w:val="none" w:sz="0" w:space="0" w:color="auto"/>
            <w:right w:val="none" w:sz="0" w:space="0" w:color="auto"/>
          </w:divBdr>
          <w:divsChild>
            <w:div w:id="594704306">
              <w:marLeft w:val="0"/>
              <w:marRight w:val="0"/>
              <w:marTop w:val="0"/>
              <w:marBottom w:val="0"/>
              <w:divBdr>
                <w:top w:val="none" w:sz="0" w:space="0" w:color="auto"/>
                <w:left w:val="none" w:sz="0" w:space="0" w:color="auto"/>
                <w:bottom w:val="none" w:sz="0" w:space="0" w:color="auto"/>
                <w:right w:val="none" w:sz="0" w:space="0" w:color="auto"/>
              </w:divBdr>
              <w:divsChild>
                <w:div w:id="13871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490B-96C2-644D-8FE5-C417CFF3C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sijeeshie4uglobal@gmail.com</dc:creator>
  <cp:keywords/>
  <dc:description/>
  <cp:lastModifiedBy>sijeeshie4uglobal@gmail.com</cp:lastModifiedBy>
  <cp:revision>2</cp:revision>
  <dcterms:created xsi:type="dcterms:W3CDTF">2023-06-16T06:23:00Z</dcterms:created>
  <dcterms:modified xsi:type="dcterms:W3CDTF">2023-06-19T05:28:00Z</dcterms:modified>
</cp:coreProperties>
</file>