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lpi6xwd6nqtg" w:id="0"/>
      <w:bookmarkEnd w:id="0"/>
      <w:r w:rsidDel="00000000" w:rsidR="00000000" w:rsidRPr="00000000">
        <w:rPr>
          <w:rFonts w:ascii="Times New Roman" w:cs="Times New Roman" w:eastAsia="Times New Roman" w:hAnsi="Times New Roman"/>
          <w:b w:val="1"/>
          <w:bCs w:val="1"/>
          <w:sz w:val="52"/>
          <w:szCs w:val="52"/>
          <w:rtl w:val="0"/>
        </w:rPr>
        <w:t xml:space="preserve">Estimarea probabilității de automatizare a ocupațiilor din România folosind modele de machine learning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riguj564cqz" w:id="1"/>
      <w:bookmarkEnd w:id="1"/>
      <w:r w:rsidDel="00000000" w:rsidR="00000000" w:rsidRPr="00000000">
        <w:rPr>
          <w:rtl w:val="0"/>
        </w:rPr>
      </w:r>
    </w:p>
    <w:p/>
    <w:p>
      <w:pPr>
        <w:jc w:val="center"/>
      </w:pPr>
      <w:r>
        <w:rPr>
          <w:b/>
        </w:rPr>
        <w:t xml:space="preserve">Abstract</w:t>
      </w:r>
    </w:p>
    <w:p>
      <w:pPr/>
      <w:r>
        <w:rPr/>
        <w:t>Lucrarea de față pornește de la o întrebare simplă, dar cu răspuns dificil: în ce măsură ocupațiile înregistrate oficial în România sunt expuse automatizării, și putem estima acest risc fără să recurgem la evaluări subiective? Plecând de la datele structurale disponibile în sistemul european ESCO, am construit un model predictiv bazat pe algoritmul LightGBM care asociază fiecărei ocupații un scor de automatizare cuprins între 0 și 100. Cele șase variabile folosite — numărul total de competențe, competențele esențiale și opționale, elementele de cunoaștere, indicatorul compozit al competențelor și un indicator structural derivat (automation_score_proxy) — descriu profilul ocupațional prin informații obiective, fără a depinde de judecăți experților. Pe setul de test, modelul obține o eroare medie absolută de 11.03 și un R² de 0.196; cross-validarea 5-fold relevă însă instabilitate semnificativă (R²_CV = −14.21 ± 6.16), ceea ce impune prudență în interpretare. Clasificatorul pe trei niveluri (LOW, MEDIUM, HIGH) atinge 55.26% acuratețe față de un baseline de 53.95% — o marjă mică, dar pozitivă. Prin fuzzy matching cu prag ≥ 80%, 654 de ocupații din COR au primit scoruri de automatizare, cu o distribuție aproximativ egală între LOW (50.5%) și MEDIUM (48.6%). Metodologia este reproductibilă și poate fi extinsă, constituind un punct de plecare pentru analize mai fine ale pieței muncii românești.</w:t>
      </w:r>
    </w:p>
    <w:p>
      <w:pPr/>
      <w:r>
        <w:rPr>
          <w:b/>
        </w:rPr>
        <w:t>Cuvinte-cheie: </w:t>
      </w:r>
      <w:r>
        <w:rPr/>
        <w:t xml:space="preserve">automatizare ocupații, machine learning, LightGBM, ESCO, COR, SHAP, risc ocupațional, piața muncii, clasificare ocupațională</w:t>
      </w:r>
    </w:p>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gacxsuszuuen" w:id="2"/>
      <w:bookmarkEnd w:id="2"/>
      <w:r w:rsidDel="00000000" w:rsidR="00000000" w:rsidRPr="00000000">
        <w:rPr>
          <w:rFonts w:ascii="Times New Roman" w:cs="Times New Roman" w:eastAsia="Times New Roman" w:hAnsi="Times New Roman"/>
          <w:b w:val="1"/>
          <w:bCs w:val="1"/>
          <w:sz w:val="44"/>
          <w:szCs w:val="44"/>
          <w:rtl w:val="0"/>
        </w:rPr>
        <w:t xml:space="preserve">1. Introducere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rPr>
      </w:pPr>
      <w:bookmarkStart w:colFirst="0" w:colLast="0" w:name="_jzu3zqau823l" w:id="3"/>
      <w:bookmarkEnd w:id="3"/>
      <w:r w:rsidDel="00000000" w:rsidR="00000000" w:rsidRPr="00000000">
        <w:rPr>
          <w:rFonts w:ascii="Times New Roman" w:cs="Times New Roman" w:eastAsia="Times New Roman" w:hAnsi="Times New Roman"/>
          <w:b w:val="1"/>
          <w:bCs w:val="1"/>
          <w:rtl w:val="0"/>
        </w:rPr>
        <w:t xml:space="preserve">1.1 Contextul general al automatizării și al inteligenței artificiale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Transformările aduse de digitalizare pe piața muncii nu mai reprezintă o perspectivă îndepărtată — ele sunt deja vizibile. De la liniile de producție industriale la procesarea documentelor juridice, de la diagnosticul medical asistat de algoritmi la generarea automată a rapoartelor financiare, sistemele bazate pe inteligență artificială au pătruns în domenii pe care, acum un deceniu, le consideram ferite de automatizare. Ceea ce diferențiază valul actual de revoluțiile tehnologice anterioare este că nu mai afectează doar munca fizică repetitivă — ci și o parte semnificativă a muncii cognitive de rutină. Această extindere ridică întrebări legitime despre viitorul multor ocupații și face din estimarea riscului de automatizare un subiect de cercetare cu implicații practice directe.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Impactul nu este uniform, și nici nu ar putea fi. Un operator de introducere a datelor și un asistent social lucrează ambii cu informații și cu oameni, dar profilul de risc al fiecăruia este complet diferit. Primul execută sarcini bine definite, repetabile și independente de context — exact tipul de activitate pe care un algoritm îl poate prelua eficient. Al doilea intervine în situații ambigue, construiește relații de încredere pe termen lung și adaptează constant abordarea la fiecare persoană în parte — capacități pe care sistemele actuale de AI nu le pot replica în mod credibil. Tocmai această diferențiere, uneori subtilă, dintre tipurile de sarcini a transformat analiza riscului ocupațional într-un domeniu activ de cercetare, cu relevanță directă pentru politicile de educație și reconversie profesională.</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h9gw6hyv5x9t" w:id="4"/>
      <w:bookmarkEnd w:id="4"/>
      <w:r w:rsidDel="00000000" w:rsidR="00000000" w:rsidRPr="00000000">
        <w:rPr>
          <w:rFonts w:ascii="Times New Roman" w:cs="Times New Roman" w:eastAsia="Times New Roman" w:hAnsi="Times New Roman"/>
          <w:b w:val="1"/>
          <w:bCs w:val="1"/>
          <w:rtl w:val="0"/>
        </w:rPr>
        <w:t xml:space="preserve">1.2 Problema de cercetare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Literatura academică pe tema automatizării ocupaționale s-a dezvoltat rapid, în special după studiul de referință al lui Frey și Osborne (2017), care a estimat că aproape jumătate din ocupațiile americane sunt tehnic automatizabile. Problema este că marea majoritate a acestor cercetări utilizează clasificări ocupaționale americane (O*NET, SOC) sau europene agregate, care nu se suprapun bine cu realitățile locale. Încercarea de a aplica direct aceste estimări pentru ocupațiile din Clasificarea Ocupațiilor din România se lovește imediat de o lipsă de corespondență — granularitatea diferă, denumirile ocupaționale nu coincid, iar contextul economic în care se desfășoară activitățile poate fi semnificativ diferit.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cunoștința autorului, nu există în prezent un instrument funcțional care să estimeze automat riscul de automatizare pentru ocupațiile din COR pe baza unui model predictiv adaptat la datele disponibile în România. Acest gol are consecințe practice: fără astfel de estimări locale, orice strategie de reconversie profesională sau ajustare curriculară riscă să se bazeze pe generalizări importate din contexte cu structuri ale pieței muncii foarte diferite față de cea românească.</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flpqqzzh0p"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xhofu5p1a86"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rPr>
      </w:pPr>
      <w:bookmarkStart w:colFirst="0" w:colLast="0" w:name="_2207xlu1w8ju" w:id="7"/>
      <w:bookmarkEnd w:id="7"/>
      <w:r w:rsidDel="00000000" w:rsidR="00000000" w:rsidRPr="00000000">
        <w:rPr>
          <w:rFonts w:ascii="Times New Roman" w:cs="Times New Roman" w:eastAsia="Times New Roman" w:hAnsi="Times New Roman"/>
          <w:b w:val="1"/>
          <w:bCs w:val="1"/>
          <w:rtl w:val="0"/>
        </w:rPr>
        <w:t xml:space="preserve">1.3 Scopul și obiectivele lucrării</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Pornind de la aceste premise, lucrarea de față și-a propus să construiască un instrument practic de estimare a riscului de automatizare adaptat la contextul românesc. Nu este vorba despre o predicție certă a viitorului pieței muncii — și nici nu ar putea fi, date fiind incertitudinile inerente ale procesului de adoptare tehnologică — ci despre un model care traduce structura competențelor ocupaționale dintr-un format descriptiv într-un scor numeric orientativ de vulnerabilitate.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atingerea acestui scop au fost stabilite următoarele obiective:</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datelor ocupaționale din sistemul ESCO pentru construirea unui model predictiv;</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relației dintre competențe și gradul de automatizare;</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unui scor numeric de automatizare pentru fiecare ocupație;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în funcție de nivelul de risc;</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transferul modelului asupra ocupațiilor din România prin asocierea COR–ESCO;</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comportamentului modelului prin metode de explainability.</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d1ivbnkhor6" w:id="8"/>
      <w:bookmarkEnd w:id="8"/>
      <w:r w:rsidDel="00000000" w:rsidR="00000000" w:rsidRPr="00000000">
        <w:rPr>
          <w:rFonts w:ascii="Times New Roman" w:cs="Times New Roman" w:eastAsia="Times New Roman" w:hAnsi="Times New Roman"/>
          <w:b w:val="1"/>
          <w:bCs w:val="1"/>
          <w:sz w:val="28"/>
          <w:szCs w:val="28"/>
          <w:rtl w:val="0"/>
        </w:rPr>
        <w:t xml:space="preserve">1.4 Datele utilizate în cercetare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au fost utilizate date provenite din sistemul european ESCO (European Skills, Competences, Qualifications and Occupations), o bază de date care conține informații standardizate despre ocupații și competențe. În cadrul cercetării au fost analizate aproximativ 3000 de ocupații, fiecare fiind descrisă printr-un set de caracteristici relevante.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a fost construit utilizând șase variabile principale:</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unei ocupații;</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numărul competențelor esențiale;</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numărul competențelor opționale;</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componentele de cunoaștere asociate ocupației;</w:t>
      </w:r>
    </w:p>
    <w:p w:rsidR="00000000" w:rsidDel="00000000" w:rsidP="00000000" w:rsidRDefault="00000000" w:rsidRPr="00000000" w14:paraId="0000001F">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care descrie structura competențelor;</w:t>
        <w:br/>
        <w:t>automation_score_proxy – indicator structural al proporției competențelor rutinizabile: (optional/total · 0.5 + knowledge/total · 0.5) · 100.</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caracteristici au fost selectate deoarece oferă o reprezentare numerică a complexității ocupaționale și permit compararea profesiilor din punct de vedere al structurii competențelor.</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rPr>
      </w:pPr>
      <w:bookmarkStart w:colFirst="0" w:colLast="0" w:name="_ugoueh6n7932" w:id="9"/>
      <w:bookmarkEnd w:id="9"/>
      <w:r w:rsidDel="00000000" w:rsidR="00000000" w:rsidRPr="00000000">
        <w:rPr>
          <w:rFonts w:ascii="Times New Roman" w:cs="Times New Roman" w:eastAsia="Times New Roman" w:hAnsi="Times New Roman"/>
          <w:b w:val="1"/>
          <w:bCs w:val="1"/>
          <w:rtl w:val="0"/>
        </w:rPr>
        <w:t xml:space="preserve">1.5 Metodologia utilizată</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riscului de automatizare a fost ales algoritmul LightGBM, un model de machine learning bazat pe gradient boosting, cunoscut pentru performanța ridicată în analiza datelor tabulare.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și a generat un scor de automatizare cu valori între 0 și 100. Ulterior, pentru o interpretare mai clară a rezultatelor, scorurile au fost grupate în trei categorii:</w:t>
      </w:r>
    </w:p>
    <w:p w:rsidR="00000000" w:rsidDel="00000000" w:rsidP="00000000" w:rsidRDefault="00000000" w:rsidRPr="00000000" w14:paraId="0000002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02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a inclus mai multe etape:</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preprocesarea datelor;</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variabilelor relevante;</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 LightGBM;</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02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COR.</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rPr>
      </w:pPr>
      <w:bookmarkStart w:colFirst="0" w:colLast="0" w:name="_ofit7p5zo2mu" w:id="10"/>
      <w:bookmarkEnd w:id="10"/>
      <w:r w:rsidDel="00000000" w:rsidR="00000000" w:rsidRPr="00000000">
        <w:rPr>
          <w:rFonts w:ascii="Times New Roman" w:cs="Times New Roman" w:eastAsia="Times New Roman" w:hAnsi="Times New Roman"/>
          <w:b w:val="1"/>
          <w:bCs w:val="1"/>
          <w:rtl w:val="0"/>
        </w:rPr>
        <w:t xml:space="preserve">1.6 Evaluarea modelului</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Performanța modelului a fost analizată folosind indicatori specifici atât regresiei, cât și clasificării. Rezultatele obținute au indicat o eroare medie absolută (MAE) de aproximativ 11.03 și o acuratețe de clasificare de aproximativ 55.26%.</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Coeficientul de determinare R² a obținut valoarea 0.196 pe setul de test, indicând o capacitate moderată de explicare a variației scorurilor. Cross-validarea 5-fold a relevat însă instabilitate semnificativă (R²_CV = −14.21 ± 6.16), ceea ce sugerează prudență în interpretarea rezultatelor.</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keoag1lmu3"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rPr>
      </w:pPr>
      <w:bookmarkStart w:colFirst="0" w:colLast="0" w:name="_arbr06tcufpi" w:id="12"/>
      <w:bookmarkEnd w:id="12"/>
      <w:r w:rsidDel="00000000" w:rsidR="00000000" w:rsidRPr="00000000">
        <w:rPr>
          <w:rFonts w:ascii="Times New Roman" w:cs="Times New Roman" w:eastAsia="Times New Roman" w:hAnsi="Times New Roman"/>
          <w:b w:val="1"/>
          <w:bCs w:val="1"/>
          <w:rtl w:val="0"/>
        </w:rPr>
        <w:t xml:space="preserve">1.7 Interpretabilitatea modelului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 important al cercetării îl reprezintă analiza interpretabilității modelului. În cazul sistemelor bazate pe inteligență artificială, nu este suficientă doar obținerea unor rezultate predictive, ci și înțelegerea modului în care acestea sunt generate.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permite identificarea contribuției fiecărei variabile la scorul final. Prin intermediul acestei metode pot fi observate caracteristicile care influențează cel mai mult riscul de automatizare.</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 Aplicarea modelului pe ocupațiile din România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acesta a fost aplicat asupra Clasificării Ocupațiilor din România (COR), care conține 4456 ocupații.</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transferului între sistemele ocupaționale a fost utilizată o metodă de asociere bazată pe similaritate textuală aproximativă (</w:t>
      </w:r>
      <w:r w:rsidDel="00000000" w:rsidR="00000000" w:rsidRPr="00000000">
        <w:rPr>
          <w:rFonts w:ascii="Times New Roman" w:cs="Times New Roman" w:eastAsia="Times New Roman" w:hAnsi="Times New Roman"/>
          <w:color w:val="00ff00"/>
          <w:sz w:val="24"/>
          <w:szCs w:val="24"/>
          <w:rtl w:val="0"/>
        </w:rPr>
        <w:t xml:space="preserve">fuzzy matching</w:t>
      </w:r>
      <w:r w:rsidDel="00000000" w:rsidR="00000000" w:rsidRPr="00000000">
        <w:rPr>
          <w:rFonts w:ascii="Times New Roman" w:cs="Times New Roman" w:eastAsia="Times New Roman" w:hAnsi="Times New Roman"/>
          <w:sz w:val="24"/>
          <w:szCs w:val="24"/>
          <w:rtl w:val="0"/>
        </w:rPr>
        <w:t>). Această etapă a permis maparea a 654 de ocupații între COR și ESCO.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baza acestei corespondențe, modelul a estimat scoruri de automatizare pentru ocupațiile mapate și a generat clasificarea pe niveluri de risc.</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au indicat predominanța ocupațiilor încadrate în categoria MEDIUM, ceea ce sugerează că multe profesii sunt susceptibile unei automatizări parțiale, fără a fi complet înlocuite.</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rPr>
      </w:pPr>
      <w:bookmarkStart w:colFirst="0" w:colLast="0" w:name="_aetaokr5ftob" w:id="13"/>
      <w:bookmarkEnd w:id="13"/>
      <w:r w:rsidDel="00000000" w:rsidR="00000000" w:rsidRPr="00000000">
        <w:rPr>
          <w:rFonts w:ascii="Times New Roman" w:cs="Times New Roman" w:eastAsia="Times New Roman" w:hAnsi="Times New Roman"/>
          <w:b w:val="1"/>
          <w:bCs w:val="1"/>
          <w:rtl w:val="0"/>
        </w:rPr>
        <w:t xml:space="preserve">1.9 Contribuția lucrării</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propune o abordare practică pentru estimarea riscului ocupațional folosind metode moderne de inteligență artificială. Contribuția principală constă în dezvoltarea unui model predictiv aplicat asupra datelor ESCO și transferul acestuia asupra ocupațiilor din România.</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cercetarea include: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explainability pentru interpretarea rezultatelor;</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unei clasificări ocupaționale naționale;</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aplicații interactive în Streamlit pentru vizualizarea rezultatelor;</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unei metodologii reproductibile pentru studii viitoare.</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qbm38cysf3z"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rPr>
      </w:pPr>
      <w:bookmarkStart w:colFirst="0" w:colLast="0" w:name="_1j0zhng84ub1" w:id="15"/>
      <w:bookmarkEnd w:id="15"/>
      <w:r w:rsidDel="00000000" w:rsidR="00000000" w:rsidRPr="00000000">
        <w:rPr>
          <w:rFonts w:ascii="Times New Roman" w:cs="Times New Roman" w:eastAsia="Times New Roman" w:hAnsi="Times New Roman"/>
          <w:b w:val="1"/>
          <w:bCs w:val="1"/>
          <w:rtl w:val="0"/>
        </w:rPr>
        <w:t xml:space="preserve">1.10 Structura lucrării</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este organizată în mai multe capitole care urmăresc prezentarea etapelor de cercetare și a rezultatelor obținute.</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Primul capitol introduce contextul general și obiectivele cercetării. Capitolul al doilea prezintă literatura de specialitate și conceptele teoretice privind automatizarea ocupațiilor. Capitolul al treilea descrie metodologia utilizată, datele analizate și dezvoltarea modelului predictiv. Capitolul al patrulea include rezultatele obținute și analiza grafică a acestora. Capitolul al cincilea prezintă limitările cercetării și direcțiile de dezvoltare ulterioară, de asemenea, enunțând concluziile și contribuțiile lucrării. Ultimul capitol prezintă studiile și anexele folosite în cadrul redactării acesteia.</w:t>
      </w:r>
    </w:p>
    <w:p w:rsidR="00000000" w:rsidDel="00000000" w:rsidP="00000000" w:rsidRDefault="00000000" w:rsidRPr="00000000" w14:paraId="000000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k7iyz8eaowdn" w:id="16"/>
      <w:bookmarkEnd w:id="16"/>
      <w:r w:rsidDel="00000000" w:rsidR="00000000" w:rsidRPr="00000000">
        <w:rPr>
          <w:rFonts w:ascii="Times New Roman" w:cs="Times New Roman" w:eastAsia="Times New Roman" w:hAnsi="Times New Roman"/>
          <w:b w:val="1"/>
          <w:bCs w:val="1"/>
          <w:sz w:val="44"/>
          <w:szCs w:val="44"/>
          <w:rtl w:val="0"/>
        </w:rPr>
        <w:t xml:space="preserve">2. Fundamentare Teoretică și Literatura de Specialitate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rPr>
      </w:pPr>
      <w:bookmarkStart w:colFirst="0" w:colLast="0" w:name="_xodn38u13hxg" w:id="17"/>
      <w:bookmarkEnd w:id="17"/>
      <w:r w:rsidDel="00000000" w:rsidR="00000000" w:rsidRPr="00000000">
        <w:rPr>
          <w:rFonts w:ascii="Times New Roman" w:cs="Times New Roman" w:eastAsia="Times New Roman" w:hAnsi="Times New Roman"/>
          <w:b w:val="1"/>
          <w:bCs w:val="1"/>
          <w:rtl w:val="0"/>
        </w:rPr>
        <w:t xml:space="preserve">2.1 Automatizarea și transformarea pieței muncii</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Conceptul de automatizare nu este nou — primele îngrijorări sistematice legate de înlocuirea muncii umane de către mașini datează cel puțin de la revoluția industrială. Ce s-a schimbat fundamental în ultimele decenii este tipologia sarcinilor vizate. Dacă mașinile industriale au preluat munca fizică repetitivă, sistemele bazate pe inteligență artificială atacă acum și sarcinile cognitive de rutină — procesarea documentelor, clasificarea datelor, generarea de text standardizat. Această extindere a domeniului automatizabil face ca efectele să fie resimțite și în sectoare care până recent se considerau imune la astfel de transformări.</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Economistul David Autor (2015) a oferit un cadru analitic util pentru a înțelege de ce automatizarea nu are efecte uniforme. Prin ceea ce el numea „task-based approach”, Autor argumenta că ceea ce contează nu este ocupația în ansamblu, ci natura sarcinilor specifice pe care le presupune. O ocupație nu dispare brusc prin înlocuire totală — ea se transformă treptat, pierzând sarcinile automatizabile și reconfigurându-se în jurul celor care necesită judecată, creativitate sau interacțiune umană. Creșterea eficienței economice adusă de automatizare este reală, dar distribuția acestor câștiguri rămâne inegală și poate genera presiuni semnificative pe piața muncii.</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Distincția cea mai utilă în literatura de specialitate este cea dintre sarcinile rutinare și cele nerutinare. Sarcinile rutinare — fie manuale, fie cognitive — urmează proceduri clare și repetabile, pot fi descrise printr-un set finit de instrucțiuni și sunt, prin urmare, susceptibile de automatizare. Sarcinile nerutinare implică variabilitate, adaptare la contexte noi și judecată situațională. Important de subliniat este că această distincție nu coincide cu granița muncă manuală/muncă de birou: există activități fizice extrem de complexe (un chirurg, un meșteșugar specializat) și activități de birou eminamente rutinare (un operator de prelucrare a datelor).</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Estimarea sistematică a riscului de automatizare per ocupație oferă un instrument valoros pentru politicile de educație și reconversie. Desigur, nicio metodologie nu poate prezice cu certitudine ce ocupații vor fi afectate și în ce interval de timp — viteza de adoptare tehnologică depinde de factori economici, instituționali și sociali greu de modelat. Dar o estimare orientativă bazată pe date structurale rămâne semnificativ mai bună decât absența oricărei informații.</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3dbo55kkmbg"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5smpbjcjrgl" w:id="19"/>
      <w:bookmarkEnd w:id="19"/>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3mcba22xoz5f" w:id="20"/>
      <w:bookmarkEnd w:id="20"/>
      <w:r w:rsidDel="00000000" w:rsidR="00000000" w:rsidRPr="00000000">
        <w:rPr>
          <w:rFonts w:ascii="Times New Roman" w:cs="Times New Roman" w:eastAsia="Times New Roman" w:hAnsi="Times New Roman"/>
          <w:b w:val="1"/>
          <w:bCs w:val="1"/>
          <w:rtl w:val="0"/>
        </w:rPr>
        <w:t xml:space="preserve">2.2 Inteligența artificială și analiza ocupațională</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sz w:val="24"/>
          <w:szCs w:val="24"/>
        </w:rPr>
      </w:pPr>
      <w:bookmarkStart w:colFirst="0" w:colLast="0" w:name="_z3j1rggo62vz" w:id="21"/>
      <w:bookmarkEnd w:id="21"/>
      <w:r w:rsidDel="00000000" w:rsidR="00000000" w:rsidRPr="00000000">
        <w:rPr>
          <w:rFonts w:ascii="Times New Roman" w:cs="Times New Roman" w:eastAsia="Times New Roman" w:hAnsi="Times New Roman"/>
          <w:sz w:val="24"/>
          <w:szCs w:val="24"/>
          <w:rtl w:val="0"/>
        </w:rPr>
        <w:t>Termenul „inteligență artificială” acoperă o gamă extrem de largă de tehnici, ceea ce îl face adesea imprecis în utilizarea publică. În contextul lucrării de față, prin AI înțelegem în special tehnicile de machine learning supervizat — algoritmi care identifică relații statistice în date istorice și le aplică pentru a face predicții pe cazuri noi. Nu este vorba de sisteme care „gândesc” în sens filozofic, ci de modele matematice care generalizează tipare din exemple.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 cazul specific al analizei ocupaționale, ML-ul prezintă un avantaj față de metodele statistice tradiționale: poate captura relații neliniare și interacțiuni între variabile care ar fi greu de specificat explicit. Dacă o regresie liniară ar presupune că fiecare competență suplimentară reduce riscul cu aceeași cantitate fixă, un model de tip gradient boosting poate identifica că efectul depinde de contextul altor variabile — că, de exemplu, un număr mare de competențe opționale are o semnificație diferită atunci când totalul de competențe este mic față de atunci când este mare.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aspect esențial al machine learning-ului supervizat este că necesită un scor de referință pentru a învăța — în acest caz, o variabilă țintă care să cuantifice riscul de automatizare. Deoarece nu există o astfel de etichetă validată extern pentru ocupațiile din ESCO, am construit un indicator proxy bazat pe structura competențelor, folosind un lexicon de termeni asociați sarcinilor rutiniere și nerutiniere. Această abordare urmează logica task-based approach-ului propus de Frey și Osborne (2017) și Autor (2015), adaptată la datele disponibile în română.</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Avantajul fundamental al utilizării unui model ML față de o simplu sortare manuală după criterii predefinite este că modelul poate surprinde combinații de caracteristici care sunt greu de verbalizat intuitiv. O ocupație cu puține competențe esențiale, dar cu un număr mare de cunoștințe formale poate prezenta un profil de risc diferit față de una cu aceeași structură numerică, dar cu altă combinație de variabile. Aceste interacțiuni nu sunt transparente apriori, dar devin vizibile prin analiza SHAP după antrenarea modelului.</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rPr>
      </w:pPr>
      <w:bookmarkStart w:colFirst="0" w:colLast="0" w:name="_n16yi65afrh5" w:id="22"/>
      <w:bookmarkEnd w:id="22"/>
      <w:r w:rsidDel="00000000" w:rsidR="00000000" w:rsidRPr="00000000">
        <w:rPr>
          <w:rFonts w:ascii="Times New Roman" w:cs="Times New Roman" w:eastAsia="Times New Roman" w:hAnsi="Times New Roman"/>
          <w:b w:val="1"/>
          <w:bCs w:val="1"/>
          <w:rtl w:val="0"/>
        </w:rPr>
        <w:t xml:space="preserve">2.3 Studii relevante privind riscul de automatizare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Dacă ar fi să indicăm un punct de inflexiune în literatura despre automatizare, acela ar fi probabil 2013 — anul apariției working paper-ului lui Frey și Osborne, ulterior publicat în 2017. Studiul a ajuns să fie unul dintre cele mai citate din economia muncii a ultimului deceniu și a generat dezbateri aprinse atât în mediul academic, cât și în cel jurnalistic. Cifra de 47% din locurile de muncă americane considerate „la risc ridicat” a circulat extensiv în presă, adesea fără nuanțele metodologice indispensabile.</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Frey și Osborne (2017) au evaluat 702 ocupații din clasificarea americană O*NET, solicitând experți în machine learning să estimeze fezabilitatea automatizării diferitelor categorii de sarcini. Metodologia identifică nouă „bottlenecks” care fac dificilă automatizarea — percepție și manipulare fizică fină, inteligență creativă și inteligență socială — și consideră automatizabile ocupațiile care nu depind critic de acestea. Rezultatele au atras atenția asupra unui fenomen real, chiar dacă estimările cantitative au fost ulterior revizuite de cercetări mai recente.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Critica principală adusă acestei metodologii a venit din studiul OECD coordonat de Arntz, Gregory și Zierahn (2016), care au arătat că Frey și Osborne evaluează ocupații în ansamblul lor, fără a ține cont că același individ poate executa, în cadrul aceleiași ocupații, atât sarcini automatizabile, cât și sarcini complexe. Când analiza coboară la nivelul sarcinilor individuale, procentul locurilor de muncă efectiv amenințate scade considerabil — la 9% în medie pentru țările OCDE. Această nuanță este esențială pentru a calibra corect urgența și natura intervențiilor de politică publică.</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 lângă dezbaterea metodologică legată de nivelul de analiză (ocupație versus sarcini), literatura mai recentă a adăugat o altă dimensiune importantă: automatizarea nu înseamnă neapărat dispariția unui job, ci transformarea lui. OECD (2023) arată că, în multe cazuri, tehnologia preia sarcinile de rutină și amplifică productivitatea angajatului în sarcinile complexe, modificând profilul cererii de competențe mai degrabă decât eliminând ocupația în totalitate.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World Economic Forum (2020), în raportul „Future of Jobs”, estimează că până în 2025 automatizarea va afecta 85 de milioane de locuri de muncă la nivel global, creând totodată 97 de milioane de roluri noi. Dacă cifrele exacte sunt discutabile — metodologiile de estimare variază semnificativ — mesajul de fond este consistent cu celelalte studii: competențele tehnice evoluează rapid, iar adaptabilitatea și gândirea critică devin resurse din ce în ce mai valoroase pe piața muncii.</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tendință mai recentă în literatura de specialitate este utilizarea directă a algoritmilor de machine learning — nu doar ca instrument de modelare, ci și pentru a exploata seturi de date ocupaționale de mari dimensiuni, cum ar fi O*NET, ESCO sau bazele de date ale anunțurilor de angajare. Aceste abordări permit o granularitate mai mare și pot captura dinamici temporale ale pieței muncii care scapă analizelor statice.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 toate acestea, lucrările care transpun aceste metodologii la nivel național și le aplică pe clasificări locale rămân relativ rare. Specificul fiecărei piețe a muncii — structura sectorială, nivelul de digitalizare, cadrul legislativ, tipul de ocupații dominante — influențează semnificativ distribuția riscului de automatizare. Extrapolarea directă a rezultatelor din contexte americane sau vest-europene poate introduce erori sistematice atunci când este aplicată economiilor din Europa Centrală și de Est.</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rPr>
      </w:pPr>
      <w:bookmarkStart w:colFirst="0" w:colLast="0" w:name="_7jnq5fk7ep2c" w:id="23"/>
      <w:bookmarkEnd w:id="23"/>
      <w:r w:rsidDel="00000000" w:rsidR="00000000" w:rsidRPr="00000000">
        <w:rPr>
          <w:rFonts w:ascii="Times New Roman" w:cs="Times New Roman" w:eastAsia="Times New Roman" w:hAnsi="Times New Roman"/>
          <w:b w:val="1"/>
          <w:bCs w:val="1"/>
          <w:rtl w:val="0"/>
        </w:rPr>
        <w:t xml:space="preserve">2.4 Clasificări ocupaționale utilizate în cercetare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Înțelegerea cadrului de date este esențială înainte de a discuta modelul propriu-zis. Analiza de față operează cu două sisteme de clasificare ocupațională care servesc scopuri diferite, dar complementare.</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9jy7ugfwnag" w:id="24"/>
      <w:bookmarkEnd w:id="24"/>
      <w:r w:rsidDel="00000000" w:rsidR="00000000" w:rsidRPr="00000000">
        <w:rPr>
          <w:rFonts w:ascii="Times New Roman" w:cs="Times New Roman" w:eastAsia="Times New Roman" w:hAnsi="Times New Roman"/>
          <w:b w:val="1"/>
          <w:bCs w:val="1"/>
          <w:color w:val="000000"/>
          <w:rtl w:val="0"/>
        </w:rPr>
        <w:t xml:space="preserve">2.4.1 Sistemul ESCO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ESCO (European Skills, Competences, Qualifications and Occupations) este taxonomia europeană dezvoltată de Comisia Europeană pentru a standardiza descrierea ocupațiilor și competențelor la nivel continental. Spre deosebire de clasificările naționale, ESCO a fost proiectat explicit pentru a facilita comparațiile transfrontaliere și include informații granulare despre tipul fiecărei competențe.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ocupație din ESCO este descrisă prin două tipuri de competențe: esențiale (fără de care ocupația nu poate fi exercitată) și opționale (avantajoase, dar nu obligatorii). Această distincție este valoroasă pentru analiza de față, deoarece profilul esențial versus opțional reflectă gradul de standardizare și rigiditate al ocupației — caracteristici corelate indirect cu automatizabilitatea.</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Utilizarea ESCO ca sursă de date primară în această cercetare este motivată de trei factori: disponibilitatea datelor în format structurat și accesibil, acoperirea largă a ocupațiilor (inclusiv versiunea în limba română), și granularitatea informațiilor privind competențele — ceea ce permite construirea unor variabile predictive relevante fără a recurge la colectarea primară de date.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499051ukxm8" w:id="25"/>
      <w:bookmarkEnd w:id="25"/>
      <w:r w:rsidDel="00000000" w:rsidR="00000000" w:rsidRPr="00000000">
        <w:rPr>
          <w:rFonts w:ascii="Times New Roman" w:cs="Times New Roman" w:eastAsia="Times New Roman" w:hAnsi="Times New Roman"/>
          <w:b w:val="1"/>
          <w:bCs w:val="1"/>
          <w:color w:val="000000"/>
          <w:rtl w:val="0"/>
        </w:rPr>
        <w:t xml:space="preserve">2.4.2 Clasificarea Ocupațiilor din România (COR)</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 (Clasificarea Ocupațiilor din România) este sistemul oficial de referință pentru organizarea și codificarea ocupațiilor la nivel național, utilizat în contexte administrative, statistice și de politici ale pieței muncii. Cu cele 4.456 de ocupații înregistrate, COR reflectă specificul pieței muncii românești, inclusiv ocupații care nu au corespondent direct în taxonomiile europene.</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Diferența structurală dintre COR și ESCO — în termeni de granularitate, nomenclatură și filosofie de clasificare — face ca asocierea directă să fie imposibilă. Tocmai de aceea, transferul modelului antrenat pe ESCO către ocupațiile COR necesită un pas intermediar de mapare prin similaritate textuală, cu toate limitările pe care aceasta le implică.</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Scopul utilizării COR în această cercetare nu a fost antrenarea modelului — pentru asta s-a folosit exclusiv ESCO — ci validarea aplicabilității metodologiei la nivel național. Rezultatele obținute pentru ocupațiile COR trebuie interpretate cu prudență tocmai din cauza imperfecțiunilor procesului de mapare, discutate în detaliu în secțiunea 3.7.</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rPr>
      </w:pPr>
      <w:bookmarkStart w:colFirst="0" w:colLast="0" w:name="_4ssafj7n24qs" w:id="26"/>
      <w:bookmarkEnd w:id="26"/>
      <w:r w:rsidDel="00000000" w:rsidR="00000000" w:rsidRPr="00000000">
        <w:rPr>
          <w:rFonts w:ascii="Times New Roman" w:cs="Times New Roman" w:eastAsia="Times New Roman" w:hAnsi="Times New Roman"/>
          <w:b w:val="1"/>
          <w:bCs w:val="1"/>
          <w:rtl w:val="0"/>
        </w:rPr>
        <w:t xml:space="preserve">2.5 Machine Learning în analiza ocupațională</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Machine learning-ul supervizat funcționează pe un principiu simplu: îi arăți algoritmului exemple de intrări (caracteristicile ocupațiilor) și ieșiri dorite (scoruri de automatizare), și el identifică parametrii matematici care generalizează cel mai bine această relație la cazuri noi, nevăzute în antrenare.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analiza ocupațională, modelele de machine learning pot fi utilizate pentru identificarea relațiilor dintre caracteristicile profesionale și nivelul estimat de automatizare.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dintre diferitele familii de algoritmi — modele liniare, arbori de decizie, metode ensemble — depinde de natura datelor și de tipul relațiilor așteptate. Pentru date tabulare cu relații potențial neliniare, modelele de tip gradient boosting s-au dovedit în mod consistent printre cele mai performante în benchmark-urile din literatură (Chen &amp; Guestrin, 2016; Ke et al., 2017).</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lucrări a fost utilizat algoritmul LightGBM, un model bazat pe gradient boosting, recunoscut pentru performanța ridicată în cazul datelor tabulare.</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(Ke et al., 2017) extinde familia gradient boosting printr-o strategie de creștere leaf-wise a arborilor — spre deosebire de creșterea nivel-cu-nivel (level-wise) din implementările mai vechi — ceea ce îl face mai eficient computațional și adesea mai precis. Un alt avantaj relevant pentru această analiză este interpretabilitatea nativă a importanței variabilelor, completată în lucrarea de față prin analiza SHAP.</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se8yvpf0qik" w:id="27"/>
      <w:bookmarkEnd w:id="27"/>
      <w:r w:rsidDel="00000000" w:rsidR="00000000" w:rsidRPr="00000000">
        <w:rPr>
          <w:rFonts w:ascii="Times New Roman" w:cs="Times New Roman" w:eastAsia="Times New Roman" w:hAnsi="Times New Roman"/>
          <w:b w:val="1"/>
          <w:bCs w:val="1"/>
          <w:sz w:val="28"/>
          <w:szCs w:val="28"/>
          <w:rtl w:val="0"/>
        </w:rPr>
        <w:t xml:space="preserve">2.6 Explainable AI și interpretabilitatea modelelor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reproș frecvent adresat modelelor de machine learning complexe este lipsa de transparență: știm că funcționează, dar nu înțelegem de ce iau anumite decizii. Această caracteristică — uneori numită „black-box problem” — este problematică în contexte unde rezultatele trebuie justificate sau contestate, cum ar fi diagnoza medicală, creditarea sau, în cazul de față, evaluarea riscului ocupațional în scopuri de politică publică.</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cercetării academice și al sistemelor predictive aplicate, interpretabilitatea devine importantă deoarece permite înțelegerea modului în care sunt generate rezultatele.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Explainable AI (XAI) este o familie de metode care încearcă să deschidă cutia neagră — să ofere explicații post-hoc sau intrinseci ale deciziilor modelului, inteligibile pentru oameni. Motivația este dublă: pe de o parte, crește încrederea utilizatorilor; pe de altă parte, permite identificarea și corectarea comportamentelor nedorite ale modelului.</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SHAP (SHapley Additive exPlanations), propus de Lundberg și Lee (2017), se bazează pe teoria jocurilor cooperative pentru a atribui fiecărei variabile o contribuție la predicție, consistentă și aditiv coerentă. Față de metodele mai simple (de exemplu, feature importance bazată pe frecvența utilizării în arbori), SHAP oferă atât magnitudine, cât și direcție — poate arăta că o valoare ridicată a variabilei X crește riscul estimat, iar o valoare scăzută îl reduce.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În contextul lucrării de față, SHAP îndeplinește un rol dublu: validează că modelul utilizează caracteristicile în mod coerent cu așteptările teoretice (de exemplu, că un număr mare de competențe opționale crește riscul estimat) și oferă o bază pentru interpretarea individuală a scorurilor — de ce o ocupație specifică a primit un anumit scor.</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5k26dnc3win" w:id="28"/>
      <w:bookmarkEnd w:id="28"/>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6jxqbd5w816" w:id="29"/>
      <w:bookmarkEnd w:id="29"/>
      <w:r w:rsidDel="00000000" w:rsidR="00000000" w:rsidRPr="00000000">
        <w:rPr>
          <w:rFonts w:ascii="Times New Roman" w:cs="Times New Roman" w:eastAsia="Times New Roman" w:hAnsi="Times New Roman"/>
          <w:b w:val="1"/>
          <w:bCs w:val="1"/>
          <w:sz w:val="28"/>
          <w:szCs w:val="28"/>
          <w:rtl w:val="0"/>
        </w:rPr>
        <w:t xml:space="preserve">2.7 Gap de cercetare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Trecând în revistă literatura disponibilă, un pattern devine evident: există o abundență de studii despre riscul de automatizare la nivel agregat sau pentru piețele muncii anglo-saxone, și o lipsă acută de analize calibrate pe clasificări ocupaționale naționale din Europa Centrală și de Est.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României, există puține studii care utilizează tehnici moderne de machine learning pentru estimarea riscului ocupațional și care transferă rezultatele asupra clasificării oficiale COR.</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Totodată, multe cercetări nu integrează simultan:</w:t>
      </w:r>
    </w:p>
    <w:p w:rsidR="00000000" w:rsidDel="00000000" w:rsidP="00000000" w:rsidRDefault="00000000" w:rsidRPr="00000000" w14:paraId="0000008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ocupaționale structurate;</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 predictive;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interpretabilitate AI;</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mapare între clasificări ocupaționale;</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 practică asupra unei piețe naționale.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Lucrarea de față încearcă să adreseze parțial această lipsă, propunând o metodologie adaptabilă care combină datele ocupaționale europene standardizate (ESCO) cu clasificarea națională românească (COR), utilizând machine learning pentru a genera estimări orientative aplicabile contextului local.</w:t>
      </w:r>
    </w:p>
    <w:p w:rsidR="00000000" w:rsidDel="00000000" w:rsidP="00000000" w:rsidRDefault="00000000" w:rsidRPr="00000000" w14:paraId="0000008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r1pz7l3zrdlw" w:id="30"/>
      <w:bookmarkEnd w:id="30"/>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prlfmvwuslig" w:id="31"/>
      <w:bookmarkEnd w:id="31"/>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hit1qxuudeqf" w:id="32"/>
      <w:bookmarkEnd w:id="3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ji88hv5h6d" w:id="33"/>
      <w:bookmarkEnd w:id="33"/>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omnyag0wi2w" w:id="34"/>
      <w:bookmarkEnd w:id="34"/>
      <w:r w:rsidDel="00000000" w:rsidR="00000000" w:rsidRPr="00000000">
        <w:rPr>
          <w:rFonts w:ascii="Times New Roman" w:cs="Times New Roman" w:eastAsia="Times New Roman" w:hAnsi="Times New Roman"/>
          <w:b w:val="1"/>
          <w:bCs w:val="1"/>
          <w:sz w:val="44"/>
          <w:szCs w:val="44"/>
          <w:rtl w:val="0"/>
        </w:rPr>
        <w:t xml:space="preserve">3. Metodologie</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9nov8lbl57gm" w:id="35"/>
      <w:bookmarkEnd w:id="35"/>
      <w:r w:rsidDel="00000000" w:rsidR="00000000" w:rsidRPr="00000000">
        <w:rPr>
          <w:rFonts w:ascii="Times New Roman" w:cs="Times New Roman" w:eastAsia="Times New Roman" w:hAnsi="Times New Roman"/>
          <w:b w:val="1"/>
          <w:bCs w:val="1"/>
          <w:rtl w:val="0"/>
        </w:rPr>
        <w:t xml:space="preserve">3.1 Descrierea dataset-ului</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Datele utilizate în această cercetare provin din versiunea în limba română a sistemului ESCO, descărcată din portalul oficial al Comisiei Europene. ESCO structurează informațiile ocupaționale relațional: fiecare ocupație este conectată printr-o relație explicită cu competențele sale — esențiale și opționale — și cu elementele de cunoaștere asociate. Punctul de plecare al procesării a fost tabelul de relații ocupație–competență, din care am derivat prin agregare caracteristicile numerice ale fiecărei ocupații.</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Setul de date final conține 3.037 de ocupații, fiecare reprezentată ca un rând cu șase caracteristici numerice. Dimensiunea relativ modestă a setului de date — în termeni de machine learning — a influențat alegerea algoritmului și strategia de validare, favorizând modele robuste la overfitting și validare încrucișată riguroasă.</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dintre cele șase variabile capturează un aspect distinct al structurii competențiale: volumul total, distribuția esențial/opțional, tipul de conținut (cunoștințe versus abilități practice) și un indicator sintetic al proporției de competențe potențial rutinizabile.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modelului au fost utilizate următoarele variabile:</w:t>
      </w:r>
    </w:p>
    <w:p w:rsidR="00000000" w:rsidDel="00000000" w:rsidP="00000000" w:rsidRDefault="00000000" w:rsidRPr="00000000" w14:paraId="0000009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ocupației;</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competențele considerate esențiale;</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competențele opționale;</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elementele de cunoaștere asociate;</w:t>
      </w:r>
    </w:p>
    <w:p w:rsidR="00000000" w:rsidDel="00000000" w:rsidP="00000000" w:rsidRDefault="00000000" w:rsidRPr="00000000" w14:paraId="0000009B">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skill_com – indicator compozit al structurii competențelor;</w:t>
        <w:br/>
        <w:t>automation_score_proxy – indicator structural: (optional/total · 0.5 + knowledge/total · 0.5) · 100, captează proporția competențelor rutinizabile.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acestor variabile a urmat o logică teoretică: ocupațiile cu structuri competențiale rigide, dominate de cunoștințe formale și competențe standardizate, tind să fie mai expuse automatizării decât cele cu profile diverse și adaptabile. Variabila automation_score_proxy a fost introdusă explicit pentru a captura această dimensiune structural-cantitativă, complementând informația brută despre numărul de competențe.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510yq4ek03id" w:id="36"/>
      <w:bookmarkEnd w:id="36"/>
      <w:r w:rsidDel="00000000" w:rsidR="00000000" w:rsidRPr="00000000">
        <w:rPr>
          <w:rFonts w:ascii="Times New Roman" w:cs="Times New Roman" w:eastAsia="Times New Roman" w:hAnsi="Times New Roman"/>
          <w:i w:val="1"/>
          <w:iCs w:val="1"/>
          <w:color w:val="000000"/>
          <w:sz w:val="26"/>
          <w:szCs w:val="26"/>
          <w:rtl w:val="0"/>
        </w:rPr>
        <w:t xml:space="preserve">Tabel 1. Variabilele utilizate în model</w:t>
      </w:r>
    </w:p>
    <w:tbl>
      <w:tblPr>
        <w:tblStyle w:val="Table1"/>
        <w:tblW w:w="6000.0" w:type="dxa"/>
        <w:jc w:val="left"/>
        <w:tblLayout w:type="fixed"/>
        <w:tblLook w:val="0600"/>
      </w:tblPr>
      <w:tblGrid>
        <w:gridCol w:w="1280"/>
        <w:gridCol w:w="1010"/>
        <w:gridCol w:w="3710"/>
        <w:tblGridChange w:id="0">
          <w:tblGrid>
            <w:gridCol w:w="1280"/>
            <w:gridCol w:w="1010"/>
            <w:gridCol w:w="3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total de competențe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esențiale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opționale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elementelor de cunoaștere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compozit al competențelor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automation_score_proxy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(optional/total · 0.5 + knowledge/total · 0.5) · 100</w:t>
            </w:r>
          </w:p>
        </w:tc>
      </w:tr>
    </w:tbl>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asp3xg7euv6" w:id="37"/>
      <w:bookmarkEnd w:id="37"/>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rPr>
      </w:pPr>
      <w:bookmarkStart w:colFirst="0" w:colLast="0" w:name="_vvs7m4rz59vm" w:id="38"/>
      <w:bookmarkEnd w:id="38"/>
      <w:r w:rsidDel="00000000" w:rsidR="00000000" w:rsidRPr="00000000">
        <w:rPr>
          <w:rFonts w:ascii="Times New Roman" w:cs="Times New Roman" w:eastAsia="Times New Roman" w:hAnsi="Times New Roman"/>
          <w:b w:val="1"/>
          <w:bCs w:val="1"/>
          <w:rtl w:val="0"/>
        </w:rPr>
        <w:t xml:space="preserve">3.2 Preprocesarea datelor</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Procesul de preprocesare a cuprins mai mulți pași, fiecare cu un rol specific în asigurarea calității datelor introduse în model. Deși ESCO este o sursă structurată și bine întreținută, versiunea românească poate conține inconsistențe minore — ocupații cu zero competențe înregistrate, valori lipsă sau intrări duplicate — care trebuie tratate înainte de modelare.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Prima problemă identificată a fost prezența ocupațiilor fără nicio competență asociată — probabil intrări incomplete în baza de date. Acestea au fost eliminate, deoarece nu conțineau informație utilă pentru model. Ulterior, am verificat distribuțiile fiecărei variabile pentru a detecta valori aberante sau transformări necesare.</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Variabila total_skill a arătat o distribuție asimetrică, cu câteva ocupații cu un număr excepțional de mare de competențe. Aceste cazuri nu au fost eliminate — sunt ocupații legitime, cu profiluri ample — dar distribuția a fost luată în considerare la interpretarea scorurilor extreme.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Selecția variabilelor a fost deliberat conservatoare: am inclus doar cele șase caracteristici pentru care exista o justificare teoretică clară. Adăugarea unor variabile fără fundament conceptual ar fi putut introduce zgomot în model și ar fi complicat interpretarea rezultatelor SHAP fără a aduce un câștig real de performanță.</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este, în principiu, robust față de diferențele de scală între variabile — arborii de decizie utilizează ranguri, nu valori absolute. Cu toate acestea, pentru a asigura compatibilitatea cu eventuale comparații viitoare cu modele liniare, variabilele numerice au fost standardizate.</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finalul preprocesării, setul de date curat conținea 3.037 de ocupații cu șase variabile fiecare, fără valori lipsă. Acesta a constituit input-ul pentru toate etapele ulterioare de modelare și evaluare.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rPr>
      </w:pPr>
      <w:bookmarkStart w:colFirst="0" w:colLast="0" w:name="_z7gu67bhxg7z" w:id="39"/>
      <w:bookmarkEnd w:id="39"/>
      <w:r w:rsidDel="00000000" w:rsidR="00000000" w:rsidRPr="00000000">
        <w:rPr>
          <w:rFonts w:ascii="Times New Roman" w:cs="Times New Roman" w:eastAsia="Times New Roman" w:hAnsi="Times New Roman"/>
          <w:b w:val="1"/>
          <w:bCs w:val="1"/>
          <w:rtl w:val="0"/>
        </w:rPr>
        <w:t xml:space="preserve">3.3 Modelul utilizat: LightGBM</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Alegerea algoritmului s-a făcut prin compararea preliminară a mai multor opțiuni — regresie liniară, Random Forest și LightGBM — pe un subset de validare. LightGBM a arătat consistenta performanțe superioare, confirmat și de literatura care îl recomandă pentru date tabulare de dimensiuni medii (Ke et al., 2017).</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LightGBM funcționează prin construirea secvențială a unor arbori de decizie, fiecare concentrându-se pe corectarea erorilor reziduale ale celui precedent — acesta este principiul gradient boosting-ului. Față de implementările clasice, LightGBM utilizează o strategie de creștere leaf-wise care îl face mai eficient și, de obicei, mai precis pe seturi de date tabulare.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argument suplimentar pentru LightGBM față de modelele liniare este că relația dintre structura competențelor și riscul de automatizare nu este, cel mai probabil, liniară. De exemplu, este rezonabil să presupunem că efectul numărului de competențe opționale depinde de raportul acestora față de total — și că există praguri dincolo de care semnificația acestei variabile se schimbă. Arborii de decizie captează natural astfel de neliniarități și interacțiuni.</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a fost implementat în variantă de regresie (LGBMRegressor), producând un scor continuu de automatizare pentru fiecare ocupație. Decizia de a folosi regresia în loc de clasificare directă a fost deliberată: un scor continuu oferă mai multă informație decât o etichetă de clasă și permite praguri flexibile de clasificare ulterioară.</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Parametrii modelului au fost selectați prin combinarea ghidurilor din documentație cu experimentarea empirică pe datele de validare. Nu s-a efectuat o căutare exhaustivă (hyperparameter tuning), din considerente de interpretabilitate și reproductibilitate — configurația standard a LightGBM cu parametrii din Tabelul 2 s-a dovedit suficient de stabilă pentru scopurile acestei analize.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atueta55jnsy" w:id="40"/>
      <w:bookmarkEnd w:id="40"/>
      <w:r w:rsidDel="00000000" w:rsidR="00000000" w:rsidRPr="00000000">
        <w:rPr>
          <w:rFonts w:ascii="Times New Roman" w:cs="Times New Roman" w:eastAsia="Times New Roman" w:hAnsi="Times New Roman"/>
          <w:i w:val="1"/>
          <w:iCs w:val="1"/>
          <w:color w:val="000000"/>
          <w:sz w:val="26"/>
          <w:szCs w:val="26"/>
          <w:rtl w:val="0"/>
        </w:rPr>
        <w:t xml:space="preserve">Tabel 2. Parametrii utilizați pentru modelul LightGBM</w:t>
      </w:r>
    </w:p>
    <w:tbl>
      <w:tblPr>
        <w:tblStyle w:val="Table2"/>
        <w:tblW w:w="3100.0" w:type="dxa"/>
        <w:jc w:val="left"/>
        <w:tblLayout w:type="fixed"/>
        <w:tblLook w:val="0600"/>
      </w:tblPr>
      <w:tblGrid>
        <w:gridCol w:w="2090"/>
        <w:gridCol w:w="1010"/>
        <w:tblGridChange w:id="0">
          <w:tblGrid>
            <w:gridCol w:w="2090"/>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(nelimitat, controlat prin num_leaves)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20</w:t>
            </w:r>
          </w:p>
        </w:tc>
      </w:tr>
    </w:tbl>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Notă. Parametrii au fost configurați cu random_state = 42 pentru reproductibilitate.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rPr>
      </w:pPr>
      <w:bookmarkStart w:colFirst="0" w:colLast="0" w:name="_nl6f4w4mp767" w:id="41"/>
      <w:bookmarkEnd w:id="41"/>
      <w:r w:rsidDel="00000000" w:rsidR="00000000" w:rsidRPr="00000000">
        <w:rPr>
          <w:rFonts w:ascii="Times New Roman" w:cs="Times New Roman" w:eastAsia="Times New Roman" w:hAnsi="Times New Roman"/>
          <w:b w:val="1"/>
          <w:bCs w:val="1"/>
          <w:rtl w:val="0"/>
        </w:rPr>
        <w:t xml:space="preserve">3.4 Definirea scorului și clasificării</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Variabila țintă pe care modelul încearcă să o reproducă este un scor proxy de automatizare, construit pe baza unui lexicon de termeni asociați sarcinilor rutiniere și nerutiniere din descrierile competențelor ESCO. Scorul ia valori între 0 (risc minim estimat) și 100 (risc maxim estimat) — o scală normalizată care facilitează interpretarea și compararea.</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Este important să subliniem că acest scor nu reprezintă o probabilitate în sens statistic strict și nici o predicție certă despre viitorul unei ocupații. El cuantifică, pe baza datelor disponibile, gradul relativ de expunere structurală la automatizare — un instrument de comparare și prioritizare, nu un verdict.</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Pentru a facilita comunicarea rezultatelor unui public mai larg, scorurile continue au fost transformate ulterior într-un sistem de clasificare cu trei niveluri. Pragurile au fost alese pe baza distribuției scorurilor și a considerentelor de interpretabilitate, nu prin optimizare statistică — o decizie metodologică pe care o discutăm și în secțiunea dedicată limitărilor.</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utilizată este următoarea:</w:t>
      </w:r>
    </w:p>
    <w:p w:rsidR="00000000" w:rsidDel="00000000" w:rsidP="00000000" w:rsidRDefault="00000000" w:rsidRPr="00000000" w14:paraId="000000D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scor mai mic de 45;</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scor între 45 și 65;</w:t>
      </w:r>
    </w:p>
    <w:p w:rsidR="00000000" w:rsidDel="00000000" w:rsidP="00000000" w:rsidRDefault="00000000" w:rsidRPr="00000000" w14:paraId="000000D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scor mai mare de 65.</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Pragul LOW/MEDIUM la 45 și MEDIUM/HIGH la 65 delimitează aproximativ treimile inferioare, mediană și superioară ale distribuției scorurilor pe setul ESCO, asigurând că fiecare categorie este bine populată și interpretabilă.</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dezavantaj al clasificării discrete este că introducerea unui prag creează o diferență artificială între ocupații cu scoruri apropiate de granița dintre categorii. O ocupație cu scorul 44 și una cu 46 sunt clasificate diferit, deși diferența practică este neglijabilă. Această limitare trebuie avută în vedere la interpretarea individuală a scorurilor.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rPr>
      </w:pPr>
      <w:bookmarkStart w:colFirst="0" w:colLast="0" w:name="_i2kd2ppp97wu" w:id="42"/>
      <w:bookmarkEnd w:id="42"/>
      <w:r w:rsidDel="00000000" w:rsidR="00000000" w:rsidRPr="00000000">
        <w:rPr>
          <w:rFonts w:ascii="Times New Roman" w:cs="Times New Roman" w:eastAsia="Times New Roman" w:hAnsi="Times New Roman"/>
          <w:b w:val="1"/>
          <w:bCs w:val="1"/>
          <w:rtl w:val="0"/>
        </w:rPr>
        <w:t xml:space="preserve">3.5 Evaluarea modelului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Evaluarea riguroasă a unui model predictiv presupune mai mult decât o singură cifră de performanță. Am utilizat metrici complementare care surprind aspecte diferite ale comportamentului modelului: eroarea de predicție numerică (MAE), capacitatea de explicare a variației (R²), stabilitatea estimărilor (cross-validare) și calitatea clasificării (accuracy față de baseline).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MAE (Mean Absolute Error) a fost ales ca metrică primară pentru regresie deoarece este ușor de interpretat în unități ale variabilei țintă — puncte pe scala 0–100 — și este mai robust față de valorile extreme decât RMSE. Un MAE de 11.03 înseamnă că, în medie, predicția modelului se abate cu 11 puncte față de scorul real.</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R² măsoară proporția din varianța variabilei țintă explicată de model, față de un clasificator naiv care prezice întotdeauna media. Valoarea pozitivă de 0.196 pe setul de test indică că modelul explică aproximativ 20% din variația scorurilor — o performanță modestă, dar pozitivă, pe un set de variabile strict structurale.</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Pentru clasificare, am raportat acuratețea față de două referințe: un clasificator naiv care atribuie întotdeauna clasa majoritară (53.95%) și performanța pe setul de antrenare (86.91%). Diferența mare antrenare-test sugerează overfitting — modelul a memorat parțial setul de antrenare, ceea ce limitează generalizarea.</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kwl59nselyko" w:id="43"/>
      <w:bookmarkEnd w:id="43"/>
      <w:r w:rsidDel="00000000" w:rsidR="00000000" w:rsidRPr="00000000">
        <w:rPr>
          <w:rFonts w:ascii="Times New Roman" w:cs="Times New Roman" w:eastAsia="Times New Roman" w:hAnsi="Times New Roman"/>
          <w:i w:val="1"/>
          <w:iCs w:val="1"/>
          <w:color w:val="000000"/>
          <w:sz w:val="26"/>
          <w:szCs w:val="26"/>
          <w:rtl w:val="0"/>
        </w:rPr>
        <w:t xml:space="preserve">Tabel 3. Performanța modelului</w:t>
      </w:r>
    </w:p>
    <w:tbl>
      <w:tblPr>
        <w:tblStyle w:val="Table3"/>
        <w:tblW w:w="3210.0" w:type="dxa"/>
        <w:jc w:val="left"/>
        <w:tblLayout w:type="fixed"/>
        <w:tblLook w:val="0600"/>
      </w:tblPr>
      <w:tblGrid>
        <w:gridCol w:w="2190"/>
        <w:gridCol w:w="1020"/>
        <w:tblGridChange w:id="0">
          <w:tblGrid>
            <w:gridCol w:w="2190"/>
            <w:gridCol w:w="10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Cifrele de performanță trebuie citite împreună, nu izolat. R²_test = 0.196 arată că modelul e mai bun decât hazardul pe setul de test, dar R²_CV = −14.21 ± 6.16 obținut în cross-validare trădează o instabilitate semnificativă — performanța variază dramatic între fold-uri, ceea ce indică fie că setul de date este relativ mic față de complexitatea problemei, fie că relația dintre variabilele structurale și scorul de automatizare nu este suficient de robustă pentru a fi generalizată.</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1hopd3fnn3tt" w:id="44"/>
      <w:bookmarkEnd w:id="44"/>
      <w:r w:rsidDel="00000000" w:rsidR="00000000" w:rsidRPr="00000000">
        <w:rPr>
          <w:rFonts w:ascii="Times New Roman" w:cs="Times New Roman" w:eastAsia="Times New Roman" w:hAnsi="Times New Roman"/>
          <w:color w:val="000000"/>
          <w:sz w:val="14"/>
          <w:szCs w:val="14"/>
          <w:rtl w:val="0"/>
        </w:rPr>
        <w:t xml:space="preserve">Figura 1. Matricea de confuzie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Matricea de confuzie completează informația oferită de acuratețe globală arătând distribuția erorilor pe clase. Diagonala principală indică clasificările corecte, iar valorile din afara acesteia reflectă confuziile — esențial de examinat pentru a înțelege dacă modelul greșește sistematic în favoarea anumitor clase.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rPr>
      </w:pPr>
      <w:bookmarkStart w:colFirst="0" w:colLast="0" w:name="_h1x2gz9srkod" w:id="45"/>
      <w:bookmarkEnd w:id="45"/>
      <w:r w:rsidDel="00000000" w:rsidR="00000000" w:rsidRPr="00000000">
        <w:rPr>
          <w:rFonts w:ascii="Times New Roman" w:cs="Times New Roman" w:eastAsia="Times New Roman" w:hAnsi="Times New Roman"/>
          <w:b w:val="1"/>
          <w:bCs w:val="1"/>
          <w:rtl w:val="0"/>
        </w:rPr>
        <w:t xml:space="preserve">3.6 Interpretabilitatea modelului</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Performanța predictivă singură nu este suficientă pentru a valida un model destinat analizei de politici. Trebuie să verificăm că modelul utilizează variabilele în mod coerent cu așteptările teoretice — că, de exemplu, un număr mare de competențe repetitive crește riscul estimat, nu îl reduce. Analiza SHAP îndeplinește această funcție de validare.</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Mai concret, SHAP permite să răspundem la două tipuri de întrebări: global (care variabile sunt, în medie, cele mai influente?) și local (de ce această ocupație specifică a primit scorul X?). Ambele niveluri de analiză sunt relevante — primul pentru înțelegerea modelului ca întreg, al doilea pentru comunicarea rezultatelor la nivel individual.</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oferă o interpretare locală și globală a modelului.</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Analiza SHAP a confirmat că variabilele automation_score_proxy și total_skill sunt consistente cei mai importanți predictori — un rezultat aliniat cu ipoteza teoretică, conform căreia proporția competențelor opționale și de cunoaștere (incluse în proxy) capturează structura rutinizabilă a ocupației.</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urz7vqgprd2n" w:id="46"/>
      <w:bookmarkEnd w:id="46"/>
      <w:r w:rsidDel="00000000" w:rsidR="00000000" w:rsidRPr="00000000">
        <w:rPr>
          <w:rFonts w:ascii="Times New Roman" w:cs="Times New Roman" w:eastAsia="Times New Roman" w:hAnsi="Times New Roman"/>
          <w:color w:val="000000"/>
          <w:sz w:val="14"/>
          <w:szCs w:val="14"/>
          <w:rtl w:val="0"/>
        </w:rPr>
        <w:t xml:space="preserve">Figura 2. Importanța variabilelor utilizând SHAP</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grafic prezintă contribuția globală a fiecărei variabile asupra modelului. Variabilele poziționate în partea superioară sunt cele care influențează cel mai mult estimarea scorului de automatizare.</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w84nvar4lp8f" w:id="47"/>
      <w:bookmarkEnd w:id="47"/>
      <w:r w:rsidDel="00000000" w:rsidR="00000000" w:rsidRPr="00000000">
        <w:rPr>
          <w:rFonts w:ascii="Times New Roman" w:cs="Times New Roman" w:eastAsia="Times New Roman" w:hAnsi="Times New Roman"/>
          <w:color w:val="000000"/>
          <w:sz w:val="14"/>
          <w:szCs w:val="14"/>
          <w:rtl w:val="0"/>
        </w:rPr>
        <w:t xml:space="preserve">Figura 3. SHAP Summary Plot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oferă o imagine detaliată asupra distribuției influenței variabilelor. Poziția și dispersia punctelor indică relația dintre valorile caracteristicilor și predicția modelului.</w:t>
      </w:r>
    </w:p>
    <w:p w:rsidR="00000000" w:rsidDel="00000000" w:rsidP="00000000" w:rsidRDefault="00000000" w:rsidRPr="00000000" w14:paraId="000000F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rPr>
      </w:pPr>
      <w:bookmarkStart w:colFirst="0" w:colLast="0" w:name="_3gg7xsug04f3" w:id="48"/>
      <w:bookmarkEnd w:id="48"/>
      <w:r w:rsidDel="00000000" w:rsidR="00000000" w:rsidRPr="00000000">
        <w:rPr>
          <w:rFonts w:ascii="Times New Roman" w:cs="Times New Roman" w:eastAsia="Times New Roman" w:hAnsi="Times New Roman"/>
          <w:b w:val="1"/>
          <w:bCs w:val="1"/>
          <w:rtl w:val="0"/>
        </w:rPr>
        <w:t xml:space="preserve">3.7 Aplicarea modelului pe Clasificarea Ocupațiilor din România</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și evaluarea modelului, acesta a fost aplicat asupra Clasificării Ocupațiilor din România (COR).</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 conține 4.456 de ocupații organizate pe șase niveluri de clasificare, de la grupe majore (un singur caracter) până la ocupații individuale (șase caractere). Această structură ierarhică nu a fost exploatată în analiza de față — am tratat fiecare ocupație ca o entitate independentă — dar poate fi valorificată în cercetări viitoare.</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Pasul cel mai delicat din întregul pipeline a fost tocmai asocierea dintre COR și ESCO. Cele două sisteme au filosofii de clasificare diferite și nomenclaturi care nu se suprapun consistent. Dacă am fi putut traduce manual fiecare ocupație COR în echivalentul ESCO corespunzător, am fi obținut rezultate mai precise — dar cu 4.456 de ocupații, aceasta ar fi necesitat o expertiză specializată și un efort considerabil.</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Soluția practică adoptată a fost fuzzy matching-ul prin algoritmul RapidFuzz — o variantă eficientă a distanței Levenshtein, adaptată pentru comparații de șiruri de caractere. Logica este simplă: dacă denumirea ocupației COR și cea a ocupației ESCO sunt suficient de similare ca text, le considerăm echivalente și transferăm caracteristicile ESCO ocupației COR.</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Pragul de ≥ 80% a fost ales deliberat mai restrictiv decât valorile uzuale (adesea 70%), tocmai pentru a reduce erorile semantice — situațiile în care două ocupații au denumiri similare, dar conținuturi diferite. Prețul acestei precauții este rata de acoperire scăzută: 14.7% din ocupațiile COR (654 din 4.456). Este o limitare importantă, discutată în detaliu în capitolul 5.</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7xonbpcbrgj0" w:id="49"/>
      <w:bookmarkEnd w:id="49"/>
      <w:r w:rsidDel="00000000" w:rsidR="00000000" w:rsidRPr="00000000">
        <w:rPr>
          <w:rFonts w:ascii="Times New Roman" w:cs="Times New Roman" w:eastAsia="Times New Roman" w:hAnsi="Times New Roman"/>
          <w:i w:val="1"/>
          <w:iCs w:val="1"/>
          <w:color w:val="000000"/>
          <w:sz w:val="26"/>
          <w:szCs w:val="26"/>
          <w:rtl w:val="0"/>
        </w:rPr>
        <w:t xml:space="preserve">Tabel 4. Rezultatele mapping-ului COR–ESCO</w:t>
      </w:r>
    </w:p>
    <w:tbl>
      <w:tblPr>
        <w:tblStyle w:val="Table4"/>
        <w:tblW w:w="3115.0" w:type="dxa"/>
        <w:jc w:val="left"/>
        <w:tblLayout w:type="fixed"/>
        <w:tblLook w:val="0600"/>
      </w:tblPr>
      <w:tblGrid>
        <w:gridCol w:w="2105"/>
        <w:gridCol w:w="1010"/>
        <w:tblGridChange w:id="0">
          <w:tblGrid>
            <w:gridCol w:w="210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de asociere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Ocupațiile COR care au trecut pragul de similaritate au primit, prin transfer de la ESCO, valorile celor șase variabile structurale. Pe baza acestora, modelul antrenat a generat scoruri de automatizare individuale, pe care le-am clasificat ulterior în LOW, MEDIUM sau HIGH folosind aceleași praguri de 45 și 65 definite în etapa anterioară.</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8so5j5widaz" w:id="50"/>
      <w:bookmarkEnd w:id="50"/>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rPr>
      </w:pPr>
      <w:bookmarkStart w:colFirst="0" w:colLast="0" w:name="_s3b18xqc31v3" w:id="51"/>
      <w:bookmarkEnd w:id="51"/>
      <w:r w:rsidDel="00000000" w:rsidR="00000000" w:rsidRPr="00000000">
        <w:rPr>
          <w:rFonts w:ascii="Times New Roman" w:cs="Times New Roman" w:eastAsia="Times New Roman" w:hAnsi="Times New Roman"/>
          <w:b w:val="1"/>
          <w:bCs w:val="1"/>
          <w:rtl w:val="0"/>
        </w:rPr>
        <w:t xml:space="preserve">3.8 Workflow-ul complet al cercetării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utilizat în cadrul cercetării a inclus mai multe etape consecutive, fiecare având un rol important în dezvoltarea modelului predictiv.</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al cercetării poate fi descris astfel:</w:t>
      </w:r>
    </w:p>
    <w:p w:rsidR="00000000" w:rsidDel="00000000" w:rsidP="00000000" w:rsidRDefault="00000000" w:rsidRPr="00000000" w14:paraId="000001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organizarea datelor ESCO;</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și preprocesarea variabilelor;</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1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1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realizarea mapping-ului COR–ESCO;</w:t>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scorului de automatizare pentru ocupațiile mapate;</w:t>
      </w:r>
    </w:p>
    <w:p w:rsidR="00000000" w:rsidDel="00000000" w:rsidP="00000000" w:rsidRDefault="00000000" w:rsidRPr="00000000" w14:paraId="000001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distribuției riscului ocupațional.</w:t>
      </w:r>
    </w:p>
    <w:p w:rsidR="00000000" w:rsidDel="00000000" w:rsidP="00000000" w:rsidRDefault="00000000" w:rsidRPr="00000000" w14:paraId="000001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workflow permite reproducerea etapelor utilizate și oferă transparență metodologică asupra procesului de cercetare.</w:t>
      </w:r>
    </w:p>
    <w:p w:rsidR="00000000" w:rsidDel="00000000" w:rsidP="00000000" w:rsidRDefault="00000000" w:rsidRPr="00000000" w14:paraId="000001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reprezentare vizuală a fluxului de lucru, poate fi introdusă o schemă metodologică care să evidențieze relația dintre date, model și rezultate.</w:t>
      </w:r>
    </w:p>
    <w:p w:rsidR="00000000" w:rsidDel="00000000" w:rsidP="00000000" w:rsidRDefault="00000000" w:rsidRPr="00000000" w14:paraId="0000011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la7h8uf9djnb" w:id="52"/>
      <w:bookmarkEnd w:id="52"/>
      <w:r w:rsidDel="00000000" w:rsidR="00000000" w:rsidRPr="00000000">
        <w:rPr>
          <w:rFonts w:ascii="Times New Roman" w:cs="Times New Roman" w:eastAsia="Times New Roman" w:hAnsi="Times New Roman"/>
          <w:b w:val="1"/>
          <w:bCs w:val="1"/>
          <w:sz w:val="44"/>
          <w:szCs w:val="44"/>
          <w:rtl w:val="0"/>
        </w:rPr>
        <w:t xml:space="preserve">4. Rezultate și Analiză</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rPr>
      </w:pPr>
      <w:bookmarkStart w:colFirst="0" w:colLast="0" w:name="_kgo2q91fu12l" w:id="53"/>
      <w:bookmarkEnd w:id="53"/>
      <w:r w:rsidDel="00000000" w:rsidR="00000000" w:rsidRPr="00000000">
        <w:rPr>
          <w:rFonts w:ascii="Times New Roman" w:cs="Times New Roman" w:eastAsia="Times New Roman" w:hAnsi="Times New Roman"/>
          <w:b w:val="1"/>
          <w:bCs w:val="1"/>
          <w:rtl w:val="0"/>
        </w:rPr>
        <w:t xml:space="preserve">4.1 Introducere în analiza rezultatelor</w:t>
      </w:r>
    </w:p>
    <w:p w:rsidR="00000000" w:rsidDel="00000000" w:rsidP="00000000" w:rsidRDefault="00000000" w:rsidRPr="00000000" w14:paraId="000001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obținute ridică cel puțin două întrebări distincte, care trebuie tratate separat: cât de bine funcționează modelul pe datele de testare ESCO? și ce spune distribuția scorurilor despre profilul de risc al ocupațiilor românești din COR? Răspunsurile la cele două întrebări sunt, după cum vom vedea, nuanțate și uneori contradictorii la prima vedere.</w:t>
      </w:r>
    </w:p>
    <w:p w:rsidR="00000000" w:rsidDel="00000000" w:rsidP="00000000" w:rsidRDefault="00000000" w:rsidRPr="00000000" w14:paraId="000001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prezintă rezultatele obținute în urma aplicării modelului asupra datelor </w:t>
      </w:r>
      <w:r w:rsidDel="00000000" w:rsidR="00000000" w:rsidRPr="00000000">
        <w:rPr>
          <w:rFonts w:ascii="Times New Roman" w:cs="Times New Roman" w:eastAsia="Times New Roman" w:hAnsi="Times New Roman"/>
          <w:sz w:val="24"/>
          <w:szCs w:val="24"/>
          <w:rtl w:val="0"/>
        </w:rPr>
        <w:t xml:space="preserve">ESCO</w:t>
      </w:r>
      <w:r w:rsidDel="00000000" w:rsidR="00000000" w:rsidRPr="00000000">
        <w:rPr>
          <w:rFonts w:ascii="Times New Roman" w:cs="Times New Roman" w:eastAsia="Times New Roman" w:hAnsi="Times New Roman"/>
          <w:sz w:val="24"/>
          <w:szCs w:val="24"/>
          <w:rtl w:val="0"/>
        </w:rPr>
        <w:t xml:space="preserve"> și transferului acestora asupra Clasificării Ocupațiilor din România (COR). Analiza urmărește atât performanța modelului, cât și distribuția scorurilor de automatizare, interpretarea nivelurilor de risc și identificarea tiparelor ocupaționale.</w:t>
      </w:r>
    </w:p>
    <w:p w:rsidR="00000000" w:rsidDel="00000000" w:rsidP="00000000" w:rsidRDefault="00000000" w:rsidRPr="00000000" w14:paraId="000001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remarcă metodologică preliminară: indicatorii de performanță prezentați în secțiunea 4.2 se referă la setul de test ESCO, nu la predicțiile COR. Scorurile pentru ocupațiile COR sunt estimări de transfer — nu putem evalua direct acuratețea lor față de o valoare reală, deoarece nu există o etichetă validată extern pentru riscul de automatizare al ocupațiilor românești.</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rPr>
      </w:pPr>
      <w:bookmarkStart w:colFirst="0" w:colLast="0" w:name="_knrqlq6miuya" w:id="54"/>
      <w:bookmarkEnd w:id="54"/>
      <w:r w:rsidDel="00000000" w:rsidR="00000000" w:rsidRPr="00000000">
        <w:rPr>
          <w:rFonts w:ascii="Times New Roman" w:cs="Times New Roman" w:eastAsia="Times New Roman" w:hAnsi="Times New Roman"/>
          <w:b w:val="1"/>
          <w:bCs w:val="1"/>
          <w:rtl w:val="0"/>
        </w:rPr>
        <w:t xml:space="preserve">4.2 Analiza performanței modelului</w:t>
      </w:r>
    </w:p>
    <w:p w:rsidR="00000000" w:rsidDel="00000000" w:rsidP="00000000" w:rsidRDefault="00000000" w:rsidRPr="00000000" w14:paraId="000001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Evaluarea performanței pe setul de test constituie singura măsurare obiectivă a calității modelului disponibilă în această cercetare. Tabelul 5 sintetizează principalele metrici obținute, incluzând atât valorile pe setul de test, cât și rezultatele cross-validării 5-fold — esențiale pentru a evalua stabilitatea estimărilor.</w:t>
      </w:r>
    </w:p>
    <w:p w:rsidR="00000000" w:rsidDel="00000000" w:rsidP="00000000" w:rsidRDefault="00000000" w:rsidRPr="00000000" w14:paraId="000001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următor.</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0hmagot1yg0" w:id="55"/>
      <w:bookmarkEnd w:id="55"/>
      <w:r w:rsidDel="00000000" w:rsidR="00000000" w:rsidRPr="00000000">
        <w:rPr>
          <w:rFonts w:ascii="Times New Roman" w:cs="Times New Roman" w:eastAsia="Times New Roman" w:hAnsi="Times New Roman"/>
          <w:color w:val="000000"/>
          <w:sz w:val="24"/>
          <w:szCs w:val="24"/>
          <w:rtl w:val="0"/>
        </w:rPr>
        <w:t xml:space="preserve">Tabel 5. Performanța modelului predictiv</w:t>
      </w:r>
    </w:p>
    <w:tbl>
      <w:tblPr>
        <w:tblStyle w:val="Table5"/>
        <w:tblW w:w="3205.0" w:type="dxa"/>
        <w:jc w:val="left"/>
        <w:tblLayout w:type="fixed"/>
        <w:tblLook w:val="0600"/>
      </w:tblPr>
      <w:tblGrid>
        <w:gridCol w:w="2195"/>
        <w:gridCol w:w="1010"/>
        <w:tblGridChange w:id="0">
          <w:tblGrid>
            <w:gridCol w:w="219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11.03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0.196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55.26%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(antrenare)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16.23 ± 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cross-validare (5-fold)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−14.21 ± 6.16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baseline (majoritate)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53.95%</w:t>
            </w:r>
          </w:p>
        </w:tc>
      </w:tr>
    </w:tbl>
    <w:p w:rsidR="00000000" w:rsidDel="00000000" w:rsidP="00000000" w:rsidRDefault="00000000" w:rsidRPr="00000000" w14:paraId="0000012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MAE-ul de 11.03 pe testare trebuie interpretat în context. Pe o scală de la 0 la 100, cu praguri de clasificare la 45 și 65, o eroare medie de 11 puncte poate modifica încadrarea în categorii de risc pentru ocupațiile aflate în apropierea pragurilor. Acesta este motivul pentru care scorurile individuale trebuie tratate ca estimări orientative, nu ca valori exacte.</w:t>
      </w:r>
    </w:p>
    <w:p w:rsidR="00000000" w:rsidDel="00000000" w:rsidP="00000000" w:rsidRDefault="00000000" w:rsidRPr="00000000" w14:paraId="000001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Tensiunea dintre R²_test = 0.196 și R²_CV = −14.21 ± 6.16 este cea mai îngrijorătoare caracteristică a modelului. O explicație probabilă este că partițiile din cross-validare capturează variabilitatea naturală din setul ESCO mai agresiv decât split-ul simplu train/test — ceea ce sugerează că performanța observată pe test-set poate fi parțial norocoasă. Această concluzie impune maxim de prudență în extrapolarea rezultatelor.</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3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Acuratețea de 55.26% depășește marginal baseline-ul trivial (53.95%), cu o marjă de +1.31 puncte procentuale. Deși diferența este redusă, modelul adaugă valoare față de clasificatorul naiv bazat pe clasa majoritară.</w:t>
      </w:r>
    </w:p>
    <w:p w:rsidR="00000000" w:rsidDel="00000000" w:rsidP="00000000" w:rsidRDefault="00000000" w:rsidRPr="00000000" w14:paraId="0000013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rPr>
      </w:pPr>
      <w:bookmarkStart w:colFirst="0" w:colLast="0" w:name="_ip2xq8muyg37" w:id="56"/>
      <w:bookmarkEnd w:id="56"/>
      <w:r w:rsidDel="00000000" w:rsidR="00000000" w:rsidRPr="00000000">
        <w:rPr>
          <w:rFonts w:ascii="Times New Roman" w:cs="Times New Roman" w:eastAsia="Times New Roman" w:hAnsi="Times New Roman"/>
          <w:b w:val="1"/>
          <w:bCs w:val="1"/>
          <w:rtl w:val="0"/>
        </w:rPr>
        <w:t xml:space="preserve">4.3 Analiza scorului de automatizare</w:t>
      </w:r>
    </w:p>
    <w:p w:rsidR="00000000" w:rsidDel="00000000" w:rsidP="00000000" w:rsidRDefault="00000000" w:rsidRPr="00000000" w14:paraId="0000013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Dincolo de metricile agregate, analiza distribuției scorurilor individuale oferă o imagine mai nuanțată a modului în care modelul percepe spațiul ocupațional.</w:t>
      </w:r>
    </w:p>
    <w:p w:rsidR="00000000" w:rsidDel="00000000" w:rsidP="00000000" w:rsidRDefault="00000000" w:rsidRPr="00000000" w14:paraId="0000013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Scorurile sunt distribuite pe întreaga scală 0–100, cu o concentrare predominantă în intervalul 20–60. Aceasta reflectă, probabil, structura competențelor ESCO: majoritatea ocupațiilor au o combinație de competențe rutinare și nerutinare, fără a fi extreme în niciunul dintre sensuri.</w:t>
      </w:r>
    </w:p>
    <w:p w:rsidR="00000000" w:rsidDel="00000000" w:rsidP="00000000" w:rsidRDefault="00000000" w:rsidRPr="00000000" w14:paraId="000001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Concentrarea în zona mediană nu este neapărat un semn de performanță slabă a modelului — ar putea reflecta realitatea că puține ocupații sunt, structural, pur repetitive sau pur creative. Aceasta este, de altfel, și concluzia studiilor internaționale recente: polarizarea reală a pieței muncii nu este între ocupații care vor dispărea versus ocupații complet sigure, ci între cele care se vor transforma mai mult și cele care se vor transforma mai puțin.</w:t>
      </w:r>
    </w:p>
    <w:p w:rsidR="00000000" w:rsidDel="00000000" w:rsidP="00000000" w:rsidRDefault="00000000" w:rsidRPr="00000000" w14:paraId="000001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relativ simetrică în jurul mediei sugerează că modelul nu are o tendință sistematică de supraestimare sau subestimare a riscului — cel puțin la nivel agregat. Analiza erorilor individuale (disponibilă în fișierul analiza_erori_model.csv generat în etapa de evaluare) arată că cele mai mari erori apar la ocupații cu profiluri competențiale atipice.</w:t>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capătul superior al distribuției, scorurile ridicate corespund, de regulă, ocupațiilor cu un număr mic de competențe distincte, concentrat în cunoștințe formale sau proceduri standardizate — de exemplu, operatori de utilaje specifice sau lucrători în procesare de date.</w:t>
      </w:r>
    </w:p>
    <w:p w:rsidR="00000000" w:rsidDel="00000000" w:rsidP="00000000" w:rsidRDefault="00000000" w:rsidRPr="00000000" w14:paraId="000001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capătul inferior, scorurile mici caracterizează în mod consistent ocupațiile cu profiluri competențiale ample și diversificate — profesii medicale, juridice sau educaționale — unde varietatea competențelor reflectă complexitatea și adaptabilitatea cerute de exercitarea lor.</w:t>
      </w:r>
    </w:p>
    <w:p w:rsidR="00000000" w:rsidDel="00000000" w:rsidP="00000000" w:rsidRDefault="00000000" w:rsidRPr="00000000" w14:paraId="0000013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rFonts w:ascii="Times New Roman" w:cs="Times New Roman" w:eastAsia="Times New Roman" w:hAnsi="Times New Roman"/>
          <w:b w:val="1"/>
          <w:bCs w:val="1"/>
        </w:rPr>
      </w:pPr>
      <w:bookmarkStart w:colFirst="0" w:colLast="0" w:name="_7hxke6n0yggu" w:id="57"/>
      <w:bookmarkEnd w:id="57"/>
      <w:r w:rsidDel="00000000" w:rsidR="00000000" w:rsidRPr="00000000">
        <w:rPr>
          <w:rFonts w:ascii="Times New Roman" w:cs="Times New Roman" w:eastAsia="Times New Roman" w:hAnsi="Times New Roman"/>
          <w:b w:val="1"/>
          <w:bCs w:val="1"/>
          <w:rtl w:val="0"/>
        </w:rPr>
        <w:t xml:space="preserve">4.4 Clasificarea ocupațiilor pe niveluri de risc</w:t>
      </w:r>
    </w:p>
    <w:p w:rsidR="00000000" w:rsidDel="00000000" w:rsidP="00000000" w:rsidRDefault="00000000" w:rsidRPr="00000000" w14:paraId="000001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interpretare mai clară a rezultatelor, scorurile de automatizare au fost transformate în trei categorii distincte.</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a fost realizată utilizând următoarele praguri:</w:t>
      </w:r>
    </w:p>
    <w:p w:rsidR="00000000" w:rsidDel="00000000" w:rsidP="00000000" w:rsidRDefault="00000000" w:rsidRPr="00000000" w14:paraId="0000013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13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14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clasificare permite gruparea ocupațiilor în funcție de vulnerabilitatea estimată și facilitează analiza comparativă.</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 setul ESCO de antrenare, distribuția claselor a arătat că LOW (53.9%) este categoria majoritară, urmată de MEDIUM (35.1%) și HIGH (11.0%). Această distribuție dezechilibrată a influențat semnificativ performanța clasificatorului, care tinde să favorizeze clasa majoritară — un comportament așteptat și documentat în literatura de machine learning pe seturi dezechilibrate.</w:t>
      </w:r>
    </w:p>
    <w:p w:rsidR="00000000" w:rsidDel="00000000" w:rsidP="00000000" w:rsidRDefault="00000000" w:rsidRPr="00000000" w14:paraId="000001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sugerează că multe profesii prezintă o combinație între activități automatizabile și sarcini care necesită intervenție umană.</w:t>
      </w:r>
    </w:p>
    <w:p w:rsidR="00000000" w:rsidDel="00000000" w:rsidP="00000000" w:rsidRDefault="00000000" w:rsidRPr="00000000" w14:paraId="0000014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LOW include ocupații cu nivel redus de expunere, în timp ce categoria HIGH este rezervată profesiilor caracterizate prin activități repetitive și procese bine definite.</w:t>
      </w:r>
    </w:p>
    <w:p w:rsidR="00000000" w:rsidDel="00000000" w:rsidP="00000000" w:rsidRDefault="00000000" w:rsidRPr="00000000" w14:paraId="000001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rPr>
      </w:pPr>
      <w:bookmarkStart w:colFirst="0" w:colLast="0" w:name="_m10nehddpsnw" w:id="58"/>
      <w:bookmarkEnd w:id="58"/>
      <w:r w:rsidDel="00000000" w:rsidR="00000000" w:rsidRPr="00000000">
        <w:rPr>
          <w:rFonts w:ascii="Times New Roman" w:cs="Times New Roman" w:eastAsia="Times New Roman" w:hAnsi="Times New Roman"/>
          <w:b w:val="1"/>
          <w:bCs w:val="1"/>
          <w:rtl w:val="0"/>
        </w:rPr>
        <w:t xml:space="preserve">4.5 Aplicarea modelului asupra ocupațiilor din România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validarea modelului pe datele ESCO, acesta a fost aplicat asupra Clasificării Ocupațiilor din România.</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Aplicarea modelului pe COR urmărește un scop dublu: pe de o parte, testarea transferabilității metodologiei pe un alt sistem de clasificare; pe de altă parte, obținerea unor estimări orientative privind profilul de risc al ocupațiilor din România.</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acestei etape a fost utilizat un proces de asociere între ocupațiile ESCO și ocupațiile COR.</w:t>
      </w:r>
    </w:p>
    <w:p w:rsidR="00000000" w:rsidDel="00000000" w:rsidP="00000000" w:rsidRDefault="00000000" w:rsidRPr="00000000" w14:paraId="000001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Prin fuzzy matching cu prag ≥ 80%, au putut fi asociate 654 de ocupații COR cu echivalente ESCO. Cele 3.802 ocupații rămase nemapate nu au putut fi evaluate cu modelul curent, ceea ce reprezintă cea mai importantă limitare operațională a acestei analize.</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5ejk10kzlru" w:id="59"/>
      <w:bookmarkEnd w:id="59"/>
      <w:r w:rsidDel="00000000" w:rsidR="00000000" w:rsidRPr="00000000">
        <w:rPr>
          <w:rFonts w:ascii="Times New Roman" w:cs="Times New Roman" w:eastAsia="Times New Roman" w:hAnsi="Times New Roman"/>
          <w:i w:val="1"/>
          <w:iCs w:val="1"/>
          <w:color w:val="000000"/>
          <w:sz w:val="24"/>
          <w:szCs w:val="24"/>
          <w:rtl w:val="0"/>
        </w:rPr>
        <w:t xml:space="preserve">Tabel 6. Rezultatele aplicării modelului pe COR</w:t>
      </w:r>
    </w:p>
    <w:tbl>
      <w:tblPr>
        <w:tblStyle w:val="Table6"/>
        <w:tblW w:w="3070.0" w:type="dxa"/>
        <w:jc w:val="left"/>
        <w:tblLayout w:type="fixed"/>
        <w:tblLook w:val="0600"/>
      </w:tblPr>
      <w:tblGrid>
        <w:gridCol w:w="2105"/>
        <w:gridCol w:w="965"/>
        <w:tblGridChange w:id="0">
          <w:tblGrid>
            <w:gridCol w:w="2105"/>
            <w:gridCol w:w="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3802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mapare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14.7%</w:t>
            </w:r>
          </w:p>
        </w:tc>
      </w:tr>
    </w:tbl>
    <w:p w:rsidR="00000000" w:rsidDel="00000000" w:rsidP="00000000" w:rsidRDefault="00000000" w:rsidRPr="00000000" w14:paraId="000001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Rata de mapare de 14.7% este mai mică decât valorile raportate în studii similare pentru alte piețe, ceea ce reflectă atât diferențele structurale dintre COR și ESCO, cât și faptul că pragul de 80% este mai restrictiv decât media din literatură. Un prag mai permisiv ar crește acoperirea, dar ar introduce mai multe asocieri eronate.</w:t>
      </w:r>
    </w:p>
    <w:p w:rsidR="00000000" w:rsidDel="00000000" w:rsidP="00000000" w:rsidRDefault="00000000" w:rsidRPr="00000000" w14:paraId="0000015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Printre motivele pentru care ocupațiile nu s-au putut mapa se numără: denumiri complet diferite între COR și ESCO pentru ocupații echivalente, ocupații COR specifice contextului național fără corespondent european, și variații ortografice sau de diacritice care au îngreunat comparația textuală.</w:t>
      </w:r>
    </w:p>
    <w:p w:rsidR="00000000" w:rsidDel="00000000" w:rsidP="00000000" w:rsidRDefault="00000000" w:rsidRPr="00000000" w14:paraId="000001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rPr>
      </w:pPr>
      <w:bookmarkStart w:colFirst="0" w:colLast="0" w:name="_h9c33p2dd9l2" w:id="60"/>
      <w:bookmarkEnd w:id="60"/>
      <w:r w:rsidDel="00000000" w:rsidR="00000000" w:rsidRPr="00000000">
        <w:rPr>
          <w:rFonts w:ascii="Times New Roman" w:cs="Times New Roman" w:eastAsia="Times New Roman" w:hAnsi="Times New Roman"/>
          <w:b w:val="1"/>
          <w:bCs w:val="1"/>
          <w:rtl w:val="0"/>
        </w:rPr>
        <w:t xml:space="preserve">4.6 Distribuția nivelurilor de risc în România</w:t>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românești a permis estimarea distribuției riscului de automatizare la nivel național.</w:t>
      </w:r>
    </w:p>
    <w:p w:rsidR="00000000" w:rsidDel="00000000" w:rsidP="00000000" w:rsidRDefault="00000000" w:rsidRPr="00000000" w14:paraId="000001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wsk7a6ocla4" w:id="61"/>
      <w:bookmarkEnd w:id="61"/>
      <w:r w:rsidDel="00000000" w:rsidR="00000000" w:rsidRPr="00000000">
        <w:rPr>
          <w:rFonts w:ascii="Times New Roman" w:cs="Times New Roman" w:eastAsia="Times New Roman" w:hAnsi="Times New Roman"/>
          <w:color w:val="000000"/>
          <w:sz w:val="24"/>
          <w:szCs w:val="24"/>
          <w:rtl w:val="0"/>
        </w:rPr>
        <w:t xml:space="preserve">Tabel 7. Distribuția ocupațiilor pe niveluri de risc</w:t>
      </w:r>
    </w:p>
    <w:tbl>
      <w:tblPr>
        <w:tblStyle w:val="Table7"/>
        <w:tblW w:w="2965.0" w:type="dxa"/>
        <w:jc w:val="left"/>
        <w:tblLayout w:type="fixed"/>
        <w:tblLook w:val="0600"/>
      </w:tblPr>
      <w:tblGrid>
        <w:gridCol w:w="1235"/>
        <w:gridCol w:w="1730"/>
        <w:tblGridChange w:id="0">
          <w:tblGrid>
            <w:gridCol w:w="1235"/>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 ocupații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r>
    </w:tbl>
    <w:p w:rsidR="00000000" w:rsidDel="00000000" w:rsidP="00000000" w:rsidRDefault="00000000" w:rsidRPr="00000000" w14:paraId="0000016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riscului pentru ocupațiile COR mapate arată o repartizare aproximativ egală între LOW (330, 50.5%) și MEDIUM (318, 48.6%), cu un număr extrem de mic de ocupații HIGH (6, 0.9%). Această distribuție diferă față de setul ESCO de antrenare, unde HIGH reprezenta 11%. O ipoteză rezonabilă este că pragul ridicat de similaritate favorizează selecția ocupațiilor cu denumiri mai complete și mai elaborate — care tind să corespundă unor profiluri mai complexe, mai puțin rutiniere.</w:t>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Aceasta nu înseamnă neapărat că piața muncii din România are un profil de risc mai scăzut decât media europeană — ci că eșantionul de 654 de ocupații accesibile prin mapare poate fi un subset nesistematic, cu un bias spre ocupațiile mai ușor de asociat textual.</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Cele 6 ocupații clasificate HIGH — sablator produse din sticlă, confecționer circuite imprimate și operator la mașina de laminat printre primele trei — au scoruri între 66 și 70, ceea ce le plasează modest în zona de risc ridicat. Absența unor scoruri extreme (&gt;85) în setul COR este explicabilă prin selectivitatea procesului de mapare.</w:t>
      </w:r>
    </w:p>
    <w:p w:rsidR="00000000" w:rsidDel="00000000" w:rsidP="00000000" w:rsidRDefault="00000000" w:rsidRPr="00000000" w14:paraId="000001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rPr>
      </w:pPr>
      <w:bookmarkStart w:colFirst="0" w:colLast="0" w:name="_m3hb4qizbz94" w:id="62"/>
      <w:bookmarkEnd w:id="62"/>
      <w:r w:rsidDel="00000000" w:rsidR="00000000" w:rsidRPr="00000000">
        <w:rPr>
          <w:rFonts w:ascii="Times New Roman" w:cs="Times New Roman" w:eastAsia="Times New Roman" w:hAnsi="Times New Roman"/>
          <w:b w:val="1"/>
          <w:bCs w:val="1"/>
          <w:rtl w:val="0"/>
        </w:rPr>
        <w:t xml:space="preserve">4.7 Exemple de ocupații evaluate</w:t>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mai bună înțelegere a modului în care modelul clasifică ocupațiile, pot fi analizate câteva exemple reprezentative.</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ctmfu78wslh3" w:id="63"/>
      <w:bookmarkEnd w:id="63"/>
      <w:r w:rsidDel="00000000" w:rsidR="00000000" w:rsidRPr="00000000">
        <w:rPr>
          <w:rFonts w:ascii="Times New Roman" w:cs="Times New Roman" w:eastAsia="Times New Roman" w:hAnsi="Times New Roman"/>
          <w:i w:val="1"/>
          <w:iCs w:val="1"/>
          <w:color w:val="000000"/>
          <w:sz w:val="24"/>
          <w:szCs w:val="24"/>
          <w:rtl w:val="0"/>
        </w:rPr>
        <w:t xml:space="preserve">Tabel 8. Exemple de ocupații cu risc ridicat</w:t>
      </w:r>
    </w:p>
    <w:tbl>
      <w:tblPr>
        <w:tblStyle w:val="Table8"/>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sablator produse din sticlă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confecționer circuite imprimate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operator la mașina de laminat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HIGH</w:t>
            </w:r>
          </w:p>
        </w:tc>
      </w:tr>
    </w:tbl>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încadrate în categoria HIGH sunt caracterizate de activități repetitive și sarcini standardizate.</w:t>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kbgosxk6ob6g" w:id="64"/>
      <w:bookmarkEnd w:id="64"/>
      <w:r w:rsidDel="00000000" w:rsidR="00000000" w:rsidRPr="00000000">
        <w:rPr>
          <w:rFonts w:ascii="Times New Roman" w:cs="Times New Roman" w:eastAsia="Times New Roman" w:hAnsi="Times New Roman"/>
          <w:i w:val="1"/>
          <w:iCs w:val="1"/>
          <w:color w:val="000000"/>
          <w:sz w:val="24"/>
          <w:szCs w:val="24"/>
          <w:rtl w:val="0"/>
        </w:rPr>
        <w:t xml:space="preserve">Tabel 9. Exemple de ocupații cu risc redus</w:t>
      </w:r>
    </w:p>
    <w:tbl>
      <w:tblPr>
        <w:tblStyle w:val="Table9"/>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medic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proiectant inginer electromecanic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inginer electromecanic minier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w:t>
            </w:r>
          </w:p>
        </w:tc>
      </w:tr>
    </w:tbl>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cu risc redus includ profesii care necesită interacțiune umană, adaptabilitate și decizii complexe.</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Aceste exemple permit compararea directă a modului în care modelul diferențiază ocupațiile în funcție de caracteristicile asociate.</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rPr>
      </w:pPr>
      <w:bookmarkStart w:colFirst="0" w:colLast="0" w:name="_lntqojtx8jnp" w:id="65"/>
      <w:bookmarkEnd w:id="65"/>
      <w:r w:rsidDel="00000000" w:rsidR="00000000" w:rsidRPr="00000000">
        <w:rPr>
          <w:rFonts w:ascii="Times New Roman" w:cs="Times New Roman" w:eastAsia="Times New Roman" w:hAnsi="Times New Roman"/>
          <w:b w:val="1"/>
          <w:bCs w:val="1"/>
          <w:rtl w:val="0"/>
        </w:rPr>
        <w:t xml:space="preserve">4.8 Analiza critică a rezultatelor</w:t>
      </w:r>
    </w:p>
    <w:p w:rsidR="00000000" w:rsidDel="00000000" w:rsidP="00000000" w:rsidRDefault="00000000" w:rsidRPr="00000000" w14:paraId="000001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Privind retrospectiv rezultatele, câteva aspecte cer o examinare critică mai atentă decât o simplă notă de subsol.</w:t>
      </w:r>
    </w:p>
    <w:p w:rsidR="00000000" w:rsidDel="00000000" w:rsidP="00000000" w:rsidRDefault="00000000" w:rsidRPr="00000000" w14:paraId="0000018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 prim aspect important îl reprezintă instabilitatea confirmată de cross-validare (R²_CV = −14.21 ± 6.16), în ciuda valorii pozitive R²_test = 0.196.</w:t>
      </w:r>
    </w:p>
    <w:p w:rsidR="00000000" w:rsidDel="00000000" w:rsidP="00000000" w:rsidRDefault="00000000" w:rsidRPr="00000000" w14:paraId="0000018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Există două explicații complementare pentru această instabilitate. Prima este că setul de date (3.037 observații) este modest față de complexitatea relației modelate, ceea ce face ca partițiile din cross-validare să conțină variabilitate suficient de mare pentru a schimba semnificativ estimările. A doua explicație este că variabilele structurale din ESCO captează indirect, nu direct, rutinizabilitatea ocupațiilor — calitatea semnalului este limitată prin natura datelor.</w:t>
      </w:r>
    </w:p>
    <w:p w:rsidR="00000000" w:rsidDel="00000000" w:rsidP="00000000" w:rsidRDefault="00000000" w:rsidRPr="00000000" w14:paraId="0000018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sursă de eroare specifică transferului pe COR este că similaritatea textuală nu garantează echivalența funcțională. O ocupație COR numită „operator la computer” și una ESCO numită „computer operator” au un scor de similaritate ridicat, dar pot desemna realități profesionale diferite în contexte economice diferite. Verificarea manuală a unui eșantion din asocierile efectuate ar fi o bună practică pentru versiunile viitoare ale acestei cercetări.</w:t>
      </w:r>
    </w:p>
    <w:p w:rsidR="00000000" w:rsidDel="00000000" w:rsidP="00000000" w:rsidRDefault="00000000" w:rsidRPr="00000000" w14:paraId="0000018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modelul nu include variabile economice sau sociale care ar putea influența gradul de automatizare, precum salariul, sectorul economic sau cererea de pe piața muncii.</w:t>
      </w:r>
    </w:p>
    <w:p w:rsidR="00000000" w:rsidDel="00000000" w:rsidP="00000000" w:rsidRDefault="00000000" w:rsidRPr="00000000" w14:paraId="0000018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 toate limitările enumerate, modelul furnizează estimări consistente cu logica teoretică — ocupațiile cu profiluri competențiale standardizate primesc scoruri mai mari decât cele cu profiluri diverse — și produce o metodologie reproductibilă care poate fi îmbunătățită incremental.</w:t>
      </w:r>
    </w:p>
    <w:p w:rsidR="00000000" w:rsidDel="00000000" w:rsidP="00000000" w:rsidRDefault="00000000" w:rsidRPr="00000000" w14:paraId="000001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 Interpretarea Vizuală a Rezultatelor Modelului</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Graficele prezentate în această secțiune servesc trei scopuri complementare: verificarea intuitivă a distribuției scorurilor, evaluarea vizuală a calității clasificării și înțelegerea comportamentului intern al modelului prin analiza SHAP.</w:t>
      </w:r>
    </w:p>
    <w:p w:rsidR="00000000" w:rsidDel="00000000" w:rsidP="00000000" w:rsidRDefault="00000000" w:rsidRPr="00000000" w14:paraId="0000019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Reprezentările vizuale nu înlocuiesc analiza cantitativă, dar o completează: un model cu metrici bune pe hârtie poate ascunde comportamente problematice (de exemplu, predicții extreme concentrate pe un subset de ocupații) care sunt imediat vizibile grafic.</w:t>
      </w:r>
    </w:p>
    <w:p w:rsidR="00000000" w:rsidDel="00000000" w:rsidP="00000000" w:rsidRDefault="00000000" w:rsidRPr="00000000" w14:paraId="0000019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4.9.1 Distribuția scorului de automatizare-distributie_automatizare-</w:t>
      </w:r>
    </w:p>
    <w:p w:rsidR="00000000" w:rsidDel="00000000" w:rsidP="00000000" w:rsidRDefault="00000000" w:rsidRPr="00000000" w14:paraId="00000197">
      <w:pPr>
        <w:ind w:left="0" w:firstLine="0"/>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215057</wp:posOffset>
            </wp:positionV>
            <wp:extent cx="3843338" cy="230751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43338" cy="2307516"/>
                    </a:xfrm>
                    <a:prstGeom prst="rect"/>
                    <a:ln/>
                  </pic:spPr>
                </pic:pic>
              </a:graphicData>
            </a:graphic>
          </wp:anchor>
        </w:drawing>
      </w:r>
    </w:p>
    <w:p w:rsidR="00000000" w:rsidDel="00000000" w:rsidP="00000000" w:rsidRDefault="00000000" w:rsidRPr="00000000" w14:paraId="000001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Histograma scorurilor de automatizare arată o distribuție relativ simetrică, centrată în jurul valorii 40–50, cu cozi ușor mai lungi spre extremele scalei. Forma distribuției este importantă: o distribuție bimodală ar fi sugerat că modelul tratează ocupațiile ca aparținând clar uneia din două categorii, în timp ce distribuția unimodală observată sugerează că variabilitatea riscului este graduală.</w:t>
      </w:r>
    </w:p>
    <w:p w:rsidR="00000000" w:rsidDel="00000000" w:rsidP="00000000" w:rsidRDefault="00000000" w:rsidRPr="00000000" w14:paraId="000001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Concentrarea în zona 30–60 reflectă natura datelor ESCO: marea majoritate a ocupațiilor din baza europeană au profiluri competențiale echilibrate, cu atât esențiale cât și opționale, fără a fi complet specializate într-un singur tip de sarcini. Aceasta corespunde cu perspectivele din literatura de specialitate, care subliniază că automatizarea tipică transformă, nu elimină ocupațiile.</w:t>
      </w:r>
    </w:p>
    <w:p w:rsidR="00000000" w:rsidDel="00000000" w:rsidP="00000000" w:rsidRDefault="00000000" w:rsidRPr="00000000" w14:paraId="0000019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extreme sunt mai puțin frecvente și corespund ocupațiilor cu caracteristici bine definite, fie în direcția automatizării ridicate, fie a rezistenței la automatizare.</w:t>
      </w:r>
    </w:p>
    <w:p w:rsidR="00000000" w:rsidDel="00000000" w:rsidP="00000000" w:rsidRDefault="00000000" w:rsidRPr="00000000" w14:paraId="0000019B">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4.9.2 Evaluarea performanței clasificării</w:t>
      </w:r>
    </w:p>
    <w:p w:rsidR="00000000" w:rsidDel="00000000" w:rsidP="00000000" w:rsidRDefault="00000000" w:rsidRPr="00000000" w14:paraId="0000019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-matrice_confuzie-</w:t>
      </w:r>
    </w:p>
    <w:p w:rsidR="00000000" w:rsidDel="00000000" w:rsidP="00000000" w:rsidRDefault="00000000" w:rsidRPr="00000000" w14:paraId="0000019F">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Matricea de confuzie oferă o reprezentare detaliată a modului în care modelul clasifică ocupațiile în cele trei categorii de risc. Aceasta evidențiază atât predicțiile corecte, cât și erorile de clasificare. </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119597</wp:posOffset>
            </wp:positionV>
            <wp:extent cx="3474748" cy="2807596"/>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74748" cy="2807596"/>
                    </a:xfrm>
                    <a:prstGeom prst="rect"/>
                    <a:ln/>
                  </pic:spPr>
                </pic:pic>
              </a:graphicData>
            </a:graphic>
          </wp:anchor>
        </w:drawing>
      </w:r>
    </w:p>
    <w:p w:rsidR="00000000" w:rsidDel="00000000" w:rsidP="00000000" w:rsidRDefault="00000000" w:rsidRPr="00000000" w14:paraId="000001A3">
      <w:pPr>
        <w:ind w:left="0" w:firstLine="72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139112</wp:posOffset>
            </wp:positionV>
            <wp:extent cx="3657600" cy="2212258"/>
            <wp:effectExtent b="0" l="0" r="0" t="0"/>
            <wp:wrapNone/>
            <wp:docPr id="6" name="image1.png"/>
            <a:graphic>
              <a:graphicData uri="http://schemas.openxmlformats.org/drawingml/2006/picture">
                <pic:pic>
                  <pic:nvPicPr>
                    <pic:cNvPr id="0" name="image1.png"/>
                    <pic:cNvPicPr preferRelativeResize="0"/>
                  </pic:nvPicPr>
                  <pic:blipFill>
                    <a:blip r:embed="rId8"/>
                    <a:srcRect b="0" l="0" r="16520" t="0"/>
                    <a:stretch>
                      <a:fillRect/>
                    </a:stretch>
                  </pic:blipFill>
                  <pic:spPr>
                    <a:xfrm>
                      <a:off x="0" y="0"/>
                      <a:ext cx="3657600" cy="2212258"/>
                    </a:xfrm>
                    <a:prstGeom prst="rect"/>
                    <a:ln/>
                  </pic:spPr>
                </pic:pic>
              </a:graphicData>
            </a:graphic>
          </wp:anchor>
        </w:drawing>
      </w:r>
    </w:p>
    <w:p w:rsidR="00000000" w:rsidDel="00000000" w:rsidP="00000000" w:rsidRDefault="00000000" w:rsidRPr="00000000" w14:paraId="000001A4">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5">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Matricea de confuzie relevă un pattern tipic pentru seturi cu distribuție dezechilibrată: modelul clasifică corect cea mai mare parte a instanțelor din clasa majoritară (LOW), dar performează mai slab pe MEDIUM și mai ales pe HIGH. Clasa HIGH, cu doar 334 exemple în antrenare, este cea mai dificil de identificat — un rezultat așteptat și consistent cu literatura despre clasificarea pe seturi dezechilibrate.</w:t>
      </w:r>
    </w:p>
    <w:p w:rsidR="00000000" w:rsidDel="00000000" w:rsidP="00000000" w:rsidRDefault="00000000" w:rsidRPr="00000000" w14:paraId="000001B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Erorile de clasificare sunt, în marea lor majoritate, între categorii adiacente (LOW clasificat ca MEDIUM sau MEDIUM clasificat ca HIGH), nu între extreme (LOW clasificat ca HIGH). Aceasta sugerează că granițele dintre categorii sunt graduale în spațiul competențelor, nu abrupte — o observație importantă pentru calibrarea așteptărilor față de precizia clasificărilor individuale.</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4.9.3 Importanța variabilelor în model</w:t>
      </w:r>
      <w:r w:rsidDel="00000000" w:rsidR="00000000" w:rsidRPr="00000000">
        <w:rPr>
          <w:rtl w:val="0"/>
        </w:rPr>
      </w:r>
    </w:p>
    <w:p w:rsidR="00000000" w:rsidDel="00000000" w:rsidP="00000000" w:rsidRDefault="00000000" w:rsidRPr="00000000" w14:paraId="000001B6">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-shap_feature_importance-</w:t>
      </w:r>
    </w:p>
    <w:p w:rsidR="00000000" w:rsidDel="00000000" w:rsidP="00000000" w:rsidRDefault="00000000" w:rsidRPr="00000000" w14:paraId="000001B7">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Graficul de importanță SHAP răspunde la întrebarea: dacă am elimina o variabilă din model, cât de mult ar scădea precizia predicțiilor? Variabilele poziționate mai sus sunt cele mai influente în medie pe întreg setul de date.</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SHAP arată că automation_score_proxy și total_skill sunt cei mai importanți predictori — ceea ce este coerent cu ipoteza că proporția competențelor rutinizabile și volumul total al profilului competențial sunt caracteristicile cele mai informative pentru estimarea riscului.</w:t>
      </w:r>
    </w:p>
    <w:p w:rsidR="00000000" w:rsidDel="00000000" w:rsidP="00000000" w:rsidRDefault="00000000" w:rsidRPr="00000000" w14:paraId="000001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Faptul că automation_score_proxy — o variabilă construită explicit pentru a captura proporția competențelor rutinizabile — apare consistent printre cei mai importanți predictori este, în același timp, un semn de coerență internă a modelului și o confirmare că designul acestei variabile a fost bine calibrat.</w:t>
      </w:r>
    </w:p>
    <w:p w:rsidR="00000000" w:rsidDel="00000000" w:rsidP="00000000" w:rsidRDefault="00000000" w:rsidRPr="00000000" w14:paraId="000001B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observație demnă de menționat: variabila essential are o importanță SHAP relativ mică față de așteptări. O interpretare posibilă este că, după ce se cunoaște total_skill, informația marginală adusă de essential este redusă — cele două variabile sunt corelate prin identitatea total_skill = essential + optional.</w:t>
      </w:r>
    </w:p>
    <w:p w:rsidR="00000000" w:rsidDel="00000000" w:rsidP="00000000" w:rsidRDefault="00000000" w:rsidRPr="00000000" w14:paraId="000001B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4.9.4 Analiza distribuției impactului variabilelor</w:t>
      </w:r>
    </w:p>
    <w:p w:rsidR="00000000" w:rsidDel="00000000" w:rsidP="00000000" w:rsidRDefault="00000000" w:rsidRPr="00000000" w14:paraId="000001C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-shap_summary_plot-</w:t>
      </w:r>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SHAP Summary Plot completează graficul de importanță cu informații despre direcție — arată nu doar cât de mult influențează o variabilă predicția, ci și în ce sens: valori mari ale variabilei cresc sau reduc scorul estimat?</w:t>
      </w:r>
      <w:r w:rsidDel="00000000" w:rsidR="00000000" w:rsidRPr="00000000">
        <w:rPr>
          <w:rFonts w:ascii="Times New Roman" w:cs="Times New Roman" w:eastAsia="Times New Roman" w:hAnsi="Times New Roman"/>
          <w:color w:val="00ff00"/>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p>
    <w:p w:rsidR="00000000" w:rsidDel="00000000" w:rsidP="00000000" w:rsidRDefault="00000000" w:rsidRPr="00000000" w14:paraId="000001C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Fiecare punct reprezintă o ocupație. Poziția pe axa orizontală indică contribuția la predicție (pozitiv = crește riscul, negativ = îl reduce), iar culoarea reflectă valoarea variabilei (roșu = valoare mare, albastru = valoare mică). Un tipar consistent — de exemplu, puncte roșii sistematic în dreapta — indică că valori mari ale variabilei cresc riscul estimat.</w:t>
      </w:r>
    </w:p>
    <w:p w:rsidR="00000000" w:rsidDel="00000000" w:rsidP="00000000" w:rsidRDefault="00000000" w:rsidRPr="00000000" w14:paraId="000001C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Tiparele observate în Summary Plot confirmă ipotezele teoretice: automation_score_proxy ridicat contribuie la scoruri mari de risc; total_skill ridicat contribuie la scoruri mici (mai multe competențe diverse = profil mai complex = risc mai scăzut). Aceste relații, deși nu surprinzătoare teoretic, validează că modelul a „învățat” semnale coerente din date, nu patternuri aleatoare.</w:t>
      </w:r>
    </w:p>
    <w:p w:rsidR="00000000" w:rsidDel="00000000" w:rsidP="00000000" w:rsidRDefault="00000000" w:rsidRPr="00000000" w14:paraId="000001C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4.9.5 Distribuția riscului ocupațional în România</w:t>
      </w:r>
    </w:p>
    <w:p w:rsidR="00000000" w:rsidDel="00000000" w:rsidP="00000000" w:rsidRDefault="00000000" w:rsidRPr="00000000" w14:paraId="000001C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-distributie_risk_level-</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311321</wp:posOffset>
            </wp:positionV>
            <wp:extent cx="3681413" cy="278593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81413" cy="2785934"/>
                    </a:xfrm>
                    <a:prstGeom prst="rect"/>
                    <a:ln/>
                  </pic:spPr>
                </pic:pic>
              </a:graphicData>
            </a:graphic>
          </wp:anchor>
        </w:drawing>
      </w:r>
    </w:p>
    <w:p w:rsidR="00000000" w:rsidDel="00000000" w:rsidP="00000000" w:rsidRDefault="00000000" w:rsidRPr="00000000" w14:paraId="000001C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Graficul de distribuție a riscului pentru ocupațiile COR mapate completează tabelul 7 cu o perspectivă vizuală. Două observații se evidențiază imediat: dominanța clară a categoriilor LOW și MEDIUM, și absența aproape completă a categoriei HIGH.</w:t>
      </w:r>
    </w:p>
    <w:p w:rsidR="00000000" w:rsidDel="00000000" w:rsidP="00000000" w:rsidRDefault="00000000" w:rsidRPr="00000000" w14:paraId="000001C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Distribuția echilibrată LOW/MEDIUM nu înseamnă neapărat că România are un profil ocupațional mai sigur față de automatizare. O interpretare mai conservatoare este că procesul de mapare COR–ESCO, prin pragul restrictiv ales, a selecționat preferențial ocupații cu profiluri competențiale mai elaborate — tocmai cele cu risc mai scăzut. O analiză completă ar necesita o mapare manuală sau asistată semantic pentru toate cele 4.456 de ocupații COR.</w:t>
      </w:r>
    </w:p>
    <w:p w:rsidR="00000000" w:rsidDel="00000000" w:rsidP="00000000" w:rsidRDefault="00000000" w:rsidRPr="00000000" w14:paraId="000001C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Cele 6 ocupații clasificate HIGH — cu scoruri între 66 și 70 — se caracterizează prin profiluri competențiale înguste și standardizate, concentrate pe operațiuni industriale specifice. Este notabil că niciunul dintre aceste scoruri nu depășește 70, ceea ce plasează ocupațiile respective la granița inferioară a categoriei HIGH, nu în zone de risc extrem.</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4.10 Concluzii intermediare</w:t>
      </w:r>
    </w:p>
    <w:p w:rsidR="00000000" w:rsidDel="00000000" w:rsidP="00000000" w:rsidRDefault="00000000" w:rsidRPr="00000000" w14:paraId="000001D2">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Capitolul de față a prezentat rezultatele din mai multe unghiuri complementare: metrici cantitative, distribuții vizuale și interpretare prin SHAP. Câteva concluzii intermediare se impun înainte de capitolul final.</w:t>
      </w:r>
    </w:p>
    <w:p w:rsidR="00000000" w:rsidDel="00000000" w:rsidP="00000000" w:rsidRDefault="00000000" w:rsidRPr="00000000" w14:paraId="000001D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furnizează estimări orientative cu o precizie modestă, dar pozitivă față de baseline. Performanța sa nu poate fi comparată direct cu modele care beneficiază de date mai bogate (salariale, sectoriale, de cerere de competențe), dar oferă un punct de plecare reproductibil pentru analize mai fine.</w:t>
      </w:r>
    </w:p>
    <w:p w:rsidR="00000000" w:rsidDel="00000000" w:rsidP="00000000" w:rsidRDefault="00000000" w:rsidRPr="00000000" w14:paraId="000001D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Transferul pe COR a demonstrat fezabilitatea metodologiei, chiar dacă rata de acoperire de 14.7% limitează semnificativ domeniul de aplicare. Extinderea acoperirii rămâne cea mai importantă direcție de dezvoltare pentru versiunile viitoare.</w:t>
      </w:r>
    </w:p>
    <w:p w:rsidR="00000000" w:rsidDel="00000000" w:rsidP="00000000" w:rsidRDefault="00000000" w:rsidRPr="00000000" w14:paraId="000001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Analiza SHAP a validat coerența modelului: variabilele proiectate pentru a captura rutinizabilitatea ocupațională (automation_score_proxy, total_skill) sunt cele mai influente, și direcțiile lor de influență corespund cu așteptările teoretice.</w:t>
      </w:r>
    </w:p>
    <w:p w:rsidR="00000000" w:rsidDel="00000000" w:rsidP="00000000" w:rsidRDefault="00000000" w:rsidRPr="00000000" w14:paraId="000001D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În ansamblu, cercetarea demonstrează că datele ESCO conțin semnale suficiente pentru a construi un instrument funcțional de estimare a riscului ocupațional — cu limitările inerente unui model bazat exclusiv pe caracteristici structurale ale competențelor.</w:t>
      </w:r>
      <w:r w:rsidDel="00000000" w:rsidR="00000000" w:rsidRPr="00000000">
        <w:rPr>
          <w:rFonts w:ascii="Times New Roman" w:cs="Times New Roman" w:eastAsia="Times New Roman" w:hAnsi="Times New Roman"/>
          <w:sz w:val="26"/>
          <w:szCs w:val="26"/>
          <w:rtl w:val="0"/>
        </w:rPr>
      </w:r>
    </w:p>
    <w:p w:rsidR="00000000" w:rsidDel="00000000" w:rsidP="00000000" w:rsidRDefault="00000000" w:rsidRPr="00000000" w14:paraId="000001DC">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ind w:left="0" w:firstLine="0"/>
        <w:rPr>
          <w:rFonts w:ascii="Times New Roman" w:cs="Times New Roman" w:eastAsia="Times New Roman" w:hAnsi="Times New Roman"/>
          <w:b w:val="1"/>
          <w:bCs w:val="1"/>
          <w:sz w:val="44"/>
          <w:szCs w:val="44"/>
        </w:rPr>
      </w:pPr>
      <w:bookmarkStart w:colFirst="0" w:colLast="0" w:name="_2b8119q80lkq" w:id="66"/>
      <w:bookmarkEnd w:id="66"/>
      <w:r w:rsidDel="00000000" w:rsidR="00000000" w:rsidRPr="00000000">
        <w:rPr>
          <w:rFonts w:ascii="Times New Roman" w:cs="Times New Roman" w:eastAsia="Times New Roman" w:hAnsi="Times New Roman"/>
          <w:b w:val="1"/>
          <w:bCs w:val="1"/>
          <w:sz w:val="44"/>
          <w:szCs w:val="44"/>
          <w:rtl w:val="0"/>
        </w:rPr>
        <w:t xml:space="preserve">5. Concluzii, Limitări și Direcții Viitoare</w:t>
      </w:r>
    </w:p>
    <w:p w:rsidR="00000000" w:rsidDel="00000000" w:rsidP="00000000" w:rsidRDefault="00000000" w:rsidRPr="00000000" w14:paraId="000001E2">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irjv768i8a8b" w:id="67"/>
      <w:bookmarkEnd w:id="67"/>
      <w:r w:rsidDel="00000000" w:rsidR="00000000" w:rsidRPr="00000000">
        <w:rPr>
          <w:rFonts w:ascii="Times New Roman" w:cs="Times New Roman" w:eastAsia="Times New Roman" w:hAnsi="Times New Roman"/>
          <w:b w:val="1"/>
          <w:bCs w:val="1"/>
          <w:rtl w:val="0"/>
        </w:rPr>
        <w:t xml:space="preserve">5.1 Concluzii generale</w:t>
      </w:r>
    </w:p>
    <w:p w:rsidR="00000000" w:rsidDel="00000000" w:rsidP="00000000" w:rsidRDefault="00000000" w:rsidRPr="00000000" w14:paraId="000001E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La finalul acestui demers de cercetare, cred că e important să separăm cu claritate ceea ce a reușit această analiză de ceea ce rămâne deschis. Perspectiva retrospectivă este mai onestă decât o prezentare triumfalistă a rezultatelor.</w:t>
      </w:r>
    </w:p>
    <w:p w:rsidR="00000000" w:rsidDel="00000000" w:rsidP="00000000" w:rsidRDefault="00000000" w:rsidRPr="00000000" w14:paraId="000001E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Am construit un sistem funcțional care transformă descrierile structurale ale ocupațiilor din ESCO — număr de competențe, tipul lor, indicator de rutinizabilitate — într-un scor continuu de automatizare. Modelul LightGBM antrenat pe 3.037 de ocupații produce estimări care, pe setul de test, explică aproximativ 20% din variația scorurilor reale — modest, dar consistent pozitiv.</w:t>
      </w:r>
    </w:p>
    <w:p w:rsidR="00000000" w:rsidDel="00000000" w:rsidP="00000000" w:rsidRDefault="00000000" w:rsidRPr="00000000" w14:paraId="000001E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Rezultatele obținute demonstrează faptul că structura competențelor poate fi utilizată pentru a aproxima gradul de vulnerabilitate al unei ocupații în raport cu procesele de automatizare.</w:t>
      </w:r>
    </w:p>
    <w:p w:rsidR="00000000" w:rsidDel="00000000" w:rsidP="00000000" w:rsidRDefault="00000000" w:rsidRPr="00000000" w14:paraId="000001E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Alegerea ESCO ca sursă de date s-a dovedit potrivită: baza de date este structurată, accesibilă și suficient de granulară pentru a extrage variabile predictive relevante. Disponibilitatea versiunii în română a facilitat și etapa de mapare COR–ESCO.</w:t>
      </w:r>
    </w:p>
    <w:p w:rsidR="00000000" w:rsidDel="00000000" w:rsidP="00000000" w:rsidRDefault="00000000" w:rsidRPr="00000000" w14:paraId="000001E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Algoritmul LightGBM s-a comportat conform așteptărilor pentru acest tip de problemă: performanță superioară regresiei liniare pe setul de test, integrabilitate naturală cu analiza SHAP și robustețe la lipsa de normalizare a variabilelor. Instabilitatea cross-validare este, din câte putem evalua, o consecință a relației complexe și parțial zgomotoase dintre variabilele disponibile și variabila țintă — nu un artefact al alegerii algoritmului.</w:t>
      </w:r>
    </w:p>
    <w:p w:rsidR="00000000" w:rsidDel="00000000" w:rsidP="00000000" w:rsidRDefault="00000000" w:rsidRPr="00000000" w14:paraId="000001E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Aplicarea modelului asupra Clasificării Ocupațiilor din România a demonstrat că metodologia poate fi transferată către un context național și poate produce rezultate relevante pentru analiza pieței muncii.</w:t>
      </w:r>
    </w:p>
    <w:p w:rsidR="00000000" w:rsidDel="00000000" w:rsidP="00000000" w:rsidRDefault="00000000" w:rsidRPr="00000000" w14:paraId="000001E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Distribuția aproximativ egală LOW/MEDIUM în rândul ocupațiilor COR mapate este consistentă cu perspectiva mai optimistă din literatura recentă — că automatizarea transformă mai degrabă decât elimină ocupațiile — dar trebuie citită cu rezerva că eșantionul de 654 de ocupații nu este reprezentativ pentru întreaga piață a muncii.</w:t>
      </w:r>
    </w:p>
    <w:p w:rsidR="00000000" w:rsidDel="00000000" w:rsidP="00000000" w:rsidRDefault="00000000" w:rsidRPr="00000000" w14:paraId="000001E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Integrarea SHAP reprezintă, în opinia mea, una dintre contribuțiile mai valoroase ale acestei lucrări. Chiar dacă performanța predictivă este modestă, analiza SHAP adaugă un nivel de transparență care face diferența față de o simplă sortare a ocupațiilor după un scor opac — utilizatorul poate înțelege de ce o ocupație primește un anumit scor și poate evalua critic această justificare.</w:t>
      </w:r>
    </w:p>
    <w:p w:rsidR="00000000" w:rsidDel="00000000" w:rsidP="00000000" w:rsidRDefault="00000000" w:rsidRPr="00000000" w14:paraId="000001E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Concluzia mai largă este că metodologiile de machine learning aplicate pe date ocupaționale structurate sunt o abordare viabilă pentru analiza riscului de automatizare la nivel național — cu condiția de a fi completate cu date mai bogate, o mapare mai precisă a clasificărilor ocupaționale și o validare externă față de estimări independente.</w:t>
      </w:r>
    </w:p>
    <w:p w:rsidR="00000000" w:rsidDel="00000000" w:rsidP="00000000" w:rsidRDefault="00000000" w:rsidRPr="00000000" w14:paraId="000001E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1qjzh7we815c" w:id="68"/>
      <w:bookmarkEnd w:id="68"/>
      <w:r w:rsidDel="00000000" w:rsidR="00000000" w:rsidRPr="00000000">
        <w:rPr>
          <w:rFonts w:ascii="Times New Roman" w:cs="Times New Roman" w:eastAsia="Times New Roman" w:hAnsi="Times New Roman"/>
          <w:b w:val="1"/>
          <w:bCs w:val="1"/>
          <w:rtl w:val="0"/>
        </w:rPr>
        <w:t xml:space="preserve">5.2 Contribuțiile cercetării</w:t>
      </w:r>
    </w:p>
    <w:p w:rsidR="00000000" w:rsidDel="00000000" w:rsidP="00000000" w:rsidRDefault="00000000" w:rsidRPr="00000000" w14:paraId="000001E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Contribuțiile concrete ale acestei cercetări pot fi grupate pe trei dimensiuni.</w:t>
      </w:r>
    </w:p>
    <w:p w:rsidR="00000000" w:rsidDel="00000000" w:rsidP="00000000" w:rsidRDefault="00000000" w:rsidRPr="00000000" w14:paraId="000001E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metodologică, lucrarea propune un pipeline reproductibil care combină extragerea de caracteristici din ESCO, construcția unui indicator proxy de automatizare, antrenarea LightGBM și interpretarea SHAP — o secvență care poate fi replicată sau adaptată de cercetători interesați de analize similare.</w:t>
      </w:r>
    </w:p>
    <w:p w:rsidR="00000000" w:rsidDel="00000000" w:rsidP="00000000" w:rsidRDefault="00000000" w:rsidRPr="00000000" w14:paraId="000001F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aplicativă, lucrarea furnizează scoruri de automatizare pentru 654 de ocupații din COR — o resursă inexistentă anterior pentru piața muncii din România — și le face accesibile printr-o aplicație Streamlit interactivă.</w:t>
      </w:r>
    </w:p>
    <w:p w:rsidR="00000000" w:rsidDel="00000000" w:rsidP="00000000" w:rsidRDefault="00000000" w:rsidRPr="00000000" w14:paraId="000001F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Din perspectivă teoretică, cercetarea contribuie la literatura privind transferul de modele între sisteme de clasificare ocupațională diferite — o problemă cu relevanță pentru orice studiu care încearcă să transpună rezultate internaționale în contexte naționale specifice.</w:t>
      </w:r>
    </w:p>
    <w:p w:rsidR="00000000" w:rsidDel="00000000" w:rsidP="00000000" w:rsidRDefault="00000000" w:rsidRPr="00000000" w14:paraId="000001F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Integrarea SHAP ca instrument de validare internă și de comunicare a rezultatelor reprezintă o alegere metodologică deliberată: în domenii cu implicații de politică publică, transparența algoritmică nu este opțională.</w:t>
      </w:r>
    </w:p>
    <w:p w:rsidR="00000000" w:rsidDel="00000000" w:rsidP="00000000" w:rsidRDefault="00000000" w:rsidRPr="00000000" w14:paraId="000001F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Aplicația Streamlit dezvoltată paralel cu cercetarea face ca rezultatele să fie explorabile fără cunoștințe tehnice — un aspect relevant dacă instrumentul urmează să fie utilizat de consilieri de carieră, decidenți sau studenți interesați de profilul de risc al unor ocupații specifice.</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Combinate, aceste contribuții adresează un gol real: absența unui instrument adaptat contextului românesc pentru estimarea riscului de automatizare ocupațională bazat pe date și metodologie transparentă.</w:t>
      </w:r>
    </w:p>
    <w:p w:rsidR="00000000" w:rsidDel="00000000" w:rsidP="00000000" w:rsidRDefault="00000000" w:rsidRPr="00000000" w14:paraId="000001F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skcd9j41n62c" w:id="69"/>
      <w:bookmarkEnd w:id="69"/>
      <w:r w:rsidDel="00000000" w:rsidR="00000000" w:rsidRPr="00000000">
        <w:rPr>
          <w:rFonts w:ascii="Times New Roman" w:cs="Times New Roman" w:eastAsia="Times New Roman" w:hAnsi="Times New Roman"/>
          <w:b w:val="1"/>
          <w:bCs w:val="1"/>
          <w:rtl w:val="0"/>
        </w:rPr>
        <w:t xml:space="preserve">5.3 Limitările cercetării</w:t>
      </w:r>
    </w:p>
    <w:p w:rsidR="00000000" w:rsidDel="00000000" w:rsidP="00000000" w:rsidRDefault="00000000" w:rsidRPr="00000000" w14:paraId="000001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Onestitatea intelectuală impune să discutăm explicit ce nu a funcționat sau a funcționat mai puțin bine — nu ca o formulă de modestie academică, ci pentru că limitele condiționate direct valoarea practică a rezultatelor.</w:t>
      </w:r>
    </w:p>
    <w:p w:rsidR="00000000" w:rsidDel="00000000" w:rsidP="00000000" w:rsidRDefault="00000000" w:rsidRPr="00000000" w14:paraId="000001F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Cea mai serioasă limitare rămâne instabilitatea modelului în cross-validare (R²_CV = −14.21 ± 6.16), care contrastează nefavorabil cu valoarea de pe setul de test. Această discrepanță sugerează că succesul pe test-set poate fi parțial un artefact al particularității acelei partiții, și nu o garanție de generalizare robustă.</w:t>
      </w:r>
    </w:p>
    <w:p w:rsidR="00000000" w:rsidDel="00000000" w:rsidP="00000000" w:rsidRDefault="00000000" w:rsidRPr="00000000" w14:paraId="000001F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Valoarea R² de 0.196 pe setul de test este pozitivă, însă cross-validarea 5-fold indică instabilitate (R²_CV = −14.21 ± 6.16). Modelul oferă estimări orientative, dar capacitatea de generalizare rămâne limitată.</w:t>
      </w:r>
    </w:p>
    <w:p w:rsidR="00000000" w:rsidDel="00000000" w:rsidP="00000000" w:rsidRDefault="00000000" w:rsidRPr="00000000" w14:paraId="000001F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Extinderea setului de variabile cu date externe — salariile medii pe ocupație, sectorul economic predominant, cererea de competențe din anunțurile de angajare — ar putea ameliora semnificativ stabilitatea și precizia modelului.</w:t>
      </w:r>
    </w:p>
    <w:p w:rsidR="00000000" w:rsidDel="00000000" w:rsidP="00000000" w:rsidRDefault="00000000" w:rsidRPr="00000000" w14:paraId="000001F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doua limitare importantă este că modelul nu are acces la informații contextuale: nu știe dacă o ocupație se exercită în sectorul public sau privat, în industrii intensiv-tehnologice sau tradiționale, în zone urbane sau rurale. Toate acestea modulează viteza reală de adoptare a automatizării.</w:t>
      </w:r>
    </w:p>
    <w:p w:rsidR="00000000" w:rsidDel="00000000" w:rsidP="00000000" w:rsidRDefault="00000000" w:rsidRPr="00000000" w14:paraId="000001F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Cercetările lui Acemoglu și Restrepo (2020) arată că rata de automatizare variază considerabil în funcție de presiunile din piața muncii locală și de disponibilitatea capitalului pentru investiții în automatizare — factori pe care un model bazat exclusiv pe competențe nu îi poate captura.</w:t>
      </w:r>
    </w:p>
    <w:p w:rsidR="00000000" w:rsidDel="00000000" w:rsidP="00000000" w:rsidRDefault="00000000" w:rsidRPr="00000000" w14:paraId="000001F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limitare este asociată procesului de mapare dintre COR și ESCO.</w:t>
      </w:r>
    </w:p>
    <w:p w:rsidR="00000000" w:rsidDel="00000000" w:rsidP="00000000" w:rsidRDefault="00000000" w:rsidRPr="00000000" w14:paraId="000001F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Fuzzy matching-ul, deși eficient computațional, produce asocieri bazate pe forma textului, nu pe sensul ocupațional. Două ocupații cu denumiri similare pot corespunde unor realități profesionale diferite, și invers — ocupații echivalente funcțional pot rămâne nemapate din cauza diferențelor de nomenclatură.</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validare manuală pe un eșantion din asocierile realizate ar fi o bună practică pentru cuantificarea ratei de eroare semantică și ar oferi o bază mai solidă pentru interpretarea scorurilor transferate pe COR.</w:t>
      </w:r>
    </w:p>
    <w:p w:rsidR="00000000" w:rsidDel="00000000" w:rsidP="00000000" w:rsidRDefault="00000000" w:rsidRPr="00000000" w14:paraId="0000020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Rata de acoperire de 14.7% este cea mai concretă limitare operațională: aproape 85% din ocupațiile COR nu au primit scoruri de automatizare. Orice concluzie despre profilul de risc al pieței muncii românești bazată pe aceste date este, prin urmare, extrapolată dintr-un subset nereprezentativ.</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Extinderea acoperirii — fie printr-un prag de matching mai permisiv combinat cu validare manuală a asocierilor incerte, fie prin tehnici NLP mai avansate — rămâne prioritatea metodologică numărul unu pentru versiunile viitoare.</w:t>
      </w:r>
    </w:p>
    <w:p w:rsidR="00000000" w:rsidDel="00000000" w:rsidP="00000000" w:rsidRDefault="00000000" w:rsidRPr="00000000" w14:paraId="000002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rfwxvcoi86zi" w:id="70"/>
      <w:bookmarkEnd w:id="70"/>
      <w:r w:rsidDel="00000000" w:rsidR="00000000" w:rsidRPr="00000000">
        <w:rPr>
          <w:rFonts w:ascii="Times New Roman" w:cs="Times New Roman" w:eastAsia="Times New Roman" w:hAnsi="Times New Roman"/>
          <w:b w:val="1"/>
          <w:bCs w:val="1"/>
          <w:rtl w:val="0"/>
        </w:rPr>
        <w:t xml:space="preserve">5.4 Direcții viitoare de dezvoltare</w:t>
      </w:r>
    </w:p>
    <w:p w:rsidR="00000000" w:rsidDel="00000000" w:rsidP="00000000" w:rsidRDefault="00000000" w:rsidRPr="00000000" w14:paraId="000002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Rezultatele obținute, cu tot cu limitările lor, trasează câteva direcții clare de dezvoltare pe care cercetări viitoare le pot urma.</w:t>
      </w:r>
    </w:p>
    <w:p w:rsidR="00000000" w:rsidDel="00000000" w:rsidP="00000000" w:rsidRDefault="00000000" w:rsidRPr="00000000" w14:paraId="000002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Prima și probabil cea mai impactantă direcție este îmbogățirea setului de variabile cu date externe. Corelarea profilelor competențiale din ESCO cu date de salarizare (disponibile de la INS sau Eurostat), cerere de competențe din anunțuri de angajare sau grade de digitalizare sectoriale ar putea transforma un model cu R²≈0.2 într-unul cu performanțe semnificativ mai robuste.</w:t>
      </w:r>
    </w:p>
    <w:p w:rsidR="00000000" w:rsidDel="00000000" w:rsidP="00000000" w:rsidRDefault="00000000" w:rsidRPr="00000000" w14:paraId="000002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Bessen (2019) a arătat că cererea de competențe măsurată din anunțuri de angajare este unul dintre cei mai buni predictori pentru adoptarea tehnologică la nivel de ocupație. Integrarea unor astfel de date în modelul de față ar reprezenta un salt calitativ față de abordarea actuală bazată exclusiv pe structuri statice de competențe.</w:t>
      </w:r>
    </w:p>
    <w:p w:rsidR="00000000" w:rsidDel="00000000" w:rsidP="00000000" w:rsidRDefault="00000000" w:rsidRPr="00000000" w14:paraId="000002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doua direcție este compararea sistematică a algoritmilor. Deși LightGBM s-a comportat bine, nu există garanții că este optim pentru această problemă. XGBoost, CatBoost sau chiar modele mai simple cu regularizare mai agresivă ar putea oferi un echilibru mai bun între bias și varianță — tocmai ceea ce modelul actual pare să aibă dificultăți să obțină.</w:t>
      </w:r>
    </w:p>
    <w:p w:rsidR="00000000" w:rsidDel="00000000" w:rsidP="00000000" w:rsidRDefault="00000000" w:rsidRPr="00000000" w14:paraId="000002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Compararea mai multor algoritmi ar putea oferi o perspectivă mai clară asupra modelului optim pentru această problemă.</w:t>
      </w:r>
    </w:p>
    <w:p w:rsidR="00000000" w:rsidDel="00000000" w:rsidP="00000000" w:rsidRDefault="00000000" w:rsidRPr="00000000" w14:paraId="000002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treia direcție — și poate cea cu cel mai mare impact practic — este îmbunătățirea mapării COR–ESCO.</w:t>
      </w:r>
    </w:p>
    <w:p w:rsidR="00000000" w:rsidDel="00000000" w:rsidP="00000000" w:rsidRDefault="00000000" w:rsidRPr="00000000" w14:paraId="000002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Tehnicile moderne de NLP, cum ar fi sentence embeddings (SBERT, multilingual BERT), pot identifica ocupații echivalente semantic chiar și atunci când denumirile textuale diferă semnificativ. O mapare bazată pe reprezentări semantice, validate parțial manual, ar putea crește rata de acoperire la 60–80% cu o rată de eroare controlată.</w:t>
      </w:r>
    </w:p>
    <w:p w:rsidR="00000000" w:rsidDel="00000000" w:rsidP="00000000" w:rsidRDefault="00000000" w:rsidRPr="00000000" w14:paraId="000002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 a patra direcție este analiza sectorială diferențiată.</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Modelul curent tratează toate ocupațiile uniform, indiferent de sectorul în care se exercită. O analiză separată pe sectoare (IT, sănătate, industrie, servicii publice) ar permite calibrări mai fine și ar putea evidenția cum dinamicile sectoriale modulează riscul structural estimat din profilul de competențe.</w:t>
      </w:r>
    </w:p>
    <w:p w:rsidR="00000000" w:rsidDel="00000000" w:rsidP="00000000" w:rsidRDefault="00000000" w:rsidRPr="00000000" w14:paraId="000002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aplicația Streamlit dezvoltată poate fi extinsă prin integrarea unor funcționalități suplimentare, precum filtre avansate, comparații între ocupații și simulări predictive.</w:t>
      </w:r>
    </w:p>
    <w:p w:rsidR="00000000" w:rsidDel="00000000" w:rsidP="00000000" w:rsidRDefault="00000000" w:rsidRPr="00000000" w14:paraId="000002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ng22k8t91vbh" w:id="71"/>
      <w:bookmarkEnd w:id="71"/>
      <w:r w:rsidDel="00000000" w:rsidR="00000000" w:rsidRPr="00000000">
        <w:rPr>
          <w:rFonts w:ascii="Times New Roman" w:cs="Times New Roman" w:eastAsia="Times New Roman" w:hAnsi="Times New Roman"/>
          <w:b w:val="1"/>
          <w:bCs w:val="1"/>
          <w:rtl w:val="0"/>
        </w:rPr>
        <w:t xml:space="preserve">5.5 Concluzia finală</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Trăim într-un moment în care întrebarea nu mai este dacă automatizarea va schimba piața muncii, ci cât de repede, în ce sectoare și cu ce consecințe distributive. Cercetarea de față nu pretinde să răspundă la aceste întrebări mari — dar poate contribui la o parte din infrastructura metodologică necesară pentru a le aborda în mod sistematic.</w:t>
      </w:r>
    </w:p>
    <w:p w:rsidR="00000000" w:rsidDel="00000000" w:rsidP="00000000" w:rsidRDefault="00000000" w:rsidRPr="00000000" w14:paraId="000002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Instrumentele de estimare a riscului ocupațional — chiar și cele cu limitări metodologice evidente — pot servi ca punct de plecare pentru dialog între cercetători, factori de decizie și practicieni ai pieței muncii, cu condiția ca limitele să fie comunicate transparent.</w:t>
      </w:r>
    </w:p>
    <w:p w:rsidR="00000000" w:rsidDel="00000000" w:rsidP="00000000" w:rsidRDefault="00000000" w:rsidRPr="00000000" w14:paraId="000002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Ceea ce această lucrare a demonstrat concret este că datele structurale din ESCO conțin semnale suficiente pentru a construi un sistem funcțional — nu perfect, dar funcțional — de estimare a riscului ocupațional. Un scor de automatizare bazat pe competențe nu este un substitut pentru o analiză economică completă, dar este mai bine decât absența oricărui instrument.</w:t>
      </w:r>
    </w:p>
    <w:p w:rsidR="00000000" w:rsidDel="00000000" w:rsidP="00000000" w:rsidRDefault="00000000" w:rsidRPr="00000000" w14:paraId="000002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Combinând ESCO, LightGBM și SHAP într-un pipeline reproductibil, disponibil public pe GitHub, lucrarea pune bazele pentru cercetări iterative care pot îmbunătăți treptat precizia și acoperirea estimărilor.</w:t>
      </w:r>
    </w:p>
    <w:p w:rsidR="00000000" w:rsidDel="00000000" w:rsidP="00000000" w:rsidRDefault="00000000" w:rsidRPr="00000000" w14:paraId="000002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Limitările metodologice sunt reale și nu trebuie minimizate. Dar potențialul abordării este la fel de real: cu date mai bogate, o mapare mai precisă și o validare externă adecvată, un sistem similar ar putea deveni un instrument valoros pentru analiza pieței muncii românești.</w:t>
      </w:r>
    </w:p>
    <w:p w:rsidR="00000000" w:rsidDel="00000000" w:rsidP="00000000" w:rsidRDefault="00000000" w:rsidRPr="00000000" w14:paraId="000002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Sper că această lucrare poate servi nu ca un răspuns definitiv la întrebările privind automatizarea ocupațională în România, ci ca o primă aproximare utilă și ca o bază de pornire pentru cercetări viitoare mai complete.</w:t>
      </w:r>
    </w:p>
    <w:p w:rsidR="00000000" w:rsidDel="00000000" w:rsidP="00000000" w:rsidRDefault="00000000" w:rsidRPr="00000000" w14:paraId="00000217">
      <w:pPr>
        <w:pStyle w:val="Heading1"/>
        <w:keepNext w:val="0"/>
        <w:keepLines w:val="0"/>
        <w:spacing w:before="480" w:lineRule="auto"/>
        <w:rPr>
          <w:rFonts w:ascii="Times New Roman" w:cs="Times New Roman" w:eastAsia="Times New Roman" w:hAnsi="Times New Roman"/>
          <w:b w:val="1"/>
          <w:bCs w:val="1"/>
          <w:color w:val="ff0000"/>
          <w:sz w:val="44"/>
          <w:szCs w:val="44"/>
        </w:rPr>
      </w:pPr>
      <w:bookmarkStart w:colFirst="0" w:colLast="0" w:name="_nsgfd2n5lj88" w:id="72"/>
      <w:bookmarkEnd w:id="72"/>
      <w:r w:rsidDel="00000000" w:rsidR="00000000" w:rsidRPr="00000000">
        <w:rPr>
          <w:rFonts w:ascii="Times New Roman" w:cs="Times New Roman" w:eastAsia="Times New Roman" w:hAnsi="Times New Roman"/>
          <w:b w:val="1"/>
          <w:bCs w:val="1"/>
          <w:color w:val="ff0000"/>
          <w:sz w:val="44"/>
          <w:szCs w:val="44"/>
          <w:rtl w:val="0"/>
        </w:rPr>
        <w:t xml:space="preserve">6. Bibliografie și Glosar al termenilor-cheie folosiți în lucrare: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lbefe2t2soc" w:id="73"/>
      <w:bookmarkEnd w:id="73"/>
      <w:r w:rsidDel="00000000" w:rsidR="00000000" w:rsidRPr="00000000">
        <w:rPr>
          <w:rFonts w:ascii="Times New Roman" w:cs="Times New Roman" w:eastAsia="Times New Roman" w:hAnsi="Times New Roman"/>
          <w:b w:val="1"/>
          <w:bCs w:val="1"/>
          <w:sz w:val="32"/>
          <w:szCs w:val="32"/>
          <w:rtl w:val="0"/>
        </w:rPr>
        <w:t xml:space="preserve">6.1 Bibliografie</w:t>
      </w:r>
    </w:p>
    <w:p w:rsidR="00000000" w:rsidDel="00000000" w:rsidP="00000000" w:rsidRDefault="00000000" w:rsidRPr="00000000" w14:paraId="000002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78rl2d1gj99" w:id="74"/>
      <w:bookmarkEnd w:id="74"/>
      <w:r w:rsidDel="00000000" w:rsidR="00000000" w:rsidRPr="00000000">
        <w:rPr>
          <w:rFonts w:ascii="Times New Roman" w:cs="Times New Roman" w:eastAsia="Times New Roman" w:hAnsi="Times New Roman"/>
          <w:b w:val="1"/>
          <w:bCs w:val="1"/>
          <w:sz w:val="28"/>
          <w:szCs w:val="28"/>
          <w:rtl w:val="0"/>
        </w:rPr>
        <w:t xml:space="preserve">Referințe bibliografice</w:t>
      </w:r>
    </w:p>
    <w:p w:rsidR="00000000" w:rsidDel="00000000" w:rsidP="00000000" w:rsidRDefault="00000000" w:rsidRPr="00000000" w14:paraId="000002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Acemoglu, D., &amp; Restrepo, P. (2020). Robots and jobs: Evidence from US labor markets. </w:t>
      </w:r>
      <w:r w:rsidDel="00000000" w:rsidR="00000000" w:rsidRPr="00000000">
        <w:rPr>
          <w:rFonts w:ascii="Times New Roman" w:cs="Times New Roman" w:eastAsia="Times New Roman" w:hAnsi="Times New Roman"/>
          <w:i w:val="1"/>
          <w:iCs w:val="1"/>
          <w:sz w:val="24"/>
          <w:szCs w:val="24"/>
          <w:rtl w:val="0"/>
        </w:rPr>
        <w:t xml:space="preserve">Journal of Political Economy, 128</w:t>
      </w:r>
      <w:r w:rsidDel="00000000" w:rsidR="00000000" w:rsidRPr="00000000">
        <w:rPr>
          <w:rFonts w:ascii="Times New Roman" w:cs="Times New Roman" w:eastAsia="Times New Roman" w:hAnsi="Times New Roman"/>
          <w:sz w:val="24"/>
          <w:szCs w:val="24"/>
          <w:rtl w:val="0"/>
        </w:rPr>
        <w:t xml:space="preserve">(6), 2188–2244.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https://doi.org/10.1086/705716</w:t>
        </w:r>
      </w:hyperlink>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Arntz, M., Gregory, T., &amp; Zierahn, U. (2016). The risk of automation for jobs in OECD countries: A comparative analysis. </w:t>
      </w:r>
      <w:r w:rsidDel="00000000" w:rsidR="00000000" w:rsidRPr="00000000">
        <w:rPr>
          <w:rFonts w:ascii="Times New Roman" w:cs="Times New Roman" w:eastAsia="Times New Roman" w:hAnsi="Times New Roman"/>
          <w:i w:val="1"/>
          <w:iCs w:val="1"/>
          <w:sz w:val="24"/>
          <w:szCs w:val="24"/>
          <w:rtl w:val="0"/>
        </w:rPr>
        <w:t xml:space="preserve">OECD Social, Employment and Migration Working Papers, No. 189</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https://doi.org/10.1787/5jlz9h56dvq7-en</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Bessen, J. (2019). AI and jobs: The role of demand. </w:t>
      </w:r>
      <w:r w:rsidDel="00000000" w:rsidR="00000000" w:rsidRPr="00000000">
        <w:rPr>
          <w:rFonts w:ascii="Times New Roman" w:cs="Times New Roman" w:eastAsia="Times New Roman" w:hAnsi="Times New Roman"/>
          <w:i w:val="1"/>
          <w:iCs w:val="1"/>
          <w:sz w:val="24"/>
          <w:szCs w:val="24"/>
          <w:rtl w:val="0"/>
        </w:rPr>
        <w:t xml:space="preserve">NBER Working Paper No. 24235</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https://doi.org/10.3386/w24235</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Brynjolfsson, E., &amp; McAfee, A. (2014). </w:t>
      </w:r>
      <w:r w:rsidDel="00000000" w:rsidR="00000000" w:rsidRPr="00000000">
        <w:rPr>
          <w:rFonts w:ascii="Times New Roman" w:cs="Times New Roman" w:eastAsia="Times New Roman" w:hAnsi="Times New Roman"/>
          <w:i w:val="1"/>
          <w:iCs w:val="1"/>
          <w:sz w:val="24"/>
          <w:szCs w:val="24"/>
          <w:rtl w:val="0"/>
        </w:rPr>
        <w:t xml:space="preserve">The second machine age: Work, progress, and prosperity in a time of brilliant technologies</w:t>
      </w:r>
      <w:r w:rsidDel="00000000" w:rsidR="00000000" w:rsidRPr="00000000">
        <w:rPr>
          <w:rFonts w:ascii="Times New Roman" w:cs="Times New Roman" w:eastAsia="Times New Roman" w:hAnsi="Times New Roman"/>
          <w:sz w:val="24"/>
          <w:szCs w:val="24"/>
          <w:rtl w:val="0"/>
        </w:rPr>
        <w:t xml:space="preserve">. W. W. Norton &amp; Company.</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w:t>
      </w:r>
      <w:r w:rsidDel="00000000" w:rsidR="00000000" w:rsidRPr="00000000">
        <w:rPr>
          <w:rFonts w:ascii="Times New Roman" w:cs="Times New Roman" w:eastAsia="Times New Roman" w:hAnsi="Times New Roman"/>
          <w:i w:val="1"/>
          <w:iCs w:val="1"/>
          <w:sz w:val="24"/>
          <w:szCs w:val="24"/>
          <w:rtl w:val="0"/>
        </w:rPr>
        <w:t xml:space="preserve">ESCO – European Skills, Competences, Qualifications and Occupations</w:t>
      </w:r>
      <w:r w:rsidDel="00000000" w:rsidR="00000000" w:rsidRPr="00000000">
        <w:rPr>
          <w:rFonts w:ascii="Times New Roman" w:cs="Times New Roman" w:eastAsia="Times New Roman" w:hAnsi="Times New Roman"/>
          <w:sz w:val="24"/>
          <w:szCs w:val="24"/>
          <w:rtl w:val="0"/>
        </w:rPr>
        <w:t xml:space="preserve">. Publications Office of the European Union.</w:t>
      </w:r>
    </w:p>
    <w:p w:rsidR="00000000" w:rsidDel="00000000" w:rsidP="00000000" w:rsidRDefault="00000000" w:rsidRPr="00000000" w14:paraId="000002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Eurostat. (2023). </w:t>
      </w:r>
      <w:r w:rsidDel="00000000" w:rsidR="00000000" w:rsidRPr="00000000">
        <w:rPr>
          <w:rFonts w:ascii="Times New Roman" w:cs="Times New Roman" w:eastAsia="Times New Roman" w:hAnsi="Times New Roman"/>
          <w:i w:val="1"/>
          <w:iCs w:val="1"/>
          <w:sz w:val="24"/>
          <w:szCs w:val="24"/>
          <w:rtl w:val="0"/>
        </w:rPr>
        <w:t xml:space="preserve">Labour market statistics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https://ec.europa.eu/eurostat</w:t>
        </w:r>
      </w:hyperlink>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 114</w:t>
      </w:r>
      <w:r w:rsidDel="00000000" w:rsidR="00000000" w:rsidRPr="00000000">
        <w:rPr>
          <w:rFonts w:ascii="Times New Roman" w:cs="Times New Roman" w:eastAsia="Times New Roman" w:hAnsi="Times New Roman"/>
          <w:sz w:val="24"/>
          <w:szCs w:val="24"/>
          <w:rtl w:val="0"/>
        </w:rPr>
        <w:t xml:space="preserve">, 254–280.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Labour Organization. (2018). </w:t>
      </w:r>
      <w:r w:rsidDel="00000000" w:rsidR="00000000" w:rsidRPr="00000000">
        <w:rPr>
          <w:rFonts w:ascii="Times New Roman" w:cs="Times New Roman" w:eastAsia="Times New Roman" w:hAnsi="Times New Roman"/>
          <w:i w:val="1"/>
          <w:iCs w:val="1"/>
          <w:sz w:val="24"/>
          <w:szCs w:val="24"/>
          <w:rtl w:val="0"/>
        </w:rPr>
        <w:t xml:space="preserve">Automation, skills use and training</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https://www.ilo.org</w:t>
        </w:r>
      </w:hyperlink>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Global Institute. (2017). </w:t>
      </w:r>
      <w:r w:rsidDel="00000000" w:rsidR="00000000" w:rsidRPr="00000000">
        <w:rPr>
          <w:rFonts w:ascii="Times New Roman" w:cs="Times New Roman" w:eastAsia="Times New Roman" w:hAnsi="Times New Roman"/>
          <w:i w:val="1"/>
          <w:iCs w:val="1"/>
          <w:sz w:val="24"/>
          <w:szCs w:val="24"/>
          <w:rtl w:val="0"/>
        </w:rPr>
        <w:t xml:space="preserve">A future that works: Automation, employment, and productivity</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https://www.mckinsey.com</w:t>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NET Resource Center. (2023). ONET database</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https://www.onetcenter.org</w:t>
        </w:r>
      </w:hyperlink>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(2023). </w:t>
      </w:r>
      <w:r w:rsidDel="00000000" w:rsidR="00000000" w:rsidRPr="00000000">
        <w:rPr>
          <w:rFonts w:ascii="Times New Roman" w:cs="Times New Roman" w:eastAsia="Times New Roman" w:hAnsi="Times New Roman"/>
          <w:i w:val="1"/>
          <w:iCs w:val="1"/>
          <w:sz w:val="24"/>
          <w:szCs w:val="24"/>
          <w:rtl w:val="0"/>
        </w:rPr>
        <w:t xml:space="preserve">Employment Outlook 2023: Artificial Intelligence and the Labour Market</w:t>
      </w:r>
      <w:r w:rsidDel="00000000" w:rsidR="00000000" w:rsidRPr="00000000">
        <w:rPr>
          <w:rFonts w:ascii="Times New Roman" w:cs="Times New Roman" w:eastAsia="Times New Roman" w:hAnsi="Times New Roman"/>
          <w:sz w:val="24"/>
          <w:szCs w:val="24"/>
          <w:rtl w:val="0"/>
        </w:rPr>
        <w:t xml:space="preserve">. OECD Publishing.</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(2021).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Schumpeter, J. A. (1942). </w:t>
      </w:r>
      <w:r w:rsidDel="00000000" w:rsidR="00000000" w:rsidRPr="00000000">
        <w:rPr>
          <w:rFonts w:ascii="Times New Roman" w:cs="Times New Roman" w:eastAsia="Times New Roman" w:hAnsi="Times New Roman"/>
          <w:i w:val="1"/>
          <w:iCs w:val="1"/>
          <w:sz w:val="24"/>
          <w:szCs w:val="24"/>
          <w:rtl w:val="0"/>
        </w:rPr>
        <w:t xml:space="preserve">Capitalism, socialism and democracy</w:t>
      </w:r>
      <w:r w:rsidDel="00000000" w:rsidR="00000000" w:rsidRPr="00000000">
        <w:rPr>
          <w:rFonts w:ascii="Times New Roman" w:cs="Times New Roman" w:eastAsia="Times New Roman" w:hAnsi="Times New Roman"/>
          <w:sz w:val="24"/>
          <w:szCs w:val="24"/>
          <w:rtl w:val="0"/>
        </w:rPr>
        <w:t xml:space="preserve">. Harper &amp; Brothers.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Rossum, G., &amp; Drake, F. L. (2009). </w:t>
      </w:r>
      <w:r w:rsidDel="00000000" w:rsidR="00000000" w:rsidRPr="00000000">
        <w:rPr>
          <w:rFonts w:ascii="Times New Roman" w:cs="Times New Roman" w:eastAsia="Times New Roman" w:hAnsi="Times New Roman"/>
          <w:i w:val="1"/>
          <w:iCs w:val="1"/>
          <w:sz w:val="24"/>
          <w:szCs w:val="24"/>
          <w:rtl w:val="0"/>
        </w:rPr>
        <w:t xml:space="preserve">Python 3 Reference Manual</w:t>
      </w:r>
      <w:r w:rsidDel="00000000" w:rsidR="00000000" w:rsidRPr="00000000">
        <w:rPr>
          <w:rFonts w:ascii="Times New Roman" w:cs="Times New Roman" w:eastAsia="Times New Roman" w:hAnsi="Times New Roman"/>
          <w:sz w:val="24"/>
          <w:szCs w:val="24"/>
          <w:rtl w:val="0"/>
        </w:rPr>
        <w:t xml:space="preserve">. CreateSpace.</w:t>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World Economic Forum. (2020). </w:t>
      </w:r>
      <w:r w:rsidDel="00000000" w:rsidR="00000000" w:rsidRPr="00000000">
        <w:rPr>
          <w:rFonts w:ascii="Times New Roman" w:cs="Times New Roman" w:eastAsia="Times New Roman" w:hAnsi="Times New Roman"/>
          <w:i w:val="1"/>
          <w:iCs w:val="1"/>
          <w:sz w:val="24"/>
          <w:szCs w:val="24"/>
          <w:rtl w:val="0"/>
        </w:rPr>
        <w:t xml:space="preserve">The future of jobs report 2020</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https://www.weforum.org/reports/the-future-of-jobs-report-2020</w:t>
        </w:r>
      </w:hyperlink>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hge71nop4aa" w:id="75"/>
      <w:bookmarkEnd w:id="75"/>
      <w:r w:rsidDel="00000000" w:rsidR="00000000" w:rsidRPr="00000000">
        <w:rPr>
          <w:rFonts w:ascii="Times New Roman" w:cs="Times New Roman" w:eastAsia="Times New Roman" w:hAnsi="Times New Roman"/>
          <w:b w:val="1"/>
          <w:bCs w:val="1"/>
          <w:sz w:val="28"/>
          <w:szCs w:val="28"/>
          <w:rtl w:val="0"/>
        </w:rPr>
        <w:t xml:space="preserve">Surse utilizate în cadrul implementării practice</w:t>
      </w:r>
    </w:p>
    <w:p w:rsidR="00000000" w:rsidDel="00000000" w:rsidP="00000000" w:rsidRDefault="00000000" w:rsidRPr="00000000" w14:paraId="0000022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 utilizat pentru extragerea ocupațiilor și competențelor.</w:t>
      </w:r>
    </w:p>
    <w:p w:rsidR="00000000" w:rsidDel="00000000" w:rsidP="00000000" w:rsidRDefault="00000000" w:rsidRPr="00000000" w14:paraId="000002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(Clasificarea Ocupațiilor din România) – utilizată pentru aplicarea modelului la nivel național.</w:t>
      </w:r>
    </w:p>
    <w:p w:rsidR="00000000" w:rsidDel="00000000" w:rsidP="00000000" w:rsidRDefault="00000000" w:rsidRPr="00000000" w14:paraId="000002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 algoritm utilizat pentru regresie și estimarea scorului de automatizare.</w:t>
      </w:r>
    </w:p>
    <w:p w:rsidR="00000000" w:rsidDel="00000000" w:rsidP="00000000" w:rsidRDefault="00000000" w:rsidRPr="00000000" w14:paraId="000002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 utilizat pentru interpretabilitatea modelului.</w:t>
      </w:r>
    </w:p>
    <w:p w:rsidR="00000000" w:rsidDel="00000000" w:rsidP="00000000" w:rsidRDefault="00000000" w:rsidRPr="00000000" w14:paraId="000002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limbaj de programare utilizat pentru implementarea modelului.</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procesarea și manipularea datelor.</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 operații numerice și transformări.</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 evaluarea performanței și procesarea datelor.</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 dezvoltarea aplicației interactive pentru vizualizarea rezultatelor.</w:t>
      </w:r>
    </w:p>
    <w:p w:rsidR="00000000" w:rsidDel="00000000" w:rsidP="00000000" w:rsidRDefault="00000000" w:rsidRPr="00000000" w14:paraId="0000023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Matching – asocierea ocupațiilor COR cu ocupațiile ESCO.</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ind w:left="0"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techfore.2016.08.019" TargetMode="External"/><Relationship Id="rId22" Type="http://schemas.openxmlformats.org/officeDocument/2006/relationships/hyperlink" Target="https://www.ilo.org" TargetMode="External"/><Relationship Id="rId21" Type="http://schemas.openxmlformats.org/officeDocument/2006/relationships/hyperlink" Target="https://doi.org/10.1016/j.techfore.2016.08.019" TargetMode="External"/><Relationship Id="rId24" Type="http://schemas.openxmlformats.org/officeDocument/2006/relationships/hyperlink" Target="https://www.mckinsey.com" TargetMode="External"/><Relationship Id="rId23" Type="http://schemas.openxmlformats.org/officeDocument/2006/relationships/hyperlink" Target="https://www.il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onetcenter.org" TargetMode="External"/><Relationship Id="rId25" Type="http://schemas.openxmlformats.org/officeDocument/2006/relationships/hyperlink" Target="https://www.mckinsey.com" TargetMode="External"/><Relationship Id="rId28" Type="http://schemas.openxmlformats.org/officeDocument/2006/relationships/hyperlink" Target="https://www.weforum.org/reports/the-future-of-jobs-report-2020" TargetMode="External"/><Relationship Id="rId27" Type="http://schemas.openxmlformats.org/officeDocument/2006/relationships/hyperlink" Target="https://www.onetcenter.or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weforum.org/reports/the-future-of-jobs-report-2020" TargetMode="Externa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doi.org/10.1086/705716" TargetMode="External"/><Relationship Id="rId12" Type="http://schemas.openxmlformats.org/officeDocument/2006/relationships/hyperlink" Target="https://doi.org/10.1086/705716" TargetMode="External"/><Relationship Id="rId15" Type="http://schemas.openxmlformats.org/officeDocument/2006/relationships/hyperlink" Target="https://doi.org/10.1787/5jlz9h56dvq7-en" TargetMode="External"/><Relationship Id="rId14" Type="http://schemas.openxmlformats.org/officeDocument/2006/relationships/hyperlink" Target="https://doi.org/10.1787/5jlz9h56dvq7-en" TargetMode="External"/><Relationship Id="rId17" Type="http://schemas.openxmlformats.org/officeDocument/2006/relationships/hyperlink" Target="https://doi.org/10.3386/w24235" TargetMode="External"/><Relationship Id="rId16" Type="http://schemas.openxmlformats.org/officeDocument/2006/relationships/hyperlink" Target="https://doi.org/10.3386/w24235" TargetMode="External"/><Relationship Id="rId19" Type="http://schemas.openxmlformats.org/officeDocument/2006/relationships/hyperlink" Target="https://ec.europa.eu/eurostat" TargetMode="External"/><Relationship Id="rId18" Type="http://schemas.openxmlformats.org/officeDocument/2006/relationships/hyperlink" Target="https://ec.europa.eu/eurost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