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52"/>
          <w:szCs w:val="52"/>
        </w:rPr>
      </w:pPr>
      <w:bookmarkStart w:colFirst="0" w:colLast="0" w:name="_lpi6xwd6nqtg" w:id="0"/>
      <w:bookmarkEnd w:id="0"/>
      <w:r w:rsidDel="00000000" w:rsidR="00000000" w:rsidRPr="00000000">
        <w:rPr>
          <w:rFonts w:ascii="Times New Roman" w:cs="Times New Roman" w:eastAsia="Times New Roman" w:hAnsi="Times New Roman"/>
          <w:b w:val="1"/>
          <w:bCs w:val="1"/>
          <w:sz w:val="52"/>
          <w:szCs w:val="52"/>
          <w:rtl w:val="0"/>
        </w:rPr>
        <w:t xml:space="preserve">Estimarea probabilității de automatizare a ocupațiilor din România folosind modele de machine learning</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riguj564cqz" w:id="1"/>
      <w:bookmarkEnd w:id="1"/>
      <w:r w:rsidDel="00000000" w:rsidR="00000000" w:rsidRPr="00000000">
        <w:rPr>
          <w:rtl w:val="0"/>
        </w:rPr>
      </w:r>
    </w:p>
    <w:p/>
    <w:p>
      <w:pPr>
        <w:jc w:val="center"/>
      </w:pPr>
      <w:r>
        <w:rPr>
          <w:b/>
        </w:rPr>
        <w:t xml:space="preserve">Abstract</w:t>
      </w:r>
    </w:p>
    <w:p>
      <w:pPr/>
      <w:r>
        <w:rPr/>
        <w:t>Lucrarea de față pornește de la o întrebare simplă, dar cu răspuns dificil: în ce măsură ocupațiile înregistrate oficial în România sunt expuse automatizării, și putem estima acest risc fără să recurgem la evaluări subiective? Plecând de la datele structurale disponibile în sistemul european ESCO, am construit un model predictiv bazat pe algoritmul LightGBM care asociază fiecărei ocupații un scor de automatizare cuprins între 0 și 100. Cele șase variabile folosite — numărul total de competențe, competențele esențiale și opționale, elementele de cunoaștere, indicatorul compozit al competențelor și un indicator structural derivat (automation_score_proxy) — descriu profilul ocupațional prin informații obiective, fără a depinde de judecăți experților. Pe setul de test, modelul obține o eroare medie absolută de 11.03 și un R² de 0.196; cross-validarea 5-fold relevă însă instabilitate semnificativă (R²_CV = −14.21 ± 6.16), ceea ce impune prudență în interpretare. Clasificatorul pe trei niveluri (LOW, MEDIUM, HIGH) atinge 55.26% acuratețe față de un baseline de 53.95% — o marjă mică, dar pozitivă. Prin fuzzy matching cu prag ≥ 80%, 654 de ocupații din COR au primit scoruri de automatizare, cu o distribuție aproximativ egală între LOW (50.5%) și MEDIUM (48.6%). Metodologia este reproductibilă și poate fi extinsă, constituind un punct de plecare pentru analize mai fine ale pieței muncii românești.</w:t>
      </w:r>
    </w:p>
    <w:p>
      <w:pPr/>
      <w:r>
        <w:t xml:space="preserve">Lucrarea include și o componentă experimentală de evaluare aprofundată — denumită AI 2 — bazată pe modelul de limbaj GPT-4o (OpenAI), integrată printr-un mecanism hibrid care combină un scoring determinist derivat din profilul de competențe cu estimările semantice ale modelului de limbaj. Această componentă introduce o distincție conceptuală față de evaluarea tradițională: separarea riscului de înlocuire completă (replacementRisk) de intensitatea impactului AI asupra activităților curente (aiImpactScore). Un profesor, de pildă, poate înregistra replacementRisk scăzut (8/100) — ocupația nu dispare — și aiImpactScore ridicat (65/100), reflectând transformarea substanțială a modului de lucru prin instrumente inteligente. Componenta AI 2 integrează un sistem de colectare automată din surse externe — arXiv, Hugging Face Hub, OpenAlex, bloguri oficiale — cu stocare locală în SQLite și ranking compozit bazat pe relevanță, recență și credibilitate.</w:t>
      </w:r>
    </w:p>
    <w:p>
      <w:pPr/>
      <w:r>
        <w:rPr>
          <w:b/>
        </w:rPr>
        <w:t>Cuvinte-cheie: </w:t>
      </w:r>
      <w:r>
        <w:rPr/>
        <w:t xml:space="preserve">automatizare ocupații, machine learning, LightGBM, ESCO, COR, SHAP, risc ocupațional, piața muncii, clasificare ocupațională</w:t>
      </w:r>
    </w:p>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gacxsuszuuen" w:id="2"/>
      <w:bookmarkEnd w:id="2"/>
      <w:r w:rsidDel="00000000" w:rsidR="00000000" w:rsidRPr="00000000">
        <w:rPr>
          <w:rFonts w:ascii="Times New Roman" w:cs="Times New Roman" w:eastAsia="Times New Roman" w:hAnsi="Times New Roman"/>
          <w:b w:val="1"/>
          <w:bCs w:val="1"/>
          <w:sz w:val="44"/>
          <w:szCs w:val="44"/>
          <w:rtl w:val="0"/>
        </w:rPr>
        <w:t xml:space="preserve">1. Introducere</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rPr>
      </w:pPr>
      <w:bookmarkStart w:colFirst="0" w:colLast="0" w:name="_jzu3zqau823l" w:id="3"/>
      <w:bookmarkEnd w:id="3"/>
      <w:r w:rsidDel="00000000" w:rsidR="00000000" w:rsidRPr="00000000">
        <w:rPr>
          <w:rFonts w:ascii="Times New Roman" w:cs="Times New Roman" w:eastAsia="Times New Roman" w:hAnsi="Times New Roman"/>
          <w:b w:val="1"/>
          <w:bCs w:val="1"/>
          <w:rtl w:val="0"/>
        </w:rPr>
        <w:t xml:space="preserve">1.1 Contextul general al automatizării și al inteligenței artificiale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Transformările aduse de digitalizare pe piața muncii nu mai reprezintă o perspectivă îndepărtată — ele sunt deja vizibile. De la liniile de producție industriale la procesarea documentelor juridice, de la diagnosticul medical asistat de algoritmi la generarea automată a rapoartelor financiare, sistemele bazate pe inteligență artificială au pătruns în domenii pe care, acum un deceniu, le consideram ferite de automatizare. Ceea ce diferențiază valul actual de revoluțiile tehnologice anterioare este că nu mai afectează doar munca fizică repetitivă — ci și o parte semnificativă a muncii cognitive de rutină. Această extindere ridică întrebări legitime despre viitorul multor ocupații și face din estimarea riscului de automatizare un subiect de cercetare cu implicații practice directe.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Impactul nu este uniform, și nici nu ar putea fi. Un operator de introducere a datelor și un asistent social lucrează ambii cu informații și cu oameni, dar profilul de risc al fiecăruia este complet diferit. Primul execută sarcini bine definite, repetabile și independente de context — exact tipul de activitate pe care un algoritm îl poate prelua eficient. Al doilea intervine în situații ambigue, construiește relații de încredere pe termen lung și adaptează constant abordarea la fiecare persoană în parte — capacități pe care sistemele actuale de AI nu le pot replica în mod credibil. Tocmai această diferențiere, uneori subtilă, dintre tipurile de sarcini a transformat analiza riscului ocupațional într-un domeniu activ de cercetare, cu relevanță directă pentru politicile de educație și reconversie profesională.</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rPr>
      </w:pPr>
      <w:bookmarkStart w:colFirst="0" w:colLast="0" w:name="_h9gw6hyv5x9t" w:id="4"/>
      <w:bookmarkEnd w:id="4"/>
      <w:r w:rsidDel="00000000" w:rsidR="00000000" w:rsidRPr="00000000">
        <w:rPr>
          <w:rFonts w:ascii="Times New Roman" w:cs="Times New Roman" w:eastAsia="Times New Roman" w:hAnsi="Times New Roman"/>
          <w:b w:val="1"/>
          <w:bCs w:val="1"/>
          <w:rtl w:val="0"/>
        </w:rPr>
        <w:t xml:space="preserve">1.2 Problema de cercetare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Literatura academică pe tema automatizării ocupaționale s-a dezvoltat rapid, în special după studiul de referință al lui Frey și Osborne (2017), care a estimat că aproape jumătate din ocupațiile americane sunt tehnic automatizabile. Problema este că marea majoritate a acestor cercetări utilizează clasificări ocupaționale americane (O*NET, SOC) sau europene agregate, care nu se suprapun bine cu realitățile locale. Încercarea de a aplica direct aceste estimări pentru ocupațiile din Clasificarea Ocupațiilor din România se lovește imediat de o lipsă de corespondență — granularitatea diferă, denumirile ocupaționale nu coincid, iar contextul economic în care se desfășoară activitățile poate fi semnificativ diferit.</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 cunoștința autorului, nu există în prezent un instrument funcțional care să estimeze automat riscul de automatizare pentru ocupațiile din COR pe baza unui model predictiv adaptat la datele disponibile în România. Acest gol are consecințe practice: fără astfel de estimări locale, orice strategie de reconversie profesională sau ajustare curriculară riscă să se bazeze pe generalizări importate din contexte cu structuri ale pieței muncii foarte diferite față de cea românească.</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qflpqqzzh0p" w:id="5"/>
      <w:bookmarkEnd w:id="5"/>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xhofu5p1a86" w:id="6"/>
      <w:bookmarkEnd w:id="6"/>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rPr>
      </w:pPr>
      <w:bookmarkStart w:colFirst="0" w:colLast="0" w:name="_2207xlu1w8ju" w:id="7"/>
      <w:bookmarkEnd w:id="7"/>
      <w:r w:rsidDel="00000000" w:rsidR="00000000" w:rsidRPr="00000000">
        <w:rPr>
          <w:rFonts w:ascii="Times New Roman" w:cs="Times New Roman" w:eastAsia="Times New Roman" w:hAnsi="Times New Roman"/>
          <w:b w:val="1"/>
          <w:bCs w:val="1"/>
          <w:rtl w:val="0"/>
        </w:rPr>
        <w:t xml:space="preserve">1.3 Scopul și obiectivele lucrării</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Pornind de la aceste premise, lucrarea de față și-a propus să construiască un instrument practic de estimare a riscului de automatizare adaptat la contextul românesc. Nu este vorba despre o predicție certă a viitorului pieței muncii — și nici nu ar putea fi, date fiind incertitudinile inerente ale procesului de adoptare tehnologică — ci despre un model care traduce structura competențelor ocupaționale dintr-un format descriptiv într-un scor numeric orientativ de vulnerabilitate.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atingerea acestui scop au fost stabilite următoarele obiective:</w:t>
      </w:r>
    </w:p>
    <w:p w:rsidR="00000000" w:rsidDel="00000000" w:rsidP="00000000" w:rsidRDefault="00000000" w:rsidRPr="00000000" w14:paraId="0000001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datelor ocupaționale din sistemul ESCO pentru construirea unui model predictiv;</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relației dintre competențe și gradul de automatizare;</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estimarea unui scor numeric de automatizare pentru fiecare ocupație;</w:t>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ocupațiilor în funcție de nivelul de risc;</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transferul modelului asupra ocupațiilor din România prin asocierea COR–ESCO;</w:t>
      </w:r>
    </w:p>
    <w:p w:rsidR="00000000" w:rsidDel="00000000" w:rsidP="00000000" w:rsidRDefault="00000000" w:rsidRPr="00000000" w14:paraId="0000001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comportamentului modelului prin metode de explainability.</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d1ivbnkhor6" w:id="8"/>
      <w:bookmarkEnd w:id="8"/>
      <w:r w:rsidDel="00000000" w:rsidR="00000000" w:rsidRPr="00000000">
        <w:rPr>
          <w:rFonts w:ascii="Times New Roman" w:cs="Times New Roman" w:eastAsia="Times New Roman" w:hAnsi="Times New Roman"/>
          <w:b w:val="1"/>
          <w:bCs w:val="1"/>
          <w:sz w:val="28"/>
          <w:szCs w:val="28"/>
          <w:rtl w:val="0"/>
        </w:rPr>
        <w:t xml:space="preserve">1.4 Datele utilizate în cercetare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dezvoltarea modelului au fost utilizate date provenite din sistemul european ESCO (European Skills, Competences, Qualifications and Occupations), o bază de date care conține informații standardizate despre ocupații și competențe. În cadrul cercetării au fost analizate aproximativ 3000 de ocupații, fiecare fiind descrisă printr-un set de caracteristici relevante.</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Modelul a fost construit utilizând șase variabile principale:</w:t>
      </w:r>
    </w:p>
    <w:p w:rsidR="00000000" w:rsidDel="00000000" w:rsidP="00000000" w:rsidRDefault="00000000" w:rsidRPr="00000000" w14:paraId="0000001B">
      <w:pPr>
        <w:numPr>
          <w:ilvl w:val="0"/>
          <w:numId w:val="6"/>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total_skill</w:t>
      </w:r>
      <w:r w:rsidDel="00000000" w:rsidR="00000000" w:rsidRPr="00000000">
        <w:rPr>
          <w:rFonts w:ascii="Times New Roman" w:cs="Times New Roman" w:eastAsia="Times New Roman" w:hAnsi="Times New Roman"/>
          <w:sz w:val="24"/>
          <w:szCs w:val="24"/>
          <w:rtl w:val="0"/>
        </w:rPr>
        <w:t xml:space="preserve"> – numărul total de competențe asociate unei ocupații;</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essential</w:t>
      </w:r>
      <w:r w:rsidDel="00000000" w:rsidR="00000000" w:rsidRPr="00000000">
        <w:rPr>
          <w:rFonts w:ascii="Times New Roman" w:cs="Times New Roman" w:eastAsia="Times New Roman" w:hAnsi="Times New Roman"/>
          <w:sz w:val="24"/>
          <w:szCs w:val="24"/>
          <w:rtl w:val="0"/>
        </w:rPr>
        <w:t xml:space="preserve"> – numărul competențelor esențiale;</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 numărul competențelor opționale;</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knowledge</w:t>
      </w:r>
      <w:r w:rsidDel="00000000" w:rsidR="00000000" w:rsidRPr="00000000">
        <w:rPr>
          <w:rFonts w:ascii="Times New Roman" w:cs="Times New Roman" w:eastAsia="Times New Roman" w:hAnsi="Times New Roman"/>
          <w:sz w:val="24"/>
          <w:szCs w:val="24"/>
          <w:rtl w:val="0"/>
        </w:rPr>
        <w:t xml:space="preserve"> – componentele de cunoaștere asociate ocupației;</w:t>
      </w:r>
    </w:p>
    <w:p w:rsidR="00000000" w:rsidDel="00000000" w:rsidP="00000000" w:rsidRDefault="00000000" w:rsidRPr="00000000" w14:paraId="0000001F">
      <w:pPr>
        <w:numPr>
          <w:ilvl w:val="0"/>
          <w:numId w:val="6"/>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skill_com – indicator compozit care descrie structura competențelor;</w:t>
        <w:br/>
        <w:t>automation_score_proxy – indicator structural al proporției competențelor rutinizabile: (optional/total · 0.5 + knowledge/total · 0.5) · 100.</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Aceste caracteristici au fost selectate deoarece oferă o reprezentare numerică a complexității ocupaționale și permit compararea profesiilor din punct de vedere al structurii competențelor.</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rPr>
      </w:pPr>
      <w:bookmarkStart w:colFirst="0" w:colLast="0" w:name="_ugoueh6n7932" w:id="9"/>
      <w:bookmarkEnd w:id="9"/>
      <w:r w:rsidDel="00000000" w:rsidR="00000000" w:rsidRPr="00000000">
        <w:rPr>
          <w:rFonts w:ascii="Times New Roman" w:cs="Times New Roman" w:eastAsia="Times New Roman" w:hAnsi="Times New Roman"/>
          <w:b w:val="1"/>
          <w:bCs w:val="1"/>
          <w:rtl w:val="0"/>
        </w:rPr>
        <w:t xml:space="preserve">1.5 Metodologia utilizată</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estimarea riscului de automatizare a fost ales algoritmul LightGBM, un model de machine learning bazat pe gradient boosting, cunoscut pentru performanța ridicată în analiza datelor tabulare.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a fost implementat sub formă de regresie și a generat un scor de automatizare cu valori între 0 și 100. Ulterior, pentru o interpretare mai clară a rezultatelor, scorurile au fost grupate în trei categorii:</w:t>
      </w:r>
    </w:p>
    <w:p w:rsidR="00000000" w:rsidDel="00000000" w:rsidP="00000000" w:rsidRDefault="00000000" w:rsidRPr="00000000" w14:paraId="00000025">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risc redus de automatizare;</w:t>
      </w:r>
    </w:p>
    <w:p w:rsidR="00000000" w:rsidDel="00000000" w:rsidP="00000000" w:rsidRDefault="00000000" w:rsidRPr="00000000" w14:paraId="0000002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risc moderat;</w:t>
      </w:r>
    </w:p>
    <w:p w:rsidR="00000000" w:rsidDel="00000000" w:rsidP="00000000" w:rsidRDefault="00000000" w:rsidRPr="00000000" w14:paraId="0000002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risc ridicat.</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metodologic a inclus mai multe etape:</w:t>
      </w:r>
    </w:p>
    <w:p w:rsidR="00000000" w:rsidDel="00000000" w:rsidP="00000000" w:rsidRDefault="00000000" w:rsidRPr="00000000" w14:paraId="0000002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colectarea și preprocesarea datelor;</w:t>
      </w:r>
    </w:p>
    <w:p w:rsidR="00000000" w:rsidDel="00000000" w:rsidP="00000000" w:rsidRDefault="00000000" w:rsidRPr="00000000" w14:paraId="0000002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selectarea variabilelor relevante;</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antrenarea modelului LightGBM;</w:t>
      </w:r>
    </w:p>
    <w:p w:rsidR="00000000" w:rsidDel="00000000" w:rsidP="00000000" w:rsidRDefault="00000000" w:rsidRPr="00000000" w14:paraId="0000002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evaluarea performanței;</w:t>
      </w:r>
    </w:p>
    <w:p w:rsidR="00000000" w:rsidDel="00000000" w:rsidP="00000000" w:rsidRDefault="00000000" w:rsidRPr="00000000" w14:paraId="000000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rezultatelor utilizând SHAP;</w:t>
      </w:r>
    </w:p>
    <w:p w:rsidR="00000000" w:rsidDel="00000000" w:rsidP="00000000" w:rsidRDefault="00000000" w:rsidRPr="00000000" w14:paraId="0000002E">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aplicarea modelului asupra ocupațiilor COR.</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rPr>
      </w:pPr>
      <w:bookmarkStart w:colFirst="0" w:colLast="0" w:name="_ofit7p5zo2mu" w:id="10"/>
      <w:bookmarkEnd w:id="10"/>
      <w:r w:rsidDel="00000000" w:rsidR="00000000" w:rsidRPr="00000000">
        <w:rPr>
          <w:rFonts w:ascii="Times New Roman" w:cs="Times New Roman" w:eastAsia="Times New Roman" w:hAnsi="Times New Roman"/>
          <w:b w:val="1"/>
          <w:bCs w:val="1"/>
          <w:rtl w:val="0"/>
        </w:rPr>
        <w:t xml:space="preserve">1.6 Evaluarea modelului</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Performanța modelului a fost analizată folosind indicatori specifici atât regresiei, cât și clasificării. Rezultatele obținute au indicat o eroare medie absolută (MAE) de aproximativ 11.03 și o acuratețe de clasificare de aproximativ 55.26%.</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Coeficientul de determinare R² a obținut valoarea 0.196 pe setul de test, indicând o capacitate moderată de explicare a variației scorurilor. Cross-validarea 5-fold a relevat însă instabilitate semnificativă (R²_CV = −14.21 ± 6.16), ceea ce sugerează prudență în interpretarea rezultatelor.</w:t>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kkeoag1lmu3" w:id="11"/>
      <w:bookmarkEnd w:id="11"/>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rPr>
      </w:pPr>
      <w:bookmarkStart w:colFirst="0" w:colLast="0" w:name="_arbr06tcufpi" w:id="12"/>
      <w:bookmarkEnd w:id="12"/>
      <w:r w:rsidDel="00000000" w:rsidR="00000000" w:rsidRPr="00000000">
        <w:rPr>
          <w:rFonts w:ascii="Times New Roman" w:cs="Times New Roman" w:eastAsia="Times New Roman" w:hAnsi="Times New Roman"/>
          <w:b w:val="1"/>
          <w:bCs w:val="1"/>
          <w:rtl w:val="0"/>
        </w:rPr>
        <w:t xml:space="preserve">1.7 Interpretabilitatea modelului</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element important al cercetării îl reprezintă analiza interpretabilității modelului. În cazul sistemelor bazate pe inteligență artificială, nu este suficientă doar obținerea unor rezultate predictive, ci și înțelegerea modului în care acestea sunt generate.</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acest scop a fost utilizată metoda SHAP (SHapley Additive exPlanations), care permite identificarea contribuției fiecărei variabile la scorul final. Prin intermediul acestei metode pot fi observate caracteristicile care influențează cel mai mult riscul de automatizare.</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1.8 Aplicarea modelului pe ocupațiile din România</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dezvoltarea modelului, acesta a fost aplicat asupra Clasificării Ocupațiilor din România (COR), care conține 4456 ocupații.</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realizarea transferului între sistemele ocupaționale a fost utilizată o metodă de asociere bazată pe similaritate textuală aproximativă (</w:t>
      </w:r>
      <w:r w:rsidDel="00000000" w:rsidR="00000000" w:rsidRPr="00000000">
        <w:rPr>
          <w:rFonts w:ascii="Times New Roman" w:cs="Times New Roman" w:eastAsia="Times New Roman" w:hAnsi="Times New Roman"/>
          <w:color w:val="00ff00"/>
          <w:sz w:val="24"/>
          <w:szCs w:val="24"/>
          <w:rtl w:val="0"/>
        </w:rPr>
        <w:t xml:space="preserve">fuzzy matching</w:t>
      </w:r>
      <w:r w:rsidDel="00000000" w:rsidR="00000000" w:rsidRPr="00000000">
        <w:rPr>
          <w:rFonts w:ascii="Times New Roman" w:cs="Times New Roman" w:eastAsia="Times New Roman" w:hAnsi="Times New Roman"/>
          <w:sz w:val="24"/>
          <w:szCs w:val="24"/>
          <w:rtl w:val="0"/>
        </w:rPr>
        <w:t>). Această etapă a permis maparea a 654 de ocupații între COR și ESCO.</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baza acestei corespondențe, modelul a estimat scoruri de automatizare pentru ocupațiile mapate și a generat clasificarea pe niveluri de risc.</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au indicat predominanța ocupațiilor încadrate în categoria MEDIUM, ceea ce sugerează că multe profesii sunt susceptibile unei automatizări parțiale, fără a fi complet înlocuite.</w:t>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rPr>
      </w:pPr>
      <w:bookmarkStart w:colFirst="0" w:colLast="0" w:name="_aetaokr5ftob" w:id="13"/>
      <w:bookmarkEnd w:id="13"/>
      <w:r w:rsidDel="00000000" w:rsidR="00000000" w:rsidRPr="00000000">
        <w:rPr>
          <w:rFonts w:ascii="Times New Roman" w:cs="Times New Roman" w:eastAsia="Times New Roman" w:hAnsi="Times New Roman"/>
          <w:b w:val="1"/>
          <w:bCs w:val="1"/>
          <w:rtl w:val="0"/>
        </w:rPr>
        <w:t xml:space="preserve">1.9 Contribuția lucrării</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propune o abordare practică pentru estimarea riscului ocupațional folosind metode moderne de inteligență artificială. Contribuția principală constă în dezvoltarea unui model predictiv aplicat asupra datelor ESCO și transferul acestuia asupra ocupațiilor din România.</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cercetarea include:</w:t>
      </w:r>
    </w:p>
    <w:p w:rsidR="00000000" w:rsidDel="00000000" w:rsidP="00000000" w:rsidRDefault="00000000" w:rsidRPr="00000000" w14:paraId="0000004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explainability pentru interpretarea rezultatelor;</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integrarea unei clasificări ocupaționale naționale;</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dezvoltarea unei aplicații interactive în Streamlit pentru vizualizarea rezultatelor;</w:t>
      </w:r>
    </w:p>
    <w:p w:rsidR="00000000" w:rsidDel="00000000" w:rsidP="00000000" w:rsidRDefault="00000000" w:rsidRPr="00000000" w14:paraId="0000004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construirea unei metodologii reproductibile pentru studii viitoare.</w:t>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qbm38cysf3z" w:id="14"/>
      <w:bookmarkEnd w:id="14"/>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rPr>
      </w:pPr>
      <w:bookmarkStart w:colFirst="0" w:colLast="0" w:name="_1j0zhng84ub1" w:id="15"/>
      <w:bookmarkEnd w:id="15"/>
      <w:r w:rsidDel="00000000" w:rsidR="00000000" w:rsidRPr="00000000">
        <w:rPr>
          <w:rFonts w:ascii="Times New Roman" w:cs="Times New Roman" w:eastAsia="Times New Roman" w:hAnsi="Times New Roman"/>
          <w:b w:val="1"/>
          <w:bCs w:val="1"/>
          <w:rtl w:val="0"/>
        </w:rPr>
        <w:t xml:space="preserve">1.10 Structura lucrării</w:t>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este organizată în mai multe capitole care urmăresc prezentarea etapelor de cercetare și a rezultatelor obținute.</w:t>
      </w:r>
    </w:p>
    <w:p w:rsidR="00000000" w:rsidDel="00000000" w:rsidP="00000000" w:rsidRDefault="00000000" w:rsidRPr="00000000" w14:paraId="0000004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Primul capitol introduce contextul general și obiectivele cercetării. Capitolul al doilea prezintă literatura de specialitate și conceptele teoretice privind automatizarea ocupațiilor. Capitolul al treilea descrie metodologia utilizată, datele analizate și dezvoltarea modelului predictiv. Capitolul al patrulea include rezultatele obținute și analiza grafică a acestora. Capitolul al cincilea prezintă limitările cercetării și direcțiile de dezvoltare ulterioară, de asemenea, enunțând concluziile și contribuțiile lucrării. Ultimul capitol prezintă studiile și anexele folosite în cadrul redactării acesteia.</w:t>
      </w:r>
    </w:p>
    <w:p w:rsidR="00000000" w:rsidDel="00000000" w:rsidP="00000000" w:rsidRDefault="00000000" w:rsidRPr="00000000" w14:paraId="0000004D">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k7iyz8eaowdn" w:id="16"/>
      <w:bookmarkEnd w:id="16"/>
      <w:r w:rsidDel="00000000" w:rsidR="00000000" w:rsidRPr="00000000">
        <w:rPr>
          <w:rFonts w:ascii="Times New Roman" w:cs="Times New Roman" w:eastAsia="Times New Roman" w:hAnsi="Times New Roman"/>
          <w:b w:val="1"/>
          <w:bCs w:val="1"/>
          <w:sz w:val="44"/>
          <w:szCs w:val="44"/>
          <w:rtl w:val="0"/>
        </w:rPr>
        <w:t xml:space="preserve">2. Fundamentare Teoretică și Literatura de Specialitate</w:t>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rPr>
      </w:pPr>
      <w:bookmarkStart w:colFirst="0" w:colLast="0" w:name="_xodn38u13hxg" w:id="17"/>
      <w:bookmarkEnd w:id="17"/>
      <w:r w:rsidDel="00000000" w:rsidR="00000000" w:rsidRPr="00000000">
        <w:rPr>
          <w:rFonts w:ascii="Times New Roman" w:cs="Times New Roman" w:eastAsia="Times New Roman" w:hAnsi="Times New Roman"/>
          <w:b w:val="1"/>
          <w:bCs w:val="1"/>
          <w:rtl w:val="0"/>
        </w:rPr>
        <w:t xml:space="preserve">2.1 Automatizarea și transformarea pieței muncii</w:t>
      </w:r>
    </w:p>
    <w:p w:rsidR="00000000" w:rsidDel="00000000" w:rsidP="00000000" w:rsidRDefault="00000000" w:rsidRPr="00000000" w14:paraId="0000005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Conceptul de automatizare nu este nou — primele îngrijorări sistematice legate de înlocuirea muncii umane de către mașini datează cel puțin de la revoluția industrială. Ce s-a schimbat fundamental în ultimele decenii este tipologia sarcinilor vizate. Dacă mașinile industriale au preluat munca fizică repetitivă, sistemele bazate pe inteligență artificială atacă acum și sarcinile cognitive de rutină — procesarea documentelor, clasificarea datelor, generarea de text standardizat. Această extindere a domeniului automatizabil face ca efectele să fie resimțite și în sectoare care până recent se considerau imune la astfel de transformări.</w:t>
      </w:r>
    </w:p>
    <w:p w:rsidR="00000000" w:rsidDel="00000000" w:rsidP="00000000" w:rsidRDefault="00000000" w:rsidRPr="00000000" w14:paraId="0000005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Economistul David Autor (2015) a oferit un cadru analitic util pentru a înțelege de ce automatizarea nu are efecte uniforme. Prin ceea ce el numea „task-based approach”, Autor argumenta că ceea ce contează nu este ocupația în ansamblu, ci natura sarcinilor specifice pe care le presupune. O ocupație nu dispare brusc prin înlocuire totală — ea se transformă treptat, pierzând sarcinile automatizabile și reconfigurându-se în jurul celor care necesită judecată, creativitate sau interacțiune umană. Creșterea eficienței economice adusă de automatizare este reală, dar distribuția acestor câștiguri rămâne inegală și poate genera presiuni semnificative pe piața muncii.</w:t>
      </w:r>
    </w:p>
    <w:p w:rsidR="00000000" w:rsidDel="00000000" w:rsidP="00000000" w:rsidRDefault="00000000" w:rsidRPr="00000000" w14:paraId="0000005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Distincția cea mai utilă în literatura de specialitate este cea dintre sarcinile rutinare și cele nerutinare. Sarcinile rutinare — fie manuale, fie cognitive — urmează proceduri clare și repetabile, pot fi descrise printr-un set finit de instrucțiuni și sunt, prin urmare, susceptibile de automatizare. Sarcinile nerutinare implică variabilitate, adaptare la contexte noi și judecată situațională. Important de subliniat este că această distincție nu coincide cu granița muncă manuală/muncă de birou: există activități fizice extrem de complexe (un chirurg, un meșteșugar specializat) și activități de birou eminamente rutinare (un operator de prelucrare a datelor).</w:t>
      </w:r>
    </w:p>
    <w:p w:rsidR="00000000" w:rsidDel="00000000" w:rsidP="00000000" w:rsidRDefault="00000000" w:rsidRPr="00000000" w14:paraId="0000005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Estimarea sistematică a riscului de automatizare per ocupație oferă un instrument valoros pentru politicile de educație și reconversie. Desigur, nicio metodologie nu poate prezice cu certitudine ce ocupații vor fi afectate și în ce interval de timp — viteza de adoptare tehnologică depinde de factori economici, instituționali și sociali greu de modelat. Dar o estimare orientativă bazată pe date structurale rămâne semnificativ mai bună decât absența oricărei informații.</w:t>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3dbo55kkmbg" w:id="18"/>
      <w:bookmarkEnd w:id="18"/>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5smpbjcjrgl" w:id="19"/>
      <w:bookmarkEnd w:id="19"/>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rPr>
      </w:pPr>
      <w:bookmarkStart w:colFirst="0" w:colLast="0" w:name="_3mcba22xoz5f" w:id="20"/>
      <w:bookmarkEnd w:id="20"/>
      <w:r w:rsidDel="00000000" w:rsidR="00000000" w:rsidRPr="00000000">
        <w:rPr>
          <w:rFonts w:ascii="Times New Roman" w:cs="Times New Roman" w:eastAsia="Times New Roman" w:hAnsi="Times New Roman"/>
          <w:b w:val="1"/>
          <w:bCs w:val="1"/>
          <w:rtl w:val="0"/>
        </w:rPr>
        <w:t xml:space="preserve">2.2 Inteligența artificială și analiza ocupațională</w:t>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sz w:val="24"/>
          <w:szCs w:val="24"/>
        </w:rPr>
      </w:pPr>
      <w:bookmarkStart w:colFirst="0" w:colLast="0" w:name="_z3j1rggo62vz" w:id="21"/>
      <w:bookmarkEnd w:id="21"/>
      <w:r w:rsidDel="00000000" w:rsidR="00000000" w:rsidRPr="00000000">
        <w:rPr>
          <w:rFonts w:ascii="Times New Roman" w:cs="Times New Roman" w:eastAsia="Times New Roman" w:hAnsi="Times New Roman"/>
          <w:sz w:val="24"/>
          <w:szCs w:val="24"/>
          <w:rtl w:val="0"/>
        </w:rPr>
        <w:t>Termenul „inteligență artificială” acoperă o gamă extrem de largă de tehnici, ceea ce îl face adesea imprecis în utilizarea publică. În contextul lucrării de față, prin AI înțelegem în special tehnicile de machine learning supervizat — algoritmi care identifică relații statistice în date istorice și le aplică pentru a face predicții pe cazuri noi. Nu este vorba de sisteme care „gândesc” în sens filozofic, ci de modele matematice care generalizează tipare din exemple.</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În cazul specific al analizei ocupaționale, ML-ul prezintă un avantaj față de metodele statistice tradiționale: poate captura relații neliniare și interacțiuni între variabile care ar fi greu de specificat explicit. Dacă o regresie liniară ar presupune că fiecare competență suplimentară reduce riscul cu aceeași cantitate fixă, un model de tip gradient boosting poate identifica că efectul depinde de contextul altor variabile — că, de exemplu, un număr mare de competențe opționale are o semnificație diferită atunci când totalul de competențe este mic față de atunci când este mare.</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 aspect esențial al machine learning-ului supervizat este că necesită un scor de referință pentru a învăța — în acest caz, o variabilă țintă care să cuantifice riscul de automatizare. Deoarece nu există o astfel de etichetă validată extern pentru ocupațiile din ESCO, am construit un indicator proxy bazat pe structura competențelor, folosind un lexicon de termeni asociați sarcinilor rutiniere și nerutiniere. Această abordare urmează logica task-based approach-ului propus de Frey și Osborne (2017) și Autor (2015), adaptată la datele disponibile în română.</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Avantajul fundamental al utilizării unui model ML față de o simplu sortare manuală după criterii predefinite este că modelul poate surprinde combinații de caracteristici care sunt greu de verbalizat intuitiv. O ocupație cu puține competențe esențiale, dar cu un număr mare de cunoștințe formale poate prezenta un profil de risc diferit față de una cu aceeași structură numerică, dar cu altă combinație de variabile. Aceste interacțiuni nu sunt transparente apriori, dar devin vizibile prin analiza SHAP după antrenarea modelului.</w:t>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rPr>
      </w:pPr>
      <w:bookmarkStart w:colFirst="0" w:colLast="0" w:name="_n16yi65afrh5" w:id="22"/>
      <w:bookmarkEnd w:id="22"/>
      <w:r w:rsidDel="00000000" w:rsidR="00000000" w:rsidRPr="00000000">
        <w:rPr>
          <w:rFonts w:ascii="Times New Roman" w:cs="Times New Roman" w:eastAsia="Times New Roman" w:hAnsi="Times New Roman"/>
          <w:b w:val="1"/>
          <w:bCs w:val="1"/>
          <w:rtl w:val="0"/>
        </w:rPr>
        <w:t xml:space="preserve">2.3 Studii relevante privind riscul de automatizare</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Dacă ar fi să indicăm un punct de inflexiune în literatura despre automatizare, acela ar fi probabil 2013 — anul apariției working paper-ului lui Frey și Osborne, ulterior publicat în 2017. Studiul a ajuns să fie unul dintre cele mai citate din economia muncii a ultimului deceniu și a generat dezbateri aprinse atât în mediul academic, cât și în cel jurnalistic. Cifra de 47% din locurile de muncă americane considerate „la risc ridicat” a circulat extensiv în presă, adesea fără nuanțele metodologice indispensabile.</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Frey și Osborne (2017) au evaluat 702 ocupații din clasificarea americană O*NET, solicitând experți în machine learning să estimeze fezabilitatea automatizării diferitelor categorii de sarcini. Metodologia identifică nouă „bottlenecks” care fac dificilă automatizarea — percepție și manipulare fizică fină, inteligență creativă și inteligență socială — și consideră automatizabile ocupațiile care nu depind critic de acestea. Rezultatele au atras atenția asupra unui fenomen real, chiar dacă estimările cantitative au fost ulterior revizuite de cercetări mai recente.</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Critica principală adusă acestei metodologii a venit din studiul OECD coordonat de Arntz, Gregory și Zierahn (2016), care au arătat că Frey și Osborne evaluează ocupații în ansamblul lor, fără a ține cont că același individ poate executa, în cadrul aceleiași ocupații, atât sarcini automatizabile, cât și sarcini complexe. Când analiza coboară la nivelul sarcinilor individuale, procentul locurilor de muncă efectiv amenințate scade considerabil — la 9% în medie pentru țările OCDE. Această nuanță este esențială pentru a calibra corect urgența și natura intervențiilor de politică publică.</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 lângă dezbaterea metodologică legată de nivelul de analiză (ocupație versus sarcini), literatura mai recentă a adăugat o altă dimensiune importantă: automatizarea nu înseamnă neapărat dispariția unui job, ci transformarea lui. OECD (2023) arată că, în multe cazuri, tehnologia preia sarcinile de rutină și amplifică productivitatea angajatului în sarcinile complexe, modificând profilul cererii de competențe mai degrabă decât eliminând ocupația în totalitate.</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World Economic Forum (2020), în raportul „Future of Jobs”, estimează că până în 2025 automatizarea va afecta 85 de milioane de locuri de muncă la nivel global, creând totodată 97 de milioane de roluri noi. Dacă cifrele exacte sunt discutabile — metodologiile de estimare variază semnificativ — mesajul de fond este consistent cu celelalte studii: competențele tehnice evoluează rapid, iar adaptabilitatea și gândirea critică devin resurse din ce în ce mai valoroase pe piața muncii.</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tendință mai recentă în literatura de specialitate este utilizarea directă a algoritmilor de machine learning — nu doar ca instrument de modelare, ci și pentru a exploata seturi de date ocupaționale de mari dimensiuni, cum ar fi O*NET, ESCO sau bazele de date ale anunțurilor de angajare. Aceste abordări permit o granularitate mai mare și pot captura dinamici temporale ale pieței muncii care scapă analizelor statice.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 toate acestea, lucrările care transpun aceste metodologii la nivel național și le aplică pe clasificări locale rămân relativ rare. Specificul fiecărei piețe a muncii — structura sectorială, nivelul de digitalizare, cadrul legislativ, tipul de ocupații dominante — influențează semnificativ distribuția riscului de automatizare. Extrapolarea directă a rezultatelor din contexte americane sau vest-europene poate introduce erori sistematice atunci când este aplicată economiilor din Europa Centrală și de Est.</w:t>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rPr>
      </w:pPr>
      <w:bookmarkStart w:colFirst="0" w:colLast="0" w:name="_7jnq5fk7ep2c" w:id="23"/>
      <w:bookmarkEnd w:id="23"/>
      <w:r w:rsidDel="00000000" w:rsidR="00000000" w:rsidRPr="00000000">
        <w:rPr>
          <w:rFonts w:ascii="Times New Roman" w:cs="Times New Roman" w:eastAsia="Times New Roman" w:hAnsi="Times New Roman"/>
          <w:b w:val="1"/>
          <w:bCs w:val="1"/>
          <w:rtl w:val="0"/>
        </w:rPr>
        <w:t xml:space="preserve">2.4 Clasificări ocupaționale utilizate în cercetare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Înțelegerea cadrului de date este esențială înainte de a discuta modelul propriu-zis. Analiza de față operează cu două sisteme de clasificare ocupațională care servesc scopuri diferite, dar complementare.</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9jy7ugfwnag" w:id="24"/>
      <w:bookmarkEnd w:id="24"/>
      <w:r w:rsidDel="00000000" w:rsidR="00000000" w:rsidRPr="00000000">
        <w:rPr>
          <w:rFonts w:ascii="Times New Roman" w:cs="Times New Roman" w:eastAsia="Times New Roman" w:hAnsi="Times New Roman"/>
          <w:b w:val="1"/>
          <w:bCs w:val="1"/>
          <w:color w:val="000000"/>
          <w:rtl w:val="0"/>
        </w:rPr>
        <w:t xml:space="preserve">2.4.1 Sistemul ESCO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ESCO (European Skills, Competences, Qualifications and Occupations) este taxonomia europeană dezvoltată de Comisia Europeană pentru a standardiza descrierea ocupațiilor și competențelor la nivel continental. Spre deosebire de clasificările naționale, ESCO a fost proiectat explicit pentru a facilita comparațiile transfrontaliere și include informații granulare despre tipul fiecărei competențe.</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Fiecare ocupație din ESCO este descrisă prin două tipuri de competențe: esențiale (fără de care ocupația nu poate fi exercitată) și opționale (avantajoase, dar nu obligatorii). Această distincție este valoroasă pentru analiza de față, deoarece profilul esențial versus opțional reflectă gradul de standardizare și rigiditate al ocupației — caracteristici corelate indirect cu automatizabilitatea.</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Utilizarea ESCO ca sursă de date primară în această cercetare este motivată de trei factori: disponibilitatea datelor în format structurat și accesibil, acoperirea largă a ocupațiilor (inclusiv versiunea în limba română), și granularitatea informațiilor privind competențele — ceea ce permite construirea unor variabile predictive relevante fără a recurge la colectarea primară de date.</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499051ukxm8" w:id="25"/>
      <w:bookmarkEnd w:id="25"/>
      <w:r w:rsidDel="00000000" w:rsidR="00000000" w:rsidRPr="00000000">
        <w:rPr>
          <w:rFonts w:ascii="Times New Roman" w:cs="Times New Roman" w:eastAsia="Times New Roman" w:hAnsi="Times New Roman"/>
          <w:b w:val="1"/>
          <w:bCs w:val="1"/>
          <w:color w:val="000000"/>
          <w:rtl w:val="0"/>
        </w:rPr>
        <w:t xml:space="preserve">2.4.2 Clasificarea Ocupațiilor din România (COR)</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COR (Clasificarea Ocupațiilor din România) este sistemul oficial de referință pentru organizarea și codificarea ocupațiilor la nivel național, utilizat în contexte administrative, statistice și de politici ale pieței muncii. Cu cele 4.456 de ocupații înregistrate, COR reflectă specificul pieței muncii românești, inclusiv ocupații care nu au corespondent direct în taxonomiile europene.</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Diferența structurală dintre COR și ESCO — în termeni de granularitate, nomenclatură și filosofie de clasificare — face ca asocierea directă să fie imposibilă. Tocmai de aceea, transferul modelului antrenat pe ESCO către ocupațiile COR necesită un pas intermediar de mapare prin similaritate textuală, cu toate limitările pe care aceasta le implică.</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Scopul utilizării COR în această cercetare nu a fost antrenarea modelului — pentru asta s-a folosit exclusiv ESCO — ci validarea aplicabilității metodologiei la nivel național. Rezultatele obținute pentru ocupațiile COR trebuie interpretate cu prudență tocmai din cauza imperfecțiunilor procesului de mapare, discutate în detaliu în secțiunea 3.7.</w:t>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rPr>
      </w:pPr>
      <w:bookmarkStart w:colFirst="0" w:colLast="0" w:name="_4ssafj7n24qs" w:id="26"/>
      <w:bookmarkEnd w:id="26"/>
      <w:r w:rsidDel="00000000" w:rsidR="00000000" w:rsidRPr="00000000">
        <w:rPr>
          <w:rFonts w:ascii="Times New Roman" w:cs="Times New Roman" w:eastAsia="Times New Roman" w:hAnsi="Times New Roman"/>
          <w:b w:val="1"/>
          <w:bCs w:val="1"/>
          <w:rtl w:val="0"/>
        </w:rPr>
        <w:t xml:space="preserve">2.5 Machine Learning în analiza ocupațională</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Machine learning-ul supervizat funcționează pe un principiu simplu: îi arăți algoritmului exemple de intrări (caracteristicile ocupațiilor) și ieșiri dorite (scoruri de automatizare), și el identifică parametrii matematici care generalizează cel mai bine această relație la cazuri noi, nevăzute în antrenare.</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analiza ocupațională, modelele de machine learning pot fi utilizate pentru identificarea relațiilor dintre caracteristicile profesionale și nivelul estimat de automatizare.</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Alegerea dintre diferitele familii de algoritmi — modele liniare, arbori de decizie, metode ensemble — depinde de natura datelor și de tipul relațiilor așteptate. Pentru date tabulare cu relații potențial neliniare, modelele de tip gradient boosting s-au dovedit în mod consistent printre cele mai performante în benchmark-urile din literatură (Chen &amp; Guestrin, 2016; Ke et al., 2017).</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acestei lucrări a fost utilizat algoritmul LightGBM, un model bazat pe gradient boosting, recunoscut pentru performanța ridicată în cazul datelor tabulare.</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LightGBM (Ke et al., 2017) extinde familia gradient boosting printr-o strategie de creștere leaf-wise a arborilor — spre deosebire de creșterea nivel-cu-nivel (level-wise) din implementările mai vechi — ceea ce îl face mai eficient computațional și adesea mai precis. Un alt avantaj relevant pentru această analiză este interpretabilitatea nativă a importanței variabilelor, completată în lucrarea de față prin analiza SHAP.</w:t>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se8yvpf0qik" w:id="27"/>
      <w:bookmarkEnd w:id="27"/>
      <w:r w:rsidDel="00000000" w:rsidR="00000000" w:rsidRPr="00000000">
        <w:rPr>
          <w:rFonts w:ascii="Times New Roman" w:cs="Times New Roman" w:eastAsia="Times New Roman" w:hAnsi="Times New Roman"/>
          <w:b w:val="1"/>
          <w:bCs w:val="1"/>
          <w:sz w:val="28"/>
          <w:szCs w:val="28"/>
          <w:rtl w:val="0"/>
        </w:rPr>
        <w:t xml:space="preserve">2.6 Explainable AI și interpretabilitatea modelelor</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 reproș frecvent adresat modelelor de machine learning complexe este lipsa de transparență: știm că funcționează, dar nu înțelegem de ce iau anumite decizii. Această caracteristică — uneori numită „black-box problem” — este problematică în contexte unde rezultatele trebuie justificate sau contestate, cum ar fi diagnoza medicală, creditarea sau, în cazul de față, evaluarea riscului ocupațional în scopuri de politică publică.</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contextul cercetării academice și al sistemelor predictive aplicate, interpretabilitatea devine importantă deoarece permite înțelegerea modului în care sunt generate rezultatele.</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Explainable AI (XAI) este o familie de metode care încearcă să deschidă cutia neagră — să ofere explicații post-hoc sau intrinseci ale deciziilor modelului, inteligibile pentru oameni. Motivația este dublă: pe de o parte, crește încrederea utilizatorilor; pe de altă parte, permite identificarea și corectarea comportamentelor nedorite ale modelului.</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SHAP (SHapley Additive exPlanations), propus de Lundberg și Lee (2017), se bazează pe teoria jocurilor cooperative pentru a atribui fiecărei variabile o contribuție la predicție, consistentă și aditiv coerentă. Față de metodele mai simple (de exemplu, feature importance bazată pe frecvența utilizării în arbori), SHAP oferă atât magnitudine, cât și direcție — poate arăta că o valoare ridicată a variabilei X crește riscul estimat, iar o valoare scăzută îl reduce.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În contextul lucrării de față, SHAP îndeplinește un rol dublu: validează că modelul utilizează caracteristicile în mod coerent cu așteptările teoretice (de exemplu, că un număr mare de competențe opționale crește riscul estimat) și oferă o bază pentru interpretarea individuală a scorurilor — de ce o ocupație specifică a primit un anumit scor.</w:t>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x5k26dnc3win" w:id="28"/>
      <w:bookmarkEnd w:id="28"/>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l6jxqbd5w816" w:id="29"/>
      <w:bookmarkEnd w:id="29"/>
      <w:r w:rsidDel="00000000" w:rsidR="00000000" w:rsidRPr="00000000">
        <w:rPr>
          <w:rFonts w:ascii="Times New Roman" w:cs="Times New Roman" w:eastAsia="Times New Roman" w:hAnsi="Times New Roman"/>
          <w:b w:val="1"/>
          <w:bCs w:val="1"/>
          <w:sz w:val="28"/>
          <w:szCs w:val="28"/>
          <w:rtl w:val="0"/>
        </w:rPr>
        <w:t xml:space="preserve">2.7 Gap de cercetare</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Trecând în revistă literatura disponibilă, un pattern devine evident: există o abundență de studii despre riscul de automatizare la nivel agregat sau pentru piețele muncii anglo-saxone, și o lipsă acută de analize calibrate pe clasificări ocupaționale naționale din Europa Centrală și de Est.</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cazul României, există puține studii care utilizează tehnici moderne de machine learning pentru estimarea riscului ocupațional și care transferă rezultatele asupra clasificării oficiale COR.</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Totodată, multe cercetări nu integrează simultan:</w:t>
      </w:r>
    </w:p>
    <w:p w:rsidR="00000000" w:rsidDel="00000000" w:rsidP="00000000" w:rsidRDefault="00000000" w:rsidRPr="00000000" w14:paraId="0000008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ocupaționale structurate;</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modele predictive;</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interpretabilitate AI;</w:t>
      </w:r>
    </w:p>
    <w:p w:rsidR="00000000" w:rsidDel="00000000" w:rsidP="00000000" w:rsidRDefault="00000000" w:rsidRPr="00000000" w14:paraId="0000008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mapare între clasificări ocupaționale;</w:t>
      </w:r>
    </w:p>
    <w:p w:rsidR="00000000" w:rsidDel="00000000" w:rsidP="00000000" w:rsidRDefault="00000000" w:rsidRPr="00000000" w14:paraId="0000008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 practică asupra unei piețe naționale.</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Lucrarea de față încearcă să adreseze parțial această lipsă, propunând o metodologie adaptabilă care combină datele ocupaționale europene standardizate (ESCO) cu clasificarea națională românească (COR), utilizând machine learning pentru a genera estimări orientative aplicabile contextului local.</w:t>
      </w:r>
    </w:p>
    <w:p w:rsidR="00000000" w:rsidDel="00000000" w:rsidP="00000000" w:rsidRDefault="00000000" w:rsidRPr="00000000" w14:paraId="0000008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r1pz7l3zrdlw" w:id="30"/>
      <w:bookmarkEnd w:id="30"/>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prlfmvwuslig" w:id="31"/>
      <w:bookmarkEnd w:id="31"/>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hit1qxuudeqf" w:id="32"/>
      <w:bookmarkEnd w:id="32"/>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5ji88hv5h6d" w:id="33"/>
      <w:bookmarkEnd w:id="33"/>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5omnyag0wi2w" w:id="34"/>
      <w:bookmarkEnd w:id="34"/>
      <w:r w:rsidDel="00000000" w:rsidR="00000000" w:rsidRPr="00000000">
        <w:rPr>
          <w:rFonts w:ascii="Times New Roman" w:cs="Times New Roman" w:eastAsia="Times New Roman" w:hAnsi="Times New Roman"/>
          <w:b w:val="1"/>
          <w:bCs w:val="1"/>
          <w:sz w:val="44"/>
          <w:szCs w:val="44"/>
          <w:rtl w:val="0"/>
        </w:rPr>
        <w:t xml:space="preserve">3. Metodologie</w:t>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rPr>
      </w:pPr>
      <w:bookmarkStart w:colFirst="0" w:colLast="0" w:name="_9nov8lbl57gm" w:id="35"/>
      <w:bookmarkEnd w:id="35"/>
      <w:r w:rsidDel="00000000" w:rsidR="00000000" w:rsidRPr="00000000">
        <w:rPr>
          <w:rFonts w:ascii="Times New Roman" w:cs="Times New Roman" w:eastAsia="Times New Roman" w:hAnsi="Times New Roman"/>
          <w:b w:val="1"/>
          <w:bCs w:val="1"/>
          <w:rtl w:val="0"/>
        </w:rPr>
        <w:t xml:space="preserve">3.1 Descrierea dataset-ului</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Datele utilizate în această cercetare provin din versiunea în limba română a sistemului ESCO, descărcată din portalul oficial al Comisiei Europene. ESCO structurează informațiile ocupaționale relațional: fiecare ocupație este conectată printr-o relație explicită cu competențele sale — esențiale și opționale — și cu elementele de cunoaștere asociate. Punctul de plecare al procesării a fost tabelul de relații ocupație–competență, din care am derivat prin agregare caracteristicile numerice ale fiecărei ocupații.</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Setul de date final conține 3.037 de ocupații, fiecare reprezentată ca un rând cu șase caracteristici numerice. Dimensiunea relativ modestă a setului de date — în termeni de machine learning — a influențat alegerea algoritmului și strategia de validare, favorizând modele robuste la overfitting și validare încrucișată riguroasă.</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Fiecare dintre cele șase variabile capturează un aspect distinct al structurii competențiale: volumul total, distribuția esențial/opțional, tipul de conținut (cunoștințe versus abilități practice) și un indicator sintetic al proporției de competențe potențial rutinizabile.</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modelului au fost utilizate următoarele variabile:</w:t>
      </w:r>
    </w:p>
    <w:p w:rsidR="00000000" w:rsidDel="00000000" w:rsidP="00000000" w:rsidRDefault="00000000" w:rsidRPr="00000000" w14:paraId="00000097">
      <w:pPr>
        <w:numPr>
          <w:ilvl w:val="0"/>
          <w:numId w:val="1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total_skill</w:t>
      </w:r>
      <w:r w:rsidDel="00000000" w:rsidR="00000000" w:rsidRPr="00000000">
        <w:rPr>
          <w:rFonts w:ascii="Times New Roman" w:cs="Times New Roman" w:eastAsia="Times New Roman" w:hAnsi="Times New Roman"/>
          <w:sz w:val="24"/>
          <w:szCs w:val="24"/>
          <w:rtl w:val="0"/>
        </w:rPr>
        <w:t xml:space="preserve"> – numărul total de competențe asociate ocupației;</w:t>
      </w:r>
    </w:p>
    <w:p w:rsidR="00000000" w:rsidDel="00000000" w:rsidP="00000000" w:rsidRDefault="00000000" w:rsidRPr="00000000" w14:paraId="00000098">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essential</w:t>
      </w:r>
      <w:r w:rsidDel="00000000" w:rsidR="00000000" w:rsidRPr="00000000">
        <w:rPr>
          <w:rFonts w:ascii="Times New Roman" w:cs="Times New Roman" w:eastAsia="Times New Roman" w:hAnsi="Times New Roman"/>
          <w:sz w:val="24"/>
          <w:szCs w:val="24"/>
          <w:rtl w:val="0"/>
        </w:rPr>
        <w:t xml:space="preserve"> – competențele considerate esențiale;</w:t>
      </w:r>
    </w:p>
    <w:p w:rsidR="00000000" w:rsidDel="00000000" w:rsidP="00000000" w:rsidRDefault="00000000" w:rsidRPr="00000000" w14:paraId="00000099">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 competențele opționale;</w:t>
      </w:r>
    </w:p>
    <w:p w:rsidR="00000000" w:rsidDel="00000000" w:rsidP="00000000" w:rsidRDefault="00000000" w:rsidRPr="00000000" w14:paraId="0000009A">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knowledge</w:t>
      </w:r>
      <w:r w:rsidDel="00000000" w:rsidR="00000000" w:rsidRPr="00000000">
        <w:rPr>
          <w:rFonts w:ascii="Times New Roman" w:cs="Times New Roman" w:eastAsia="Times New Roman" w:hAnsi="Times New Roman"/>
          <w:sz w:val="24"/>
          <w:szCs w:val="24"/>
          <w:rtl w:val="0"/>
        </w:rPr>
        <w:t xml:space="preserve"> – elementele de cunoaștere asociate;</w:t>
      </w:r>
    </w:p>
    <w:p w:rsidR="00000000" w:rsidDel="00000000" w:rsidP="00000000" w:rsidRDefault="00000000" w:rsidRPr="00000000" w14:paraId="0000009B">
      <w:pPr>
        <w:numPr>
          <w:ilvl w:val="0"/>
          <w:numId w:val="1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skill_com – indicator compozit al structurii competențelor;</w:t>
        <w:br/>
        <w:t>automation_score_proxy – indicator structural: (optional/total · 0.5 + knowledge/total · 0.5) · 100, captează proporția competențelor rutinizabile.</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Alegerea acestor variabile a urmat o logică teoretică: ocupațiile cu structuri competențiale rigide, dominate de cunoștințe formale și competențe standardizate, tind să fie mai expuse automatizării decât cele cu profile diverse și adaptabile. Variabila automation_score_proxy a fost introdusă explicit pentru a captura această dimensiune structural-cantitativă, complementând informația brută despre numărul de competențe.</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510yq4ek03id" w:id="36"/>
      <w:bookmarkEnd w:id="36"/>
      <w:r w:rsidDel="00000000" w:rsidR="00000000" w:rsidRPr="00000000">
        <w:rPr>
          <w:rFonts w:ascii="Times New Roman" w:cs="Times New Roman" w:eastAsia="Times New Roman" w:hAnsi="Times New Roman"/>
          <w:i w:val="1"/>
          <w:iCs w:val="1"/>
          <w:color w:val="000000"/>
          <w:sz w:val="26"/>
          <w:szCs w:val="26"/>
          <w:rtl w:val="0"/>
        </w:rPr>
        <w:t xml:space="preserve">Tabel 1. Variabilele utilizate în model</w:t>
      </w:r>
    </w:p>
    <w:tbl>
      <w:tblPr>
        <w:tblStyle w:val="Table1"/>
        <w:tblW w:w="6000.0" w:type="dxa"/>
        <w:jc w:val="left"/>
        <w:tblLayout w:type="fixed"/>
        <w:tblLook w:val="0600"/>
      </w:tblPr>
      <w:tblGrid>
        <w:gridCol w:w="1280"/>
        <w:gridCol w:w="1010"/>
        <w:gridCol w:w="3710"/>
        <w:tblGridChange w:id="0">
          <w:tblGrid>
            <w:gridCol w:w="1280"/>
            <w:gridCol w:w="1010"/>
            <w:gridCol w:w="37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Descriere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total de competențe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competențelor esențiale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competențelor opționale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elementelor de cunoaștere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skill_com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 compozit al competențelor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automation_score_proxy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(optional/total · 0.5 + knowledge/total · 0.5) · 100</w:t>
            </w:r>
          </w:p>
        </w:tc>
      </w:tr>
    </w:tbl>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asp3xg7euv6" w:id="37"/>
      <w:bookmarkEnd w:id="37"/>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rPr>
      </w:pPr>
      <w:bookmarkStart w:colFirst="0" w:colLast="0" w:name="_vvs7m4rz59vm" w:id="38"/>
      <w:bookmarkEnd w:id="38"/>
      <w:r w:rsidDel="00000000" w:rsidR="00000000" w:rsidRPr="00000000">
        <w:rPr>
          <w:rFonts w:ascii="Times New Roman" w:cs="Times New Roman" w:eastAsia="Times New Roman" w:hAnsi="Times New Roman"/>
          <w:b w:val="1"/>
          <w:bCs w:val="1"/>
          <w:rtl w:val="0"/>
        </w:rPr>
        <w:t xml:space="preserve">3.2 Preprocesarea datelor</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Procesul de preprocesare a cuprins mai mulți pași, fiecare cu un rol specific în asigurarea calității datelor introduse în model. Deși ESCO este o sursă structurată și bine întreținută, versiunea românească poate conține inconsistențe minore — ocupații cu zero competențe înregistrate, valori lipsă sau intrări duplicate — care trebuie tratate înainte de modelare.</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Prima problemă identificată a fost prezența ocupațiilor fără nicio competență asociată — probabil intrări incomplete în baza de date. Acestea au fost eliminate, deoarece nu conțineau informație utilă pentru model. Ulterior, am verificat distribuțiile fiecărei variabile pentru a detecta valori aberante sau transformări necesare.</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Variabila total_skill a arătat o distribuție asimetrică, cu câteva ocupații cu un număr excepțional de mare de competențe. Aceste cazuri nu au fost eliminate — sunt ocupații legitime, cu profiluri ample — dar distribuția a fost luată în considerare la interpretarea scorurilor extreme.</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Selecția variabilelor a fost deliberat conservatoare: am inclus doar cele șase caracteristici pentru care exista o justificare teoretică clară. Adăugarea unor variabile fără fundament conceptual ar fi putut introduce zgomot în model și ar fi complicat interpretarea rezultatelor SHAP fără a aduce un câștig real de performanță.</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LightGBM este, în principiu, robust față de diferențele de scală între variabile — arborii de decizie utilizează ranguri, nu valori absolute. Cu toate acestea, pentru a asigura compatibilitatea cu eventuale comparații viitoare cu modele liniare, variabilele numerice au fost standardizate.</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 finalul preprocesării, setul de date curat conținea 3.037 de ocupații cu șase variabile fiecare, fără valori lipsă. Acesta a constituit input-ul pentru toate etapele ulterioare de modelare și evaluare.</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rFonts w:ascii="Times New Roman" w:cs="Times New Roman" w:eastAsia="Times New Roman" w:hAnsi="Times New Roman"/>
          <w:b w:val="1"/>
          <w:bCs w:val="1"/>
        </w:rPr>
      </w:pPr>
      <w:bookmarkStart w:colFirst="0" w:colLast="0" w:name="_z7gu67bhxg7z" w:id="39"/>
      <w:bookmarkEnd w:id="39"/>
      <w:r w:rsidDel="00000000" w:rsidR="00000000" w:rsidRPr="00000000">
        <w:rPr>
          <w:rFonts w:ascii="Times New Roman" w:cs="Times New Roman" w:eastAsia="Times New Roman" w:hAnsi="Times New Roman"/>
          <w:b w:val="1"/>
          <w:bCs w:val="1"/>
          <w:rtl w:val="0"/>
        </w:rPr>
        <w:t xml:space="preserve">3.3 Modelul utilizat: LightGBM</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Alegerea algoritmului s-a făcut prin compararea preliminară a mai multor opțiuni — regresie liniară, Random Forest și LightGBM — pe un subset de validare. LightGBM a arătat consistenta performanțe superioare, confirmat și de literatura care îl recomandă pentru date tabulare de dimensiuni medii (Ke et al., 2017).</w:t>
      </w:r>
      <w:r w:rsidDel="00000000" w:rsidR="00000000" w:rsidRPr="00000000">
        <w:rPr>
          <w:rFonts w:ascii="Times New Roman" w:cs="Times New Roman" w:eastAsia="Times New Roman" w:hAnsi="Times New Roman"/>
          <w:color w:val="00ff00"/>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LightGBM funcționează prin construirea secvențială a unor arbori de decizie, fiecare concentrându-se pe corectarea erorilor reziduale ale celui precedent — acesta este principiul gradient boosting-ului. Față de implementările clasice, LightGBM utilizează o strategie de creștere leaf-wise care îl face mai eficient și, de obicei, mai precis pe seturi de date tabulare.</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 argument suplimentar pentru LightGBM față de modelele liniare este că relația dintre structura competențelor și riscul de automatizare nu este, cel mai probabil, liniară. De exemplu, este rezonabil să presupunem că efectul numărului de competențe opționale depinde de raportul acestora față de total — și că există praguri dincolo de care semnificația acestei variabile se schimbă. Arborii de decizie captează natural astfel de neliniarități și interacțiuni.</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Modelul a fost implementat în variantă de regresie (LGBMRegressor), producând un scor continuu de automatizare pentru fiecare ocupație. Decizia de a folosi regresia în loc de clasificare directă a fost deliberată: un scor continuu oferă mai multă informație decât o etichetă de clasă și permite praguri flexibile de clasificare ulterioară.</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Parametrii modelului au fost selectați prin combinarea ghidurilor din documentație cu experimentarea empirică pe datele de validare. Nu s-a efectuat o căutare exhaustivă (hyperparameter tuning), din considerente de interpretabilitate și reproductibilitate — configurația standard a LightGBM cu parametrii din Tabelul 2 s-a dovedit suficient de stabilă pentru scopurile acestei analize.</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atueta55jnsy" w:id="40"/>
      <w:bookmarkEnd w:id="40"/>
      <w:r w:rsidDel="00000000" w:rsidR="00000000" w:rsidRPr="00000000">
        <w:rPr>
          <w:rFonts w:ascii="Times New Roman" w:cs="Times New Roman" w:eastAsia="Times New Roman" w:hAnsi="Times New Roman"/>
          <w:i w:val="1"/>
          <w:iCs w:val="1"/>
          <w:color w:val="000000"/>
          <w:sz w:val="26"/>
          <w:szCs w:val="26"/>
          <w:rtl w:val="0"/>
        </w:rPr>
        <w:t xml:space="preserve">Tabel 2. Parametrii utilizați pentru modelul LightGBM</w:t>
      </w:r>
    </w:p>
    <w:tbl>
      <w:tblPr>
        <w:tblStyle w:val="Table2"/>
        <w:tblW w:w="3100.0" w:type="dxa"/>
        <w:jc w:val="left"/>
        <w:tblLayout w:type="fixed"/>
        <w:tblLook w:val="0600"/>
      </w:tblPr>
      <w:tblGrid>
        <w:gridCol w:w="2090"/>
        <w:gridCol w:w="1010"/>
        <w:tblGridChange w:id="0">
          <w:tblGrid>
            <w:gridCol w:w="2090"/>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(nelimitat, controlat prin num_leaves)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num_leaves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min_child_samples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20</w:t>
            </w:r>
          </w:p>
        </w:tc>
      </w:tr>
    </w:tbl>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Notă. Parametrii au fost configurați cu random_state = 42 pentru reproductibilitate.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rPr>
      </w:pPr>
      <w:bookmarkStart w:colFirst="0" w:colLast="0" w:name="_nl6f4w4mp767" w:id="41"/>
      <w:bookmarkEnd w:id="41"/>
      <w:r w:rsidDel="00000000" w:rsidR="00000000" w:rsidRPr="00000000">
        <w:rPr>
          <w:rFonts w:ascii="Times New Roman" w:cs="Times New Roman" w:eastAsia="Times New Roman" w:hAnsi="Times New Roman"/>
          <w:b w:val="1"/>
          <w:bCs w:val="1"/>
          <w:rtl w:val="0"/>
        </w:rPr>
        <w:t xml:space="preserve">3.4 Definirea scorului și clasificării</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Variabila țintă pe care modelul încearcă să o reproducă este un scor proxy de automatizare, construit pe baza unui lexicon de termeni asociați sarcinilor rutiniere și nerutiniere din descrierile competențelor ESCO. Scorul ia valori între 0 (risc minim estimat) și 100 (risc maxim estimat) — o scală normalizată care facilitează interpretarea și compararea.</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Este important să subliniem că acest scor nu reprezintă o probabilitate în sens statistic strict și nici o predicție certă despre viitorul unei ocupații. El cuantifică, pe baza datelor disponibile, gradul relativ de expunere structurală la automatizare — un instrument de comparare și prioritizare, nu un verdict.</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Pentru a facilita comunicarea rezultatelor unui public mai larg, scorurile continue au fost transformate ulterior într-un sistem de clasificare cu trei niveluri. Pragurile au fost alese pe baza distribuției scorurilor și a considerentelor de interpretabilitate, nu prin optimizare statistică — o decizie metodologică pe care o discutăm și în secțiunea dedicată limitărilor.</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utilizată este următoarea:</w:t>
      </w:r>
    </w:p>
    <w:p w:rsidR="00000000" w:rsidDel="00000000" w:rsidP="00000000" w:rsidRDefault="00000000" w:rsidRPr="00000000" w14:paraId="000000D7">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scor mai mic de 45;</w:t>
      </w:r>
    </w:p>
    <w:p w:rsidR="00000000" w:rsidDel="00000000" w:rsidP="00000000" w:rsidRDefault="00000000" w:rsidRPr="00000000" w14:paraId="000000D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scor între 45 și 65;</w:t>
      </w:r>
    </w:p>
    <w:p w:rsidR="00000000" w:rsidDel="00000000" w:rsidP="00000000" w:rsidRDefault="00000000" w:rsidRPr="00000000" w14:paraId="000000D9">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scor mai mare de 65.</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Pragul LOW/MEDIUM la 45 și MEDIUM/HIGH la 65 delimitează aproximativ treimile inferioare, mediană și superioară ale distribuției scorurilor pe setul ESCO, asigurând că fiecare categorie este bine populată și interpretabilă.</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 dezavantaj al clasificării discrete este că introducerea unui prag creează o diferență artificială între ocupații cu scoruri apropiate de granița dintre categorii. O ocupație cu scorul 44 și una cu 46 sunt clasificate diferit, deși diferența practică este neglijabilă. Această limitare trebuie avută în vedere la interpretarea individuală a scorurilor.</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rFonts w:ascii="Times New Roman" w:cs="Times New Roman" w:eastAsia="Times New Roman" w:hAnsi="Times New Roman"/>
          <w:b w:val="1"/>
          <w:bCs w:val="1"/>
        </w:rPr>
      </w:pPr>
      <w:bookmarkStart w:colFirst="0" w:colLast="0" w:name="_i2kd2ppp97wu" w:id="42"/>
      <w:bookmarkEnd w:id="42"/>
      <w:r w:rsidDel="00000000" w:rsidR="00000000" w:rsidRPr="00000000">
        <w:rPr>
          <w:rFonts w:ascii="Times New Roman" w:cs="Times New Roman" w:eastAsia="Times New Roman" w:hAnsi="Times New Roman"/>
          <w:b w:val="1"/>
          <w:bCs w:val="1"/>
          <w:rtl w:val="0"/>
        </w:rPr>
        <w:t xml:space="preserve">3.5 Evaluarea modelului</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Evaluarea riguroasă a unui model predictiv presupune mai mult decât o singură cifră de performanță. Am utilizat metrici complementare care surprind aspecte diferite ale comportamentului modelului: eroarea de predicție numerică (MAE), capacitatea de explicare a variației (R²), stabilitatea estimărilor (cross-validare) și calitatea clasificării (accuracy față de baseline).</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MAE (Mean Absolute Error) a fost ales ca metrică primară pentru regresie deoarece este ușor de interpretat în unități ale variabilei țintă — puncte pe scala 0–100 — și este mai robust față de valorile extreme decât RMSE. Un MAE de 11.03 înseamnă că, în medie, predicția modelului se abate cu 11 puncte față de scorul real.</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R² măsoară proporția din varianța variabilei țintă explicată de model, față de un clasificator naiv care prezice întotdeauna media. Valoarea pozitivă de 0.196 pe setul de test indică că modelul explică aproximativ 20% din variația scorurilor — o performanță modestă, dar pozitivă, pe un set de variabile strict structurale.</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Pentru clasificare, am raportat acuratețea față de două referințe: un clasificator naiv care atribuie întotdeauna clasa majoritară (53.95%) și performanța pe setul de antrenare (86.91%). Diferența mare antrenare-test sugerează overfitting — modelul a memorat parțial setul de antrenare, ceea ce limitează generalizarea.</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sunt prezentate în tabelul de mai jos.</w:t>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kwl59nselyko" w:id="43"/>
      <w:bookmarkEnd w:id="43"/>
      <w:r w:rsidDel="00000000" w:rsidR="00000000" w:rsidRPr="00000000">
        <w:rPr>
          <w:rFonts w:ascii="Times New Roman" w:cs="Times New Roman" w:eastAsia="Times New Roman" w:hAnsi="Times New Roman"/>
          <w:i w:val="1"/>
          <w:iCs w:val="1"/>
          <w:color w:val="000000"/>
          <w:sz w:val="26"/>
          <w:szCs w:val="26"/>
          <w:rtl w:val="0"/>
        </w:rPr>
        <w:t xml:space="preserve">Tabel 3. Performanța modelului</w:t>
      </w:r>
    </w:p>
    <w:tbl>
      <w:tblPr>
        <w:tblStyle w:val="Table3"/>
        <w:tblW w:w="3210.0" w:type="dxa"/>
        <w:jc w:val="left"/>
        <w:tblLayout w:type="fixed"/>
        <w:tblLook w:val="0600"/>
      </w:tblPr>
      <w:tblGrid>
        <w:gridCol w:w="2190"/>
        <w:gridCol w:w="1020"/>
        <w:tblGridChange w:id="0">
          <w:tblGrid>
            <w:gridCol w:w="2190"/>
            <w:gridCol w:w="10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11.03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0.196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clasificare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55.26%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(antrenare)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(antrenare)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cross-validare (5-fold)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16.23 ± 9.06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cross-validare (5-fold)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−14.21 ± 6.16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baseline (majoritate)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53.95%</w:t>
            </w:r>
          </w:p>
        </w:tc>
      </w:tr>
    </w:tbl>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Cifrele de performanță trebuie citite împreună, nu izolat. R²_test = 0.196 arată că modelul e mai bun decât hazardul pe setul de test, dar R²_CV = −14.21 ± 6.16 obținut în cross-validare trădează o instabilitate semnificativă — performanța variază dramatic între fold-uri, ceea ce indică fie că setul de date este relativ mic față de complexitatea problemei, fie că relația dintre variabilele structurale și scorul de automatizare nu este suficient de robustă pentru a fi generalizată.</w:t>
      </w:r>
    </w:p>
    <w:p w:rsidR="00000000" w:rsidDel="00000000" w:rsidP="00000000" w:rsidRDefault="00000000" w:rsidRPr="00000000" w14:paraId="000000ED">
      <w:pPr>
        <w:pStyle w:val="Heading3"/>
        <w:keepNext w:val="0"/>
        <w:keepLines w:val="0"/>
        <w:spacing w:before="280" w:lineRule="auto"/>
        <w:rPr>
          <w:rFonts w:ascii="Times New Roman" w:cs="Times New Roman" w:eastAsia="Times New Roman" w:hAnsi="Times New Roman"/>
          <w:color w:val="000000"/>
          <w:sz w:val="14"/>
          <w:szCs w:val="14"/>
        </w:rPr>
      </w:pPr>
      <w:bookmarkStart w:colFirst="0" w:colLast="0" w:name="_1hopd3fnn3tt" w:id="44"/>
      <w:bookmarkEnd w:id="44"/>
      <w:r w:rsidDel="00000000" w:rsidR="00000000" w:rsidRPr="00000000">
        <w:rPr>
          <w:rFonts w:ascii="Times New Roman" w:cs="Times New Roman" w:eastAsia="Times New Roman" w:hAnsi="Times New Roman"/>
          <w:color w:val="000000"/>
          <w:sz w:val="14"/>
          <w:szCs w:val="14"/>
          <w:rtl w:val="0"/>
        </w:rPr>
        <w:t xml:space="preserve">Figura 1. Matricea de confuzie</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Matricea de confuzie completează informația oferită de acuratețe globală arătând distribuția erorilor pe clase. Diagonala principală indică clasificările corecte, iar valorile din afara acesteia reflectă confuziile — esențial de examinat pentru a înțelege dacă modelul greșește sistematic în favoarea anumitor clase.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rFonts w:ascii="Times New Roman" w:cs="Times New Roman" w:eastAsia="Times New Roman" w:hAnsi="Times New Roman"/>
          <w:b w:val="1"/>
          <w:bCs w:val="1"/>
        </w:rPr>
      </w:pPr>
      <w:bookmarkStart w:colFirst="0" w:colLast="0" w:name="_h1x2gz9srkod" w:id="45"/>
      <w:bookmarkEnd w:id="45"/>
      <w:r w:rsidDel="00000000" w:rsidR="00000000" w:rsidRPr="00000000">
        <w:rPr>
          <w:rFonts w:ascii="Times New Roman" w:cs="Times New Roman" w:eastAsia="Times New Roman" w:hAnsi="Times New Roman"/>
          <w:b w:val="1"/>
          <w:bCs w:val="1"/>
          <w:rtl w:val="0"/>
        </w:rPr>
        <w:t xml:space="preserve">3.6 Interpretabilitatea modelului</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Performanța predictivă singură nu este suficientă pentru a valida un model destinat analizei de politici. Trebuie să verificăm că modelul utilizează variabilele în mod coerent cu așteptările teoretice — că, de exemplu, un număr mare de competențe repetitive crește riscul estimat, nu îl reduce. Analiza SHAP îndeplinește această funcție de validare.</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Mai concret, SHAP permite să răspundem la două tipuri de întrebări: global (care variabile sunt, în medie, cele mai influente?) și local (de ce această ocupație specifică a primit scorul X?). Ambele niveluri de analiză sunt relevante — primul pentru înțelegerea modelului ca întreg, al doilea pentru comunicarea rezultatelor la nivel individual.</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acest scop a fost utilizată metoda SHAP (SHapley Additive exPlanations), care oferă o interpretare locală și globală a modelului.</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Analiza SHAP a confirmat că variabilele automation_score_proxy și total_skill sunt consistente cei mai importanți predictori — un rezultat aliniat cu ipoteza teoretică, conform căreia proporția competențelor opționale și de cunoaștere (incluse în proxy) capturează structura rutinizabilă a ocupației.</w:t>
      </w:r>
    </w:p>
    <w:p w:rsidR="00000000" w:rsidDel="00000000" w:rsidP="00000000" w:rsidRDefault="00000000" w:rsidRPr="00000000" w14:paraId="000000F5">
      <w:pPr>
        <w:pStyle w:val="Heading3"/>
        <w:keepNext w:val="0"/>
        <w:keepLines w:val="0"/>
        <w:spacing w:before="280" w:lineRule="auto"/>
        <w:rPr>
          <w:rFonts w:ascii="Times New Roman" w:cs="Times New Roman" w:eastAsia="Times New Roman" w:hAnsi="Times New Roman"/>
          <w:color w:val="000000"/>
          <w:sz w:val="14"/>
          <w:szCs w:val="14"/>
        </w:rPr>
      </w:pPr>
      <w:bookmarkStart w:colFirst="0" w:colLast="0" w:name="_urz7vqgprd2n" w:id="46"/>
      <w:bookmarkEnd w:id="46"/>
      <w:r w:rsidDel="00000000" w:rsidR="00000000" w:rsidRPr="00000000">
        <w:rPr>
          <w:rFonts w:ascii="Times New Roman" w:cs="Times New Roman" w:eastAsia="Times New Roman" w:hAnsi="Times New Roman"/>
          <w:color w:val="000000"/>
          <w:sz w:val="14"/>
          <w:szCs w:val="14"/>
          <w:rtl w:val="0"/>
        </w:rPr>
        <w:t xml:space="preserve">Figura 2. Importanța variabilelor utilizând SHAP</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grafic prezintă contribuția globală a fiecărei variabile asupra modelului. Variabilele poziționate în partea superioară sunt cele care influențează cel mai mult estimarea scorului de automatizare.</w:t>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color w:val="000000"/>
          <w:sz w:val="14"/>
          <w:szCs w:val="14"/>
        </w:rPr>
      </w:pPr>
      <w:bookmarkStart w:colFirst="0" w:colLast="0" w:name="_w84nvar4lp8f" w:id="47"/>
      <w:bookmarkEnd w:id="47"/>
      <w:r w:rsidDel="00000000" w:rsidR="00000000" w:rsidRPr="00000000">
        <w:rPr>
          <w:rFonts w:ascii="Times New Roman" w:cs="Times New Roman" w:eastAsia="Times New Roman" w:hAnsi="Times New Roman"/>
          <w:color w:val="000000"/>
          <w:sz w:val="14"/>
          <w:szCs w:val="14"/>
          <w:rtl w:val="0"/>
        </w:rPr>
        <w:t xml:space="preserve">Figura 3. SHAP Summary Plot</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Graficul oferă o imagine detaliată asupra distribuției influenței variabilelor. Poziția și dispersia punctelor indică relația dintre valorile caracteristicilor și predicția modelului.</w:t>
      </w:r>
    </w:p>
    <w:p w:rsidR="00000000" w:rsidDel="00000000" w:rsidP="00000000" w:rsidRDefault="00000000" w:rsidRPr="00000000" w14:paraId="000000F9">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Times New Roman" w:cs="Times New Roman" w:eastAsia="Times New Roman" w:hAnsi="Times New Roman"/>
          <w:b w:val="1"/>
          <w:bCs w:val="1"/>
        </w:rPr>
      </w:pPr>
      <w:bookmarkStart w:colFirst="0" w:colLast="0" w:name="_3gg7xsug04f3" w:id="48"/>
      <w:bookmarkEnd w:id="48"/>
      <w:r w:rsidDel="00000000" w:rsidR="00000000" w:rsidRPr="00000000">
        <w:rPr>
          <w:rFonts w:ascii="Times New Roman" w:cs="Times New Roman" w:eastAsia="Times New Roman" w:hAnsi="Times New Roman"/>
          <w:b w:val="1"/>
          <w:bCs w:val="1"/>
          <w:rtl w:val="0"/>
        </w:rPr>
        <w:t xml:space="preserve">3.7 Aplicarea modelului pe Clasificarea Ocupațiilor din România</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dezvoltarea și evaluarea modelului, acesta a fost aplicat asupra Clasificării Ocupațiilor din România (COR).</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COR conține 4.456 de ocupații organizate pe șase niveluri de clasificare, de la grupe majore (un singur caracter) până la ocupații individuale (șase caractere). Această structură ierarhică nu a fost exploatată în analiza de față — am tratat fiecare ocupație ca o entitate independentă — dar poate fi valorificată în cercetări viitoare.</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Pasul cel mai delicat din întregul pipeline a fost tocmai asocierea dintre COR și ESCO. Cele două sisteme au filosofii de clasificare diferite și nomenclaturi care nu se suprapun consistent. Dacă am fi putut traduce manual fiecare ocupație COR în echivalentul ESCO corespunzător, am fi obținut rezultate mai precise — dar cu 4.456 de ocupații, aceasta ar fi necesitat o expertiză specializată și un efort considerabil.</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Soluția practică adoptată a fost fuzzy matching-ul prin algoritmul RapidFuzz — o variantă eficientă a distanței Levenshtein, adaptată pentru comparații de șiruri de caractere. Logica este simplă: dacă denumirea ocupației COR și cea a ocupației ESCO sunt suficient de similare ca text, le considerăm echivalente și transferăm caracteristicile ESCO ocupației COR.</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Pragul de ≥ 80% a fost ales deliberat mai restrictiv decât valorile uzuale (adesea 70%), tocmai pentru a reduce erorile semantice — situațiile în care două ocupații au denumiri similare, dar conținuturi diferite. Prețul acestei precauții este rata de acoperire scăzută: 14.7% din ocupațiile COR (654 din 4.456). Este o limitare importantă, discutată în detaliu în capitolul 5.</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7xonbpcbrgj0" w:id="49"/>
      <w:bookmarkEnd w:id="49"/>
      <w:r w:rsidDel="00000000" w:rsidR="00000000" w:rsidRPr="00000000">
        <w:rPr>
          <w:rFonts w:ascii="Times New Roman" w:cs="Times New Roman" w:eastAsia="Times New Roman" w:hAnsi="Times New Roman"/>
          <w:i w:val="1"/>
          <w:iCs w:val="1"/>
          <w:color w:val="000000"/>
          <w:sz w:val="26"/>
          <w:szCs w:val="26"/>
          <w:rtl w:val="0"/>
        </w:rPr>
        <w:t xml:space="preserve">Tabel 4. Rezultatele mapping-ului COR–ESCO</w:t>
      </w:r>
    </w:p>
    <w:tbl>
      <w:tblPr>
        <w:tblStyle w:val="Table4"/>
        <w:tblW w:w="3115.0" w:type="dxa"/>
        <w:jc w:val="left"/>
        <w:tblLayout w:type="fixed"/>
        <w:tblLook w:val="0600"/>
      </w:tblPr>
      <w:tblGrid>
        <w:gridCol w:w="2105"/>
        <w:gridCol w:w="1010"/>
        <w:tblGridChange w:id="0">
          <w:tblGrid>
            <w:gridCol w:w="2105"/>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ocupații COR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nemapate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3802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Rată de asociere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14.7%</w:t>
            </w:r>
          </w:p>
        </w:tc>
      </w:tr>
    </w:tbl>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Ocupațiile COR care au trecut pragul de similaritate au primit, prin transfer de la ESCO, valorile celor șase variabile structurale. Pe baza acestora, modelul antrenat a generat scoruri de automatizare individuale, pe care le-am clasificat ulterior în LOW, MEDIUM sau HIGH folosind aceleași praguri de 45 și 65 definite în etapa anterioară.</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8so5j5widaz" w:id="50"/>
      <w:bookmarkEnd w:id="50"/>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rFonts w:ascii="Times New Roman" w:cs="Times New Roman" w:eastAsia="Times New Roman" w:hAnsi="Times New Roman"/>
          <w:b w:val="1"/>
          <w:bCs w:val="1"/>
        </w:rPr>
      </w:pPr>
      <w:bookmarkStart w:colFirst="0" w:colLast="0" w:name="_s3b18xqc31v3" w:id="51"/>
      <w:bookmarkEnd w:id="51"/>
      <w:r w:rsidDel="00000000" w:rsidR="00000000" w:rsidRPr="00000000">
        <w:rPr>
          <w:rFonts w:ascii="Times New Roman" w:cs="Times New Roman" w:eastAsia="Times New Roman" w:hAnsi="Times New Roman"/>
          <w:b w:val="1"/>
          <w:bCs w:val="1"/>
          <w:rtl w:val="0"/>
        </w:rPr>
        <w:t xml:space="preserve">3.8 Workflow-ul complet al cercetării</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metodologic utilizat în cadrul cercetării a inclus mai multe etape consecutive, fiecare având un rol important în dezvoltarea modelului predictiv.</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Fluxul general al cercetării poate fi descris astfel:</w:t>
      </w:r>
    </w:p>
    <w:p w:rsidR="00000000" w:rsidDel="00000000" w:rsidP="00000000" w:rsidRDefault="00000000" w:rsidRPr="00000000" w14:paraId="0000011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colectarea și organizarea datelor ESCO;</w:t>
      </w:r>
    </w:p>
    <w:p w:rsidR="00000000" w:rsidDel="00000000" w:rsidP="00000000" w:rsidRDefault="00000000" w:rsidRPr="00000000" w14:paraId="0000011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selectarea și preprocesarea variabilelor;</w:t>
      </w:r>
    </w:p>
    <w:p w:rsidR="00000000" w:rsidDel="00000000" w:rsidP="00000000" w:rsidRDefault="00000000" w:rsidRPr="00000000" w14:paraId="0000011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antrenarea modelului</w:t>
      </w:r>
      <w:r w:rsidDel="00000000" w:rsidR="00000000" w:rsidRPr="00000000">
        <w:rPr>
          <w:rFonts w:ascii="Times New Roman" w:cs="Times New Roman" w:eastAsia="Times New Roman" w:hAnsi="Times New Roman"/>
          <w:color w:val="00ff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LightGBM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evaluarea performanței;</w:t>
      </w:r>
    </w:p>
    <w:p w:rsidR="00000000" w:rsidDel="00000000" w:rsidP="00000000" w:rsidRDefault="00000000" w:rsidRPr="00000000" w14:paraId="0000011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rezultatelor utilizând SHAP;</w:t>
      </w:r>
    </w:p>
    <w:p w:rsidR="00000000" w:rsidDel="00000000" w:rsidP="00000000" w:rsidRDefault="00000000" w:rsidRPr="00000000" w14:paraId="0000011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realizarea mapping-ului COR–ESCO;</w:t>
      </w:r>
    </w:p>
    <w:p w:rsidR="00000000" w:rsidDel="00000000" w:rsidP="00000000" w:rsidRDefault="00000000" w:rsidRPr="00000000" w14:paraId="0000011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estimarea scorului de automatizare pentru ocupațiile mapate;</w:t>
      </w:r>
    </w:p>
    <w:p w:rsidR="00000000" w:rsidDel="00000000" w:rsidP="00000000" w:rsidRDefault="00000000" w:rsidRPr="00000000" w14:paraId="0000011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distribuției riscului ocupațional.</w:t>
      </w:r>
    </w:p>
    <w:p w:rsidR="00000000" w:rsidDel="00000000" w:rsidP="00000000" w:rsidRDefault="00000000" w:rsidRPr="00000000" w14:paraId="000001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workflow permite reproducerea etapelor utilizate și oferă transparență metodologică asupra procesului de cercetare.</w:t>
      </w:r>
    </w:p>
    <w:p w:rsidR="00000000" w:rsidDel="00000000" w:rsidP="00000000" w:rsidRDefault="00000000" w:rsidRPr="00000000" w14:paraId="000001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o reprezentare vizuală a fluxului de lucru, poate fi introdusă o schemă metodologică care să evidențieze relația dintre date, model și rezultate.</w:t>
      </w:r>
    </w:p>
    <w:p>
      <w:pPr>
        <w:pStyle w:val="Heading2"/>
      </w:pPr>
      <w:r>
        <w:t xml:space="preserve">3.9 Componenta AI 2 — Evaluator Hibrid cu Model de Limbaj de Mari Dimensiuni</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t xml:space="preserve">Paralel cu modelul de regresie LightGBM, aplicația include o a doua componentă de evaluare — AI 2 — care urmărește să compenseze câteva dintre limitele inerente ale primului model. Cel mai evident neajuns al AI 1 este că lucrează exclusiv cu șase variabile structurale din ESCO, fără să poată incorpora informații despre evoluțiile recente din domeniu sau să distingă tipuri calitativ diferite de impact al automatizării. AI 2 încearcă să acopere parțial această lipsă printr-un mecanism hibrid care combină un scoring determinist cu evaluarea unui model de limbaj de mari dimensiuni.</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t xml:space="preserve">Prima etapă a mecanismului calculează un scor determinist pornind de la profilul de competențe al ocupației analizate. Scorul inițial furnizat de AI 1 este corectat prin formula: det_score = scor_inițial × 0,40 + skill_based × 0,60, unde skill_based reflectă proporția competențelor cu risc ridicat față de total. Competențele sunt clasificate în trei categorii — risc înalt, mediu și redus — pe baza unui lexicon de termeni asociați sarcinilor rutinizabile (procesare, înregistrare, calcul, sortare) față de termeni care indică sarcini nerutinizabile (coordonare, evaluare, consiliere, creație, adaptare). Scorul final combină în proporții egale componentele deterministă și GPT: scor_final = round(det_score × 0,5 + scor_GPT × 0,5).</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t xml:space="preserve">A doua etapă trimite modelului GPT-4o un prompt structurat care conține profilul de competențe al ocupației, scorul inițial AI 1 și o selecție de cel mult cinci surse externe relevante extrase din cache-ul local. Modelul este instruit să returneze un obiect JSON cu câmpuri predefinite: scor GPT, riscul de înlocuire (replacementRisk, 0–100), impactul AI (aiImpactScore, 0–100), modificarea față de scorul inițial (scoreChange), motivul ajustării (scoreAdjustmentReason), recomandări profesionale, competențe transferabile, ocupații alternative și o listă de progrese tehnologice relevante. Câmpul scoreChange este recalculat întotdeauna determinist — ca diferență între scorul final și scorul inițial — pentru a evita inconsistențele generate de variabilitatea modelului de limbaj.</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t xml:space="preserve">O contribuție conceptuală importantă a componentei AI 2 este introducerea explicită a distincției dintre replacementRisk și aiImpactScore. Cei doi indicatori capturează dimensiuni calitativ diferite ale impactului automatizării, care în literatura de specialitate sunt adesea tratate împreună, dar care în practică pot evolua independent. replacementRisk estimează probabilitatea că ocupația va dispărea complet din piața muncii ca urmare a automatizării. aiImpactScore capturează gradul în care instrumentele AI transformă activitățile zilnice ale practicianului, chiar și fără a elimina ocupația. Un profesor poate înregistra aiImpactScore de 65/100 pentru că platformele adaptive, generatoarele de materiale didactice și sistemele de evaluare automată îi schimbă substanțial rutina, fără a-l face redundant. Invers, un operator de prelucrare a datelor poate avea ambele scoruri ridicate, indicând o probabilitate mai mare de înlocuire totală.</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t xml:space="preserve">Distincția este relevantă practic: politicile de reconversie profesională vizează diferit o ocupație cu replacementRisk ridicat față de una cu aiImpactScore ridicat. Prima necesită redirecționare spre domenii noi; a doua necesită upskilling în utilizarea instrumentelor AI. Confundarea celor două dimensiuni conduce la intervenții de politici publice inadecvate, ceea ce justifică includerea lor separată în instrumentul de față.</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t xml:space="preserve">Pentru a reduce variabilitatea răspunsurilor GPT-4o și costurile de API, aplicația include un mod demonstrativ cu rezultate pre-calculate pentru cinci ocupații reprezentative: Contabil, Designer grafic, Asistent medical, Profesor și Analist programator. Rezultatele demonstrative acoperă diversitatea profilelor de risc și permit testarea interfeței fără apeluri API. Căutarea ocupației se face prin potrivire fuzzy pe lista de chei demonstrative, cu fallback la evaluarea live.</w:t>
      </w:r>
    </w:p>
    <w:p>
      <w:pPr>
        <w:pStyle w:val="Heading2"/>
      </w:pPr>
      <w:r>
        <w:t xml:space="preserve">3.10 Sistemul de Colectare și Gestionare a Surselor Externe</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t xml:space="preserve">Pentru ca evaluarea AI 2 să nu se bazeze exclusiv pe cunoștințele parametrice ale modelului GPT-4o — cunoștințe cu dată de expirare și potențial inconsistente cu evoluțiile recente — am integrat un sistem modular de colectare și gestionare a surselor externe. Arhitectura este de tip cache-first: colectarea se face periodic sau la cerere, nu la fiecare evaluare, eliminând latența căutărilor live.</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t xml:space="preserve">Sistemul include cinci tipuri de colectori. Colectorul arXiv extrage articole recente din categoriile cs.AI, cs.LG, cs.CL, cs.CV, cs.RO și econ.GN, fără autentificare — API-ul arXiv este public. Maturitatea fiecărui articol se inferează din vechimea publicației: sub 180 de zile înseamnă 'emerging', sub doi ani 'growing', altfel 'high'. Colectorul Hugging Face Hub interogează modelele publice cu cel puțin 10.000 de descărcări din zece tipuri de task-uri: generare text, recunoaștere vocală, clasificare imagini, detectare obiecte, traducere, sumarizare, clasificare text, question answering, NER și image-to-text. Impactul estimat al unui model se derivă din numărul de aprecieri (likes ≥ 1.000 = înalt, ≥ 100 = mediu, altfel = redus).</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t xml:space="preserve">Colectorul OpenAlex exploatează API-ul gratuit cu parametru polite_pool (adresă de e-mail) care îmbunătățește limita de rată. Se filtrează articole de tip 'article' publicate după un an de referință și se sortează descrescător după numărul de citări. Colectorul RSS/bloguri oficiale parsează fluxurile de știri de la OpenAI, Google DeepMind, Meta AI, Anthropic, Hugging Face Blog și MIT Technology Review, suportând atât RSS 2.0 cât și Atom. Colectorul Discord este opțional — necesită token de bot — și stochează exclusiv date non-personale: URL-ul mesajului, primul rând non-gol ca titlu, rezumatul (maxim 500 de caractere) și denumirea canalului. Această componentă este etichetată explicit ca 'semnal curatorial', nu sursă academică.</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t xml:space="preserve">Sursele colectate sunt stocate într-o bază de date SQLite locală cu mod WAL (Write-Ahead Logging), pentru citiri concurente în mediul multi-thread al Streamlit. Deduplicarea se realizează prin similaritate Jaccard pe seturile de cuvinte din titlu, cu prag &gt; 0,85. Un modul de ranking compozit atribuie fiecărei surse un scor calculat astfel: scor_compus = (relevanță × 0,50 + recență × 0,20 + impact × 0,20 + dovezi × 0,10) × credibilitate_sursă. Credibilitatea reflectă tipul sursei: OpenAlex (0,90) &gt; arXiv (0,85) &gt; bloguri oficiale (0,80) &gt; Hugging Face (0,75) &gt; estimări GPT (0,55) &gt; Discord (0,40). Ierarhia operaționalizează diferența dintre surse peer-reviewed și surse de semnal curatorial.</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t xml:space="preserve">Dacă cache-ul este gol sau nu conține surse relevante pentru ocupația analizată, componenta AI 2 revine la estimările proprii ale GPT-4o, fără a afecta funcționalitatea de bază. Interfața aplicației Streamlit include un buton de actualizare în bara laterală care declanșează colectarea pentru toate sursele disponibile și un rezumat al stării cache-ului: număr total de înregistrări, distribuție pe tip de sursă și data ultimei actualizări. Această transparență față de utilizator este importantă pentru evaluarea calității surselor care au influențat o anumită estimare.</w:t>
      </w:r>
    </w:p>
    <w:p w:rsidR="00000000" w:rsidDel="00000000" w:rsidP="00000000" w:rsidRDefault="00000000" w:rsidRPr="00000000" w14:paraId="0000011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la7h8uf9djnb" w:id="52"/>
      <w:bookmarkEnd w:id="52"/>
      <w:r w:rsidDel="00000000" w:rsidR="00000000" w:rsidRPr="00000000">
        <w:rPr>
          <w:rFonts w:ascii="Times New Roman" w:cs="Times New Roman" w:eastAsia="Times New Roman" w:hAnsi="Times New Roman"/>
          <w:b w:val="1"/>
          <w:bCs w:val="1"/>
          <w:sz w:val="44"/>
          <w:szCs w:val="44"/>
          <w:rtl w:val="0"/>
        </w:rPr>
        <w:t xml:space="preserve">4. Rezultate și Analiză</w:t>
      </w:r>
    </w:p>
    <w:p w:rsidR="00000000" w:rsidDel="00000000" w:rsidP="00000000" w:rsidRDefault="00000000" w:rsidRPr="00000000" w14:paraId="0000011D">
      <w:pPr>
        <w:pStyle w:val="Heading2"/>
        <w:keepNext w:val="0"/>
        <w:keepLines w:val="0"/>
        <w:spacing w:after="80" w:lineRule="auto"/>
        <w:rPr>
          <w:rFonts w:ascii="Times New Roman" w:cs="Times New Roman" w:eastAsia="Times New Roman" w:hAnsi="Times New Roman"/>
          <w:b w:val="1"/>
          <w:bCs w:val="1"/>
        </w:rPr>
      </w:pPr>
      <w:bookmarkStart w:colFirst="0" w:colLast="0" w:name="_kgo2q91fu12l" w:id="53"/>
      <w:bookmarkEnd w:id="53"/>
      <w:r w:rsidDel="00000000" w:rsidR="00000000" w:rsidRPr="00000000">
        <w:rPr>
          <w:rFonts w:ascii="Times New Roman" w:cs="Times New Roman" w:eastAsia="Times New Roman" w:hAnsi="Times New Roman"/>
          <w:b w:val="1"/>
          <w:bCs w:val="1"/>
          <w:rtl w:val="0"/>
        </w:rPr>
        <w:t xml:space="preserve">4.1 Introducere în analiza rezultatelor</w:t>
      </w:r>
    </w:p>
    <w:p w:rsidR="00000000" w:rsidDel="00000000" w:rsidP="00000000" w:rsidRDefault="00000000" w:rsidRPr="00000000" w14:paraId="000001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Rezultatele obținute ridică cel puțin două întrebări distincte, care trebuie tratate separat: cât de bine funcționează modelul pe datele de testare ESCO? și ce spune distribuția scorurilor despre profilul de risc al ocupațiilor românești din COR? Răspunsurile la cele două întrebări sunt, după cum vom vedea, nuanțate și uneori contradictorii la prima vedere.</w:t>
      </w:r>
    </w:p>
    <w:p w:rsidR="00000000" w:rsidDel="00000000" w:rsidP="00000000" w:rsidRDefault="00000000" w:rsidRPr="00000000" w14:paraId="0000011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Capitolul de față prezintă rezultatele obținute în urma aplicării modelului asupra datelor </w:t>
      </w:r>
      <w:r w:rsidDel="00000000" w:rsidR="00000000" w:rsidRPr="00000000">
        <w:rPr>
          <w:rFonts w:ascii="Times New Roman" w:cs="Times New Roman" w:eastAsia="Times New Roman" w:hAnsi="Times New Roman"/>
          <w:sz w:val="24"/>
          <w:szCs w:val="24"/>
          <w:rtl w:val="0"/>
        </w:rPr>
        <w:t xml:space="preserve">ESCO</w:t>
      </w:r>
      <w:r w:rsidDel="00000000" w:rsidR="00000000" w:rsidRPr="00000000">
        <w:rPr>
          <w:rFonts w:ascii="Times New Roman" w:cs="Times New Roman" w:eastAsia="Times New Roman" w:hAnsi="Times New Roman"/>
          <w:sz w:val="24"/>
          <w:szCs w:val="24"/>
          <w:rtl w:val="0"/>
        </w:rPr>
        <w:t xml:space="preserve"> și transferului acestora asupra Clasificării Ocupațiilor din România (COR). Analiza urmărește atât performanța modelului, cât și distribuția scorurilor de automatizare, interpretarea nivelurilor de risc și identificarea tiparelor ocupaționale.</w:t>
      </w:r>
    </w:p>
    <w:p w:rsidR="00000000" w:rsidDel="00000000" w:rsidP="00000000" w:rsidRDefault="00000000" w:rsidRPr="00000000" w14:paraId="0000012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remarcă metodologică preliminară: indicatorii de performanță prezentați în secțiunea 4.2 se referă la setul de test ESCO, nu la predicțiile COR. Scorurile pentru ocupațiile COR sunt estimări de transfer — nu putem evalua direct acuratețea lor față de o valoare reală, deoarece nu există o etichetă validată extern pentru riscul de automatizare al ocupațiilor românești.</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rFonts w:ascii="Times New Roman" w:cs="Times New Roman" w:eastAsia="Times New Roman" w:hAnsi="Times New Roman"/>
          <w:b w:val="1"/>
          <w:bCs w:val="1"/>
        </w:rPr>
      </w:pPr>
      <w:bookmarkStart w:colFirst="0" w:colLast="0" w:name="_knrqlq6miuya" w:id="54"/>
      <w:bookmarkEnd w:id="54"/>
      <w:r w:rsidDel="00000000" w:rsidR="00000000" w:rsidRPr="00000000">
        <w:rPr>
          <w:rFonts w:ascii="Times New Roman" w:cs="Times New Roman" w:eastAsia="Times New Roman" w:hAnsi="Times New Roman"/>
          <w:b w:val="1"/>
          <w:bCs w:val="1"/>
          <w:rtl w:val="0"/>
        </w:rPr>
        <w:t xml:space="preserve">4.2 Analiza performanței modelului</w:t>
      </w:r>
    </w:p>
    <w:p w:rsidR="00000000" w:rsidDel="00000000" w:rsidP="00000000" w:rsidRDefault="00000000" w:rsidRPr="00000000" w14:paraId="0000012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Evaluarea performanței pe setul de test constituie singura măsurare obiectivă a calității modelului disponibilă în această cercetare. Tabelul 5 sintetizează principalele metrici obținute, incluzând atât valorile pe setul de test, cât și rezultatele cross-validării 5-fold — esențiale pentru a evalua stabilitatea estimărilor.</w:t>
      </w:r>
    </w:p>
    <w:p w:rsidR="00000000" w:rsidDel="00000000" w:rsidP="00000000" w:rsidRDefault="00000000" w:rsidRPr="00000000" w14:paraId="0000012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sunt prezentate în tabelul următor.</w:t>
      </w:r>
    </w:p>
    <w:p w:rsidR="00000000" w:rsidDel="00000000" w:rsidP="00000000" w:rsidRDefault="00000000" w:rsidRPr="00000000" w14:paraId="0000012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b0hmagot1yg0" w:id="55"/>
      <w:bookmarkEnd w:id="55"/>
      <w:r w:rsidDel="00000000" w:rsidR="00000000" w:rsidRPr="00000000">
        <w:rPr>
          <w:rFonts w:ascii="Times New Roman" w:cs="Times New Roman" w:eastAsia="Times New Roman" w:hAnsi="Times New Roman"/>
          <w:color w:val="000000"/>
          <w:sz w:val="24"/>
          <w:szCs w:val="24"/>
          <w:rtl w:val="0"/>
        </w:rPr>
        <w:t xml:space="preserve">Tabel 5. Performanța modelului predictiv</w:t>
      </w:r>
    </w:p>
    <w:tbl>
      <w:tblPr>
        <w:tblStyle w:val="Table5"/>
        <w:tblW w:w="3205.0" w:type="dxa"/>
        <w:jc w:val="left"/>
        <w:tblLayout w:type="fixed"/>
        <w:tblLook w:val="0600"/>
      </w:tblPr>
      <w:tblGrid>
        <w:gridCol w:w="2195"/>
        <w:gridCol w:w="1010"/>
        <w:tblGridChange w:id="0">
          <w:tblGrid>
            <w:gridCol w:w="2195"/>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11.03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0.196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clasificare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55.26%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(antrenare)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(antrenare)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cross-validare (5-fold)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16.23 ± 9.06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cross-validare (5-fold)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−14.21 ± 6.16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baseline (majoritate)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53.95%</w:t>
            </w:r>
          </w:p>
        </w:tc>
      </w:tr>
    </w:tbl>
    <w:p w:rsidR="00000000" w:rsidDel="00000000" w:rsidP="00000000" w:rsidRDefault="00000000" w:rsidRPr="00000000" w14:paraId="0000012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MAE-ul de 11.03 pe testare trebuie interpretat în context. Pe o scală de la 0 la 100, cu praguri de clasificare la 45 și 65, o eroare medie de 11 puncte poate modifica încadrarea în categorii de risc pentru ocupațiile aflate în apropierea pragurilor. Acesta este motivul pentru care scorurile individuale trebuie tratate ca estimări orientative, nu ca valori exacte.</w:t>
      </w:r>
    </w:p>
    <w:p w:rsidR="00000000" w:rsidDel="00000000" w:rsidP="00000000" w:rsidRDefault="00000000" w:rsidRPr="00000000" w14:paraId="0000012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Tensiunea dintre R²_test = 0.196 și R²_CV = −14.21 ± 6.16 este cea mai îngrijorătoare caracteristică a modelului. O explicație probabilă este că partițiile din cross-validare capturează variabilitatea naturală din setul ESCO mai agresiv decât split-ul simplu train/test — ceea ce sugerează că performanța observată pe test-set poate fi parțial norocoasă. Această concluzie impune maxim de prudență în extrapolarea rezultatelor.</w:t>
      </w:r>
      <w:r w:rsidDel="00000000" w:rsidR="00000000" w:rsidRPr="00000000">
        <w:rPr>
          <w:rFonts w:ascii="Times New Roman" w:cs="Times New Roman" w:eastAsia="Times New Roman" w:hAnsi="Times New Roman"/>
          <w:color w:val="00ff00"/>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3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Acuratețea de 55.26% depășește marginal baseline-ul trivial (53.95%), cu o marjă de +1.31 puncte procentuale. Deși diferența este redusă, modelul adaugă valoare față de clasificatorul naiv bazat pe clasa majoritară.</w:t>
      </w:r>
    </w:p>
    <w:p w:rsidR="00000000" w:rsidDel="00000000" w:rsidP="00000000" w:rsidRDefault="00000000" w:rsidRPr="00000000" w14:paraId="0000013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rFonts w:ascii="Times New Roman" w:cs="Times New Roman" w:eastAsia="Times New Roman" w:hAnsi="Times New Roman"/>
          <w:b w:val="1"/>
          <w:bCs w:val="1"/>
        </w:rPr>
      </w:pPr>
      <w:bookmarkStart w:colFirst="0" w:colLast="0" w:name="_ip2xq8muyg37" w:id="56"/>
      <w:bookmarkEnd w:id="56"/>
      <w:r w:rsidDel="00000000" w:rsidR="00000000" w:rsidRPr="00000000">
        <w:rPr>
          <w:rFonts w:ascii="Times New Roman" w:cs="Times New Roman" w:eastAsia="Times New Roman" w:hAnsi="Times New Roman"/>
          <w:b w:val="1"/>
          <w:bCs w:val="1"/>
          <w:rtl w:val="0"/>
        </w:rPr>
        <w:t xml:space="preserve">4.3 Analiza scorului de automatizare</w:t>
      </w:r>
    </w:p>
    <w:p w:rsidR="00000000" w:rsidDel="00000000" w:rsidP="00000000" w:rsidRDefault="00000000" w:rsidRPr="00000000" w14:paraId="0000013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Dincolo de metricile agregate, analiza distribuției scorurilor individuale oferă o imagine mai nuanțată a modului în care modelul percepe spațiul ocupațional.</w:t>
      </w:r>
    </w:p>
    <w:p w:rsidR="00000000" w:rsidDel="00000000" w:rsidP="00000000" w:rsidRDefault="00000000" w:rsidRPr="00000000" w14:paraId="0000013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Scorurile sunt distribuite pe întreaga scală 0–100, cu o concentrare predominantă în intervalul 20–60. Aceasta reflectă, probabil, structura competențelor ESCO: majoritatea ocupațiilor au o combinație de competențe rutinare și nerutinare, fără a fi extreme în niciunul dintre sensuri.</w:t>
      </w:r>
    </w:p>
    <w:p w:rsidR="00000000" w:rsidDel="00000000" w:rsidP="00000000" w:rsidRDefault="00000000" w:rsidRPr="00000000" w14:paraId="0000013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Concentrarea în zona mediană nu este neapărat un semn de performanță slabă a modelului — ar putea reflecta realitatea că puține ocupații sunt, structural, pur repetitive sau pur creative. Aceasta este, de altfel, și concluzia studiilor internaționale recente: polarizarea reală a pieței muncii nu este între ocupații care vor dispărea versus ocupații complet sigure, ci între cele care se vor transforma mai mult și cele care se vor transforma mai puțin.</w:t>
      </w:r>
    </w:p>
    <w:p w:rsidR="00000000" w:rsidDel="00000000" w:rsidP="00000000" w:rsidRDefault="00000000" w:rsidRPr="00000000" w14:paraId="0000013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Distribuția relativ simetrică în jurul mediei sugerează că modelul nu are o tendință sistematică de supraestimare sau subestimare a riscului — cel puțin la nivel agregat. Analiza erorilor individuale (disponibilă în fișierul analiza_erori_model.csv generat în etapa de evaluare) arată că cele mai mari erori apar la ocupații cu profiluri competențiale atipice.</w:t>
      </w:r>
    </w:p>
    <w:p w:rsidR="00000000" w:rsidDel="00000000" w:rsidP="00000000" w:rsidRDefault="00000000" w:rsidRPr="00000000" w14:paraId="0000013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 capătul superior al distribuției, scorurile ridicate corespund, de regulă, ocupațiilor cu un număr mic de competențe distincte, concentrat în cunoștințe formale sau proceduri standardizate — de exemplu, operatori de utilaje specifice sau lucrători în procesare de date.</w:t>
      </w:r>
    </w:p>
    <w:p w:rsidR="00000000" w:rsidDel="00000000" w:rsidP="00000000" w:rsidRDefault="00000000" w:rsidRPr="00000000" w14:paraId="0000013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 capătul inferior, scorurile mici caracterizează în mod consistent ocupațiile cu profiluri competențiale ample și diversificate — profesii medicale, juridice sau educaționale — unde varietatea competențelor reflectă complexitatea și adaptabilitatea cerute de exercitarea lor.</w:t>
      </w:r>
    </w:p>
    <w:p w:rsidR="00000000" w:rsidDel="00000000" w:rsidP="00000000" w:rsidRDefault="00000000" w:rsidRPr="00000000" w14:paraId="0000013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rFonts w:ascii="Times New Roman" w:cs="Times New Roman" w:eastAsia="Times New Roman" w:hAnsi="Times New Roman"/>
          <w:b w:val="1"/>
          <w:bCs w:val="1"/>
        </w:rPr>
      </w:pPr>
      <w:bookmarkStart w:colFirst="0" w:colLast="0" w:name="_7hxke6n0yggu" w:id="57"/>
      <w:bookmarkEnd w:id="57"/>
      <w:r w:rsidDel="00000000" w:rsidR="00000000" w:rsidRPr="00000000">
        <w:rPr>
          <w:rFonts w:ascii="Times New Roman" w:cs="Times New Roman" w:eastAsia="Times New Roman" w:hAnsi="Times New Roman"/>
          <w:b w:val="1"/>
          <w:bCs w:val="1"/>
          <w:rtl w:val="0"/>
        </w:rPr>
        <w:t xml:space="preserve">4.4 Clasificarea ocupațiilor pe niveluri de risc</w:t>
      </w:r>
    </w:p>
    <w:p w:rsidR="00000000" w:rsidDel="00000000" w:rsidP="00000000" w:rsidRDefault="00000000" w:rsidRPr="00000000" w14:paraId="0000013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o interpretare mai clară a rezultatelor, scorurile de automatizare au fost transformate în trei categorii distincte.</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a fost realizată utilizând următoarele praguri:</w:t>
      </w:r>
    </w:p>
    <w:p w:rsidR="00000000" w:rsidDel="00000000" w:rsidP="00000000" w:rsidRDefault="00000000" w:rsidRPr="00000000" w14:paraId="0000013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risc redus de automatizare;</w:t>
      </w:r>
    </w:p>
    <w:p w:rsidR="00000000" w:rsidDel="00000000" w:rsidP="00000000" w:rsidRDefault="00000000" w:rsidRPr="00000000" w14:paraId="0000013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risc moderat;</w:t>
      </w:r>
    </w:p>
    <w:p w:rsidR="00000000" w:rsidDel="00000000" w:rsidP="00000000" w:rsidRDefault="00000000" w:rsidRPr="00000000" w14:paraId="0000013F">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risc ridicat.</w:t>
      </w:r>
    </w:p>
    <w:p w:rsidR="00000000" w:rsidDel="00000000" w:rsidP="00000000" w:rsidRDefault="00000000" w:rsidRPr="00000000" w14:paraId="0000014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clasificare permite gruparea ocupațiilor în funcție de vulnerabilitatea estimată și facilitează analiza comparativă.</w:t>
      </w:r>
    </w:p>
    <w:p w:rsidR="00000000" w:rsidDel="00000000" w:rsidP="00000000" w:rsidRDefault="00000000" w:rsidRPr="00000000" w14:paraId="0000014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 setul ESCO de antrenare, distribuția claselor a arătat că LOW (53.9%) este categoria majoritară, urmată de MEDIUM (35.1%) și HIGH (11.0%). Această distribuție dezechilibrată a influențat semnificativ performanța clasificatorului, care tinde să favorizeze clasa majoritară — un comportament așteptat și documentat în literatura de machine learning pe seturi dezechilibrate.</w:t>
      </w:r>
    </w:p>
    <w:p w:rsidR="00000000" w:rsidDel="00000000" w:rsidP="00000000" w:rsidRDefault="00000000" w:rsidRPr="00000000" w14:paraId="0000014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rezultat sugerează că multe profesii prezintă o combinație între activități automatizabile și sarcini care necesită intervenție umană.</w:t>
      </w:r>
    </w:p>
    <w:p w:rsidR="00000000" w:rsidDel="00000000" w:rsidP="00000000" w:rsidRDefault="00000000" w:rsidRPr="00000000" w14:paraId="0000014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LOW include ocupații cu nivel redus de expunere, în timp ce categoria HIGH este rezervată profesiilor caracterizate prin activități repetitive și procese bine definite.</w:t>
      </w:r>
    </w:p>
    <w:p w:rsidR="00000000" w:rsidDel="00000000" w:rsidP="00000000" w:rsidRDefault="00000000" w:rsidRPr="00000000" w14:paraId="0000014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rFonts w:ascii="Times New Roman" w:cs="Times New Roman" w:eastAsia="Times New Roman" w:hAnsi="Times New Roman"/>
          <w:b w:val="1"/>
          <w:bCs w:val="1"/>
        </w:rPr>
      </w:pPr>
      <w:bookmarkStart w:colFirst="0" w:colLast="0" w:name="_m10nehddpsnw" w:id="58"/>
      <w:bookmarkEnd w:id="58"/>
      <w:r w:rsidDel="00000000" w:rsidR="00000000" w:rsidRPr="00000000">
        <w:rPr>
          <w:rFonts w:ascii="Times New Roman" w:cs="Times New Roman" w:eastAsia="Times New Roman" w:hAnsi="Times New Roman"/>
          <w:b w:val="1"/>
          <w:bCs w:val="1"/>
          <w:rtl w:val="0"/>
        </w:rPr>
        <w:t xml:space="preserve">4.5 Aplicarea modelului asupra ocupațiilor din România</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validarea modelului pe datele ESCO, acesta a fost aplicat asupra Clasificării Ocupațiilor din România.</w:t>
      </w:r>
    </w:p>
    <w:p w:rsidR="00000000" w:rsidDel="00000000" w:rsidP="00000000" w:rsidRDefault="00000000" w:rsidRPr="00000000" w14:paraId="0000014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Aplicarea modelului pe COR urmărește un scop dublu: pe de o parte, testarea transferabilității metodologiei pe un alt sistem de clasificare; pe de altă parte, obținerea unor estimări orientative privind profilul de risc al ocupațiilor din România.</w:t>
      </w:r>
    </w:p>
    <w:p w:rsidR="00000000" w:rsidDel="00000000" w:rsidP="00000000" w:rsidRDefault="00000000" w:rsidRPr="00000000" w14:paraId="0000014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realizarea acestei etape a fost utilizat un proces de asociere între ocupațiile ESCO și ocupațiile COR.</w:t>
      </w:r>
    </w:p>
    <w:p w:rsidR="00000000" w:rsidDel="00000000" w:rsidP="00000000" w:rsidRDefault="00000000" w:rsidRPr="00000000" w14:paraId="0000014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Prin fuzzy matching cu prag ≥ 80%, au putut fi asociate 654 de ocupații COR cu echivalente ESCO. Cele 3.802 ocupații rămase nemapate nu au putut fi evaluate cu modelul curent, ceea ce reprezintă cea mai importantă limitare operațională a acestei analize.</w:t>
      </w:r>
    </w:p>
    <w:p w:rsidR="00000000" w:rsidDel="00000000" w:rsidP="00000000" w:rsidRDefault="00000000" w:rsidRPr="00000000" w14:paraId="0000014A">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5ejk10kzlru" w:id="59"/>
      <w:bookmarkEnd w:id="59"/>
      <w:r w:rsidDel="00000000" w:rsidR="00000000" w:rsidRPr="00000000">
        <w:rPr>
          <w:rFonts w:ascii="Times New Roman" w:cs="Times New Roman" w:eastAsia="Times New Roman" w:hAnsi="Times New Roman"/>
          <w:i w:val="1"/>
          <w:iCs w:val="1"/>
          <w:color w:val="000000"/>
          <w:sz w:val="24"/>
          <w:szCs w:val="24"/>
          <w:rtl w:val="0"/>
        </w:rPr>
        <w:t xml:space="preserve">Tabel 6. Rezultatele aplicării modelului pe COR</w:t>
      </w:r>
    </w:p>
    <w:tbl>
      <w:tblPr>
        <w:tblStyle w:val="Table6"/>
        <w:tblW w:w="3070.0" w:type="dxa"/>
        <w:jc w:val="left"/>
        <w:tblLayout w:type="fixed"/>
        <w:tblLook w:val="0600"/>
      </w:tblPr>
      <w:tblGrid>
        <w:gridCol w:w="2105"/>
        <w:gridCol w:w="965"/>
        <w:tblGridChange w:id="0">
          <w:tblGrid>
            <w:gridCol w:w="2105"/>
            <w:gridCol w:w="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ocupații COR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nemapate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3802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Rată mapare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14.7%</w:t>
            </w:r>
          </w:p>
        </w:tc>
      </w:tr>
    </w:tbl>
    <w:p w:rsidR="00000000" w:rsidDel="00000000" w:rsidP="00000000" w:rsidRDefault="00000000" w:rsidRPr="00000000" w14:paraId="0000015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Rata de mapare de 14.7% este mai mică decât valorile raportate în studii similare pentru alte piețe, ceea ce reflectă atât diferențele structurale dintre COR și ESCO, cât și faptul că pragul de 80% este mai restrictiv decât media din literatură. Un prag mai permisiv ar crește acoperirea, dar ar introduce mai multe asocieri eronate.</w:t>
      </w:r>
    </w:p>
    <w:p w:rsidR="00000000" w:rsidDel="00000000" w:rsidP="00000000" w:rsidRDefault="00000000" w:rsidRPr="00000000" w14:paraId="0000015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Printre motivele pentru care ocupațiile nu s-au putut mapa se numără: denumiri complet diferite între COR și ESCO pentru ocupații echivalente, ocupații COR specifice contextului național fără corespondent european, și variații ortografice sau de diacritice care au îngreunat comparația textuală.</w:t>
      </w:r>
    </w:p>
    <w:p w:rsidR="00000000" w:rsidDel="00000000" w:rsidP="00000000" w:rsidRDefault="00000000" w:rsidRPr="00000000" w14:paraId="0000015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rFonts w:ascii="Times New Roman" w:cs="Times New Roman" w:eastAsia="Times New Roman" w:hAnsi="Times New Roman"/>
          <w:b w:val="1"/>
          <w:bCs w:val="1"/>
        </w:rPr>
      </w:pPr>
      <w:bookmarkStart w:colFirst="0" w:colLast="0" w:name="_h9c33p2dd9l2" w:id="60"/>
      <w:bookmarkEnd w:id="60"/>
      <w:r w:rsidDel="00000000" w:rsidR="00000000" w:rsidRPr="00000000">
        <w:rPr>
          <w:rFonts w:ascii="Times New Roman" w:cs="Times New Roman" w:eastAsia="Times New Roman" w:hAnsi="Times New Roman"/>
          <w:b w:val="1"/>
          <w:bCs w:val="1"/>
          <w:rtl w:val="0"/>
        </w:rPr>
        <w:t xml:space="preserve">4.6 Distribuția nivelurilor de risc în România</w:t>
      </w:r>
    </w:p>
    <w:p w:rsidR="00000000" w:rsidDel="00000000" w:rsidP="00000000" w:rsidRDefault="00000000" w:rsidRPr="00000000" w14:paraId="0000015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Aplicarea modelului asupra ocupațiilor românești a permis estimarea distribuției riscului de automatizare la nivel național.</w:t>
      </w:r>
    </w:p>
    <w:p w:rsidR="00000000" w:rsidDel="00000000" w:rsidP="00000000" w:rsidRDefault="00000000" w:rsidRPr="00000000" w14:paraId="0000015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sunt prezentate în tabelul de mai jos.</w:t>
      </w:r>
    </w:p>
    <w:p w:rsidR="00000000" w:rsidDel="00000000" w:rsidP="00000000" w:rsidRDefault="00000000" w:rsidRPr="00000000" w14:paraId="0000015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wsk7a6ocla4" w:id="61"/>
      <w:bookmarkEnd w:id="61"/>
      <w:r w:rsidDel="00000000" w:rsidR="00000000" w:rsidRPr="00000000">
        <w:rPr>
          <w:rFonts w:ascii="Times New Roman" w:cs="Times New Roman" w:eastAsia="Times New Roman" w:hAnsi="Times New Roman"/>
          <w:color w:val="000000"/>
          <w:sz w:val="24"/>
          <w:szCs w:val="24"/>
          <w:rtl w:val="0"/>
        </w:rPr>
        <w:t xml:space="preserve">Tabel 7. Distribuția ocupațiilor pe niveluri de risc</w:t>
      </w:r>
    </w:p>
    <w:tbl>
      <w:tblPr>
        <w:tblStyle w:val="Table7"/>
        <w:tblW w:w="2965.0" w:type="dxa"/>
        <w:jc w:val="left"/>
        <w:tblLayout w:type="fixed"/>
        <w:tblLook w:val="0600"/>
      </w:tblPr>
      <w:tblGrid>
        <w:gridCol w:w="1235"/>
        <w:gridCol w:w="1730"/>
        <w:tblGridChange w:id="0">
          <w:tblGrid>
            <w:gridCol w:w="1235"/>
            <w:gridCol w:w="1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risc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 ocupații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w:t>
            </w:r>
          </w:p>
        </w:tc>
      </w:tr>
    </w:tbl>
    <w:p w:rsidR="00000000" w:rsidDel="00000000" w:rsidP="00000000" w:rsidRDefault="00000000" w:rsidRPr="00000000" w14:paraId="0000016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Distribuția riscului pentru ocupațiile COR mapate arată o repartizare aproximativ egală între LOW (330, 50.5%) și MEDIUM (318, 48.6%), cu un număr extrem de mic de ocupații HIGH (6, 0.9%). Această distribuție diferă față de setul ESCO de antrenare, unde HIGH reprezenta 11%. O ipoteză rezonabilă este că pragul ridicat de similaritate favorizează selecția ocupațiilor cu denumiri mai complete și mai elaborate — care tind să corespundă unor profiluri mai complexe, mai puțin rutiniere.</w:t>
      </w:r>
    </w:p>
    <w:p w:rsidR="00000000" w:rsidDel="00000000" w:rsidP="00000000" w:rsidRDefault="00000000" w:rsidRPr="00000000" w14:paraId="0000016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Aceasta nu înseamnă neapărat că piața muncii din România are un profil de risc mai scăzut decât media europeană — ci că eșantionul de 654 de ocupații accesibile prin mapare poate fi un subset nesistematic, cu un bias spre ocupațiile mai ușor de asociat textual.</w:t>
      </w:r>
    </w:p>
    <w:p w:rsidR="00000000" w:rsidDel="00000000" w:rsidP="00000000" w:rsidRDefault="00000000" w:rsidRPr="00000000" w14:paraId="0000016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Cele 6 ocupații clasificate HIGH — sablator produse din sticlă, confecționer circuite imprimate și operator la mașina de laminat printre primele trei — au scoruri între 66 și 70, ceea ce le plasează modest în zona de risc ridicat. Absența unor scoruri extreme (&gt;85) în setul COR este explicabilă prin selectivitatea procesului de mapare.</w:t>
      </w:r>
    </w:p>
    <w:p w:rsidR="00000000" w:rsidDel="00000000" w:rsidP="00000000" w:rsidRDefault="00000000" w:rsidRPr="00000000" w14:paraId="0000016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rFonts w:ascii="Times New Roman" w:cs="Times New Roman" w:eastAsia="Times New Roman" w:hAnsi="Times New Roman"/>
          <w:b w:val="1"/>
          <w:bCs w:val="1"/>
        </w:rPr>
      </w:pPr>
      <w:bookmarkStart w:colFirst="0" w:colLast="0" w:name="_m3hb4qizbz94" w:id="62"/>
      <w:bookmarkEnd w:id="62"/>
      <w:r w:rsidDel="00000000" w:rsidR="00000000" w:rsidRPr="00000000">
        <w:rPr>
          <w:rFonts w:ascii="Times New Roman" w:cs="Times New Roman" w:eastAsia="Times New Roman" w:hAnsi="Times New Roman"/>
          <w:b w:val="1"/>
          <w:bCs w:val="1"/>
          <w:rtl w:val="0"/>
        </w:rPr>
        <w:t xml:space="preserve">4.7 Exemple de ocupații evaluate</w:t>
      </w:r>
    </w:p>
    <w:p w:rsidR="00000000" w:rsidDel="00000000" w:rsidP="00000000" w:rsidRDefault="00000000" w:rsidRPr="00000000" w14:paraId="0000016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o mai bună înțelegere a modului în care modelul clasifică ocupațiile, pot fi analizate câteva exemple reprezentative.</w:t>
      </w:r>
    </w:p>
    <w:p w:rsidR="00000000" w:rsidDel="00000000" w:rsidP="00000000" w:rsidRDefault="00000000" w:rsidRPr="00000000" w14:paraId="0000016A">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ctmfu78wslh3" w:id="63"/>
      <w:bookmarkEnd w:id="63"/>
      <w:r w:rsidDel="00000000" w:rsidR="00000000" w:rsidRPr="00000000">
        <w:rPr>
          <w:rFonts w:ascii="Times New Roman" w:cs="Times New Roman" w:eastAsia="Times New Roman" w:hAnsi="Times New Roman"/>
          <w:i w:val="1"/>
          <w:iCs w:val="1"/>
          <w:color w:val="000000"/>
          <w:sz w:val="24"/>
          <w:szCs w:val="24"/>
          <w:rtl w:val="0"/>
        </w:rPr>
        <w:t xml:space="preserve">Tabel 8. Exemple de ocupații cu risc ridicat</w:t>
      </w:r>
    </w:p>
    <w:tbl>
      <w:tblPr>
        <w:tblStyle w:val="Table8"/>
        <w:tblW w:w="4575.0" w:type="dxa"/>
        <w:jc w:val="left"/>
        <w:tblLayout w:type="fixed"/>
        <w:tblLook w:val="0600"/>
      </w:tblPr>
      <w:tblGrid>
        <w:gridCol w:w="1970"/>
        <w:gridCol w:w="1430"/>
        <w:gridCol w:w="1175"/>
        <w:tblGridChange w:id="0">
          <w:tblGrid>
            <w:gridCol w:w="1970"/>
            <w:gridCol w:w="1430"/>
            <w:gridCol w:w="1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 estimat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risc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sablator produse din sticlă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confecționer circuite imprimate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operator la mașina de laminat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HIGH</w:t>
            </w:r>
          </w:p>
        </w:tc>
      </w:tr>
    </w:tbl>
    <w:p w:rsidR="00000000" w:rsidDel="00000000" w:rsidP="00000000" w:rsidRDefault="00000000" w:rsidRPr="00000000" w14:paraId="0000017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Ocupațiile încadrate în categoria HIGH sunt caracterizate de activități repetitive și sarcini standardizate.</w:t>
      </w:r>
    </w:p>
    <w:p w:rsidR="00000000" w:rsidDel="00000000" w:rsidP="00000000" w:rsidRDefault="00000000" w:rsidRPr="00000000" w14:paraId="00000178">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kbgosxk6ob6g" w:id="64"/>
      <w:bookmarkEnd w:id="64"/>
      <w:r w:rsidDel="00000000" w:rsidR="00000000" w:rsidRPr="00000000">
        <w:rPr>
          <w:rFonts w:ascii="Times New Roman" w:cs="Times New Roman" w:eastAsia="Times New Roman" w:hAnsi="Times New Roman"/>
          <w:i w:val="1"/>
          <w:iCs w:val="1"/>
          <w:color w:val="000000"/>
          <w:sz w:val="24"/>
          <w:szCs w:val="24"/>
          <w:rtl w:val="0"/>
        </w:rPr>
        <w:t xml:space="preserve">Tabel 9. Exemple de ocupații cu risc redus</w:t>
      </w:r>
    </w:p>
    <w:tbl>
      <w:tblPr>
        <w:tblStyle w:val="Table9"/>
        <w:tblW w:w="4575.0" w:type="dxa"/>
        <w:jc w:val="left"/>
        <w:tblLayout w:type="fixed"/>
        <w:tblLook w:val="0600"/>
      </w:tblPr>
      <w:tblGrid>
        <w:gridCol w:w="1970"/>
        <w:gridCol w:w="1430"/>
        <w:gridCol w:w="1175"/>
        <w:tblGridChange w:id="0">
          <w:tblGrid>
            <w:gridCol w:w="1970"/>
            <w:gridCol w:w="1430"/>
            <w:gridCol w:w="1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 estimat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risc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medic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proiectant inginer electromecanic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inginer electromecanic minier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LOW</w:t>
            </w:r>
          </w:p>
        </w:tc>
      </w:tr>
    </w:tbl>
    <w:p w:rsidR="00000000" w:rsidDel="00000000" w:rsidP="00000000" w:rsidRDefault="00000000" w:rsidRPr="00000000" w14:paraId="0000018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Ocupațiile cu risc redus includ profesii care necesită interacțiune umană, adaptabilitate și decizii complexe.</w:t>
      </w:r>
    </w:p>
    <w:p w:rsidR="00000000" w:rsidDel="00000000" w:rsidP="00000000" w:rsidRDefault="00000000" w:rsidRPr="00000000" w14:paraId="00000186">
      <w:pPr>
        <w:spacing w:after="240" w:before="240" w:lineRule="auto"/>
        <w:ind w:firstLine="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Aceste exemple permit compararea directă a modului în care modelul diferențiază ocupațiile în funcție de caracteristicile asociate.</w:t>
      </w: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rFonts w:ascii="Times New Roman" w:cs="Times New Roman" w:eastAsia="Times New Roman" w:hAnsi="Times New Roman"/>
          <w:b w:val="1"/>
          <w:bCs w:val="1"/>
        </w:rPr>
      </w:pPr>
      <w:bookmarkStart w:colFirst="0" w:colLast="0" w:name="_lntqojtx8jnp" w:id="65"/>
      <w:bookmarkEnd w:id="65"/>
      <w:r w:rsidDel="00000000" w:rsidR="00000000" w:rsidRPr="00000000">
        <w:rPr>
          <w:rFonts w:ascii="Times New Roman" w:cs="Times New Roman" w:eastAsia="Times New Roman" w:hAnsi="Times New Roman"/>
          <w:b w:val="1"/>
          <w:bCs w:val="1"/>
          <w:rtl w:val="0"/>
        </w:rPr>
        <w:t xml:space="preserve">4.8 Analiza critică a rezultatelor</w:t>
      </w:r>
    </w:p>
    <w:p w:rsidR="00000000" w:rsidDel="00000000" w:rsidP="00000000" w:rsidRDefault="00000000" w:rsidRPr="00000000" w14:paraId="0000018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Privind retrospectiv rezultatele, câteva aspecte cer o examinare critică mai atentă decât o simplă notă de subsol.</w:t>
      </w:r>
    </w:p>
    <w:p w:rsidR="00000000" w:rsidDel="00000000" w:rsidP="00000000" w:rsidRDefault="00000000" w:rsidRPr="00000000" w14:paraId="0000018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 prim aspect important îl reprezintă instabilitatea confirmată de cross-validare (R²_CV = −14.21 ± 6.16), în ciuda valorii pozitive R²_test = 0.196.</w:t>
      </w:r>
    </w:p>
    <w:p w:rsidR="00000000" w:rsidDel="00000000" w:rsidP="00000000" w:rsidRDefault="00000000" w:rsidRPr="00000000" w14:paraId="0000018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Există două explicații complementare pentru această instabilitate. Prima este că setul de date (3.037 observații) este modest față de complexitatea relației modelate, ceea ce face ca partițiile din cross-validare să conțină variabilitate suficient de mare pentru a schimba semnificativ estimările. A doua explicație este că variabilele structurale din ESCO captează indirect, nu direct, rutinizabilitatea ocupațiilor — calitatea semnalului este limitată prin natura datelor.</w:t>
      </w:r>
    </w:p>
    <w:p w:rsidR="00000000" w:rsidDel="00000000" w:rsidP="00000000" w:rsidRDefault="00000000" w:rsidRPr="00000000" w14:paraId="0000018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sursă de eroare specifică transferului pe COR este că similaritatea textuală nu garantează echivalența funcțională. O ocupație COR numită „operator la computer” și una ESCO numită „computer operator” au un scor de similaritate ridicat, dar pot desemna realități profesionale diferite în contexte economice diferite. Verificarea manuală a unui eșantion din asocierile efectuate ar fi o bună practică pentru versiunile viitoare ale acestei cercetări.</w:t>
      </w:r>
    </w:p>
    <w:p w:rsidR="00000000" w:rsidDel="00000000" w:rsidP="00000000" w:rsidRDefault="00000000" w:rsidRPr="00000000" w14:paraId="0000018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modelul nu include variabile economice sau sociale care ar putea influența gradul de automatizare, precum salariul, sectorul economic sau cererea de pe piața muncii.</w:t>
      </w:r>
    </w:p>
    <w:p w:rsidR="00000000" w:rsidDel="00000000" w:rsidP="00000000" w:rsidRDefault="00000000" w:rsidRPr="00000000" w14:paraId="0000018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 toate limitările enumerate, modelul furnizează estimări consistente cu logica teoretică — ocupațiile cu profiluri competențiale standardizate primesc scoruri mai mari decât cele cu profiluri diverse — și produce o metodologie reproductibilă care poate fi îmbunătățită incremental.</w:t>
      </w:r>
    </w:p>
    <w:p w:rsidR="00000000" w:rsidDel="00000000" w:rsidP="00000000" w:rsidRDefault="00000000" w:rsidRPr="00000000" w14:paraId="0000018F">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 Interpretarea Vizuală a Rezultatelor Modelului</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Graficele prezentate în această secțiune servesc trei scopuri complementare: verificarea intuitivă a distribuției scorurilor, evaluarea vizuală a calității clasificării și înțelegerea comportamentului intern al modelului prin analiza SHAP.</w:t>
      </w:r>
    </w:p>
    <w:p w:rsidR="00000000" w:rsidDel="00000000" w:rsidP="00000000" w:rsidRDefault="00000000" w:rsidRPr="00000000" w14:paraId="0000019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Reprezentările vizuale nu înlocuiesc analiza cantitativă, dar o completează: un model cu metrici bune pe hârtie poate ascunde comportamente problematice (de exemplu, predicții extreme concentrate pe un subset de ocupații) care sunt imediat vizibile grafic.</w:t>
      </w:r>
    </w:p>
    <w:p w:rsidR="00000000" w:rsidDel="00000000" w:rsidP="00000000" w:rsidRDefault="00000000" w:rsidRPr="00000000" w14:paraId="00000195">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6">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4.9.1 Distribuția scorului de automatizare-distributie_automatizare-</w:t>
      </w:r>
    </w:p>
    <w:p w:rsidR="00000000" w:rsidDel="00000000" w:rsidP="00000000" w:rsidRDefault="00000000" w:rsidRPr="00000000" w14:paraId="00000197">
      <w:pPr>
        <w:ind w:left="0" w:firstLine="0"/>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2771775</wp:posOffset>
            </wp:positionH>
            <wp:positionV relativeFrom="paragraph">
              <wp:posOffset>215057</wp:posOffset>
            </wp:positionV>
            <wp:extent cx="3843338" cy="2307516"/>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843338" cy="2307516"/>
                    </a:xfrm>
                    <a:prstGeom prst="rect"/>
                    <a:ln/>
                  </pic:spPr>
                </pic:pic>
              </a:graphicData>
            </a:graphic>
          </wp:anchor>
        </w:drawing>
      </w:r>
    </w:p>
    <w:p w:rsidR="00000000" w:rsidDel="00000000" w:rsidP="00000000" w:rsidRDefault="00000000" w:rsidRPr="00000000" w14:paraId="0000019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Histograma scorurilor de automatizare arată o distribuție relativ simetrică, centrată în jurul valorii 40–50, cu cozi ușor mai lungi spre extremele scalei. Forma distribuției este importantă: o distribuție bimodală ar fi sugerat că modelul tratează ocupațiile ca aparținând clar uneia din două categorii, în timp ce distribuția unimodală observată sugerează că variabilitatea riscului este graduală.</w:t>
      </w:r>
    </w:p>
    <w:p w:rsidR="00000000" w:rsidDel="00000000" w:rsidP="00000000" w:rsidRDefault="00000000" w:rsidRPr="00000000" w14:paraId="0000019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Concentrarea în zona 30–60 reflectă natura datelor ESCO: marea majoritate a ocupațiilor din baza europeană au profiluri competențiale echilibrate, cu atât esențiale cât și opționale, fără a fi complet specializate într-un singur tip de sarcini. Aceasta corespunde cu perspectivele din literatura de specialitate, care subliniază că automatizarea tipică transformă, nu elimină ocupațiile.</w:t>
      </w:r>
    </w:p>
    <w:p w:rsidR="00000000" w:rsidDel="00000000" w:rsidP="00000000" w:rsidRDefault="00000000" w:rsidRPr="00000000" w14:paraId="0000019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Valorile extreme sunt mai puțin frecvente și corespund ocupațiilor cu caracteristici bine definite, fie în direcția automatizării ridicate, fie a rezistenței la automatizare.</w:t>
      </w:r>
    </w:p>
    <w:p w:rsidR="00000000" w:rsidDel="00000000" w:rsidP="00000000" w:rsidRDefault="00000000" w:rsidRPr="00000000" w14:paraId="0000019B">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4.9.2 Evaluarea performanței clasificării</w:t>
      </w:r>
    </w:p>
    <w:p w:rsidR="00000000" w:rsidDel="00000000" w:rsidP="00000000" w:rsidRDefault="00000000" w:rsidRPr="00000000" w14:paraId="0000019E">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-matrice_confuzie-</w:t>
      </w:r>
    </w:p>
    <w:p w:rsidR="00000000" w:rsidDel="00000000" w:rsidP="00000000" w:rsidRDefault="00000000" w:rsidRPr="00000000" w14:paraId="0000019F">
      <w:pPr>
        <w:ind w:firstLine="72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Matricea de confuzie oferă o reprezentare detaliată a modului în care modelul clasifică ocupațiile în cele trei categorii de risc. Aceasta evidențiază atât predicțiile corecte, cât și erorile de clasificare. </w:t>
      </w:r>
    </w:p>
    <w:p w:rsidR="00000000" w:rsidDel="00000000" w:rsidP="00000000" w:rsidRDefault="00000000" w:rsidRPr="00000000" w14:paraId="000001A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ind w:firstLine="72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119597</wp:posOffset>
            </wp:positionV>
            <wp:extent cx="3474748" cy="2807596"/>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474748" cy="2807596"/>
                    </a:xfrm>
                    <a:prstGeom prst="rect"/>
                    <a:ln/>
                  </pic:spPr>
                </pic:pic>
              </a:graphicData>
            </a:graphic>
          </wp:anchor>
        </w:drawing>
      </w:r>
    </w:p>
    <w:p w:rsidR="00000000" w:rsidDel="00000000" w:rsidP="00000000" w:rsidRDefault="00000000" w:rsidRPr="00000000" w14:paraId="000001A3">
      <w:pPr>
        <w:ind w:left="0" w:firstLine="720"/>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139112</wp:posOffset>
            </wp:positionV>
            <wp:extent cx="3657600" cy="2212258"/>
            <wp:effectExtent b="0" l="0" r="0" t="0"/>
            <wp:wrapNone/>
            <wp:docPr id="6" name="image1.png"/>
            <a:graphic>
              <a:graphicData uri="http://schemas.openxmlformats.org/drawingml/2006/picture">
                <pic:pic>
                  <pic:nvPicPr>
                    <pic:cNvPr id="0" name="image1.png"/>
                    <pic:cNvPicPr preferRelativeResize="0"/>
                  </pic:nvPicPr>
                  <pic:blipFill>
                    <a:blip r:embed="rId8"/>
                    <a:srcRect b="0" l="0" r="16520" t="0"/>
                    <a:stretch>
                      <a:fillRect/>
                    </a:stretch>
                  </pic:blipFill>
                  <pic:spPr>
                    <a:xfrm>
                      <a:off x="0" y="0"/>
                      <a:ext cx="3657600" cy="2212258"/>
                    </a:xfrm>
                    <a:prstGeom prst="rect"/>
                    <a:ln/>
                  </pic:spPr>
                </pic:pic>
              </a:graphicData>
            </a:graphic>
          </wp:anchor>
        </w:drawing>
      </w:r>
    </w:p>
    <w:p w:rsidR="00000000" w:rsidDel="00000000" w:rsidP="00000000" w:rsidRDefault="00000000" w:rsidRPr="00000000" w14:paraId="000001A4">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5">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6">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7">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8">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9">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Matricea de confuzie relevă un pattern tipic pentru seturi cu distribuție dezechilibrată: modelul clasifică corect cea mai mare parte a instanțelor din clasa majoritară (LOW), dar performează mai slab pe MEDIUM și mai ales pe HIGH. Clasa HIGH, cu doar 334 exemple în antrenare, este cea mai dificil de identificat — un rezultat așteptat și consistent cu literatura despre clasificarea pe seturi dezechilibrate.</w:t>
      </w:r>
    </w:p>
    <w:p w:rsidR="00000000" w:rsidDel="00000000" w:rsidP="00000000" w:rsidRDefault="00000000" w:rsidRPr="00000000" w14:paraId="000001B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Erorile de clasificare sunt, în marea lor majoritate, între categorii adiacente (LOW clasificat ca MEDIUM sau MEDIUM clasificat ca HIGH), nu între extreme (LOW clasificat ca HIGH). Aceasta sugerează că granițele dintre categorii sunt graduale în spațiul competențelor, nu abrupte — o observație importantă pentru calibrarea așteptărilor față de precizia clasificărilor individuale.</w:t>
      </w:r>
    </w:p>
    <w:p w:rsidR="00000000" w:rsidDel="00000000" w:rsidP="00000000" w:rsidRDefault="00000000" w:rsidRPr="00000000" w14:paraId="000001B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5">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4.9.3 Importanța variabilelor în model</w:t>
      </w:r>
      <w:r w:rsidDel="00000000" w:rsidR="00000000" w:rsidRPr="00000000">
        <w:rPr>
          <w:rtl w:val="0"/>
        </w:rPr>
      </w:r>
    </w:p>
    <w:p w:rsidR="00000000" w:rsidDel="00000000" w:rsidP="00000000" w:rsidRDefault="00000000" w:rsidRPr="00000000" w14:paraId="000001B6">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-shap_feature_importance-</w:t>
      </w:r>
    </w:p>
    <w:p w:rsidR="00000000" w:rsidDel="00000000" w:rsidP="00000000" w:rsidRDefault="00000000" w:rsidRPr="00000000" w14:paraId="000001B7">
      <w:pPr>
        <w:ind w:firstLine="72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B8">
      <w:pPr>
        <w:spacing w:after="240" w:befor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2476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Graficul de importanță SHAP răspunde la întrebarea: dacă am elimina o variabilă din model, cât de mult ar scădea precizia predicțiilor? Variabilele poziționate mai sus sunt cele mai influente în medie pe întreg setul de date.</w:t>
      </w:r>
    </w:p>
    <w:p w:rsidR="00000000" w:rsidDel="00000000" w:rsidP="00000000" w:rsidRDefault="00000000" w:rsidRPr="00000000" w14:paraId="000001B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Rezultatele SHAP arată că automation_score_proxy și total_skill sunt cei mai importanți predictori — ceea ce este coerent cu ipoteza că proporția competențelor rutinizabile și volumul total al profilului competențial sunt caracteristicile cele mai informative pentru estimarea riscului.</w:t>
      </w:r>
    </w:p>
    <w:p w:rsidR="00000000" w:rsidDel="00000000" w:rsidP="00000000" w:rsidRDefault="00000000" w:rsidRPr="00000000" w14:paraId="000001B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Faptul că automation_score_proxy — o variabilă construită explicit pentru a captura proporția competențelor rutinizabile — apare consistent printre cei mai importanți predictori este, în același timp, un semn de coerență internă a modelului și o confirmare că designul acestei variabile a fost bine calibrat.</w:t>
      </w:r>
    </w:p>
    <w:p w:rsidR="00000000" w:rsidDel="00000000" w:rsidP="00000000" w:rsidRDefault="00000000" w:rsidRPr="00000000" w14:paraId="000001B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observație demnă de menționat: variabila essential are o importanță SHAP relativ mică față de așteptări. O interpretare posibilă este că, după ce se cunoaște total_skill, informația marginală adusă de essential este redusă — cele două variabile sunt corelate prin identitatea total_skill = essential + optional.</w:t>
      </w:r>
    </w:p>
    <w:p w:rsidR="00000000" w:rsidDel="00000000" w:rsidP="00000000" w:rsidRDefault="00000000" w:rsidRPr="00000000" w14:paraId="000001B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4.9.4 Analiza distribuției impactului variabilelor</w:t>
      </w:r>
    </w:p>
    <w:p w:rsidR="00000000" w:rsidDel="00000000" w:rsidP="00000000" w:rsidRDefault="00000000" w:rsidRPr="00000000" w14:paraId="000001C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-shap_summary_plot-</w:t>
      </w:r>
      <w:r w:rsidDel="00000000" w:rsidR="00000000" w:rsidRPr="00000000">
        <w:rPr>
          <w:rtl w:val="0"/>
        </w:rPr>
      </w:r>
    </w:p>
    <w:p w:rsidR="00000000" w:rsidDel="00000000" w:rsidP="00000000" w:rsidRDefault="00000000" w:rsidRPr="00000000" w14:paraId="000001C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SHAP Summary Plot completează graficul de importanță cu informații despre direcție — arată nu doar cât de mult influențează o variabilă predicția, ci și în ce sens: valori mari ale variabilei cresc sau reduc scorul estimat?</w:t>
      </w:r>
      <w:r w:rsidDel="00000000" w:rsidR="00000000" w:rsidRPr="00000000">
        <w:rPr>
          <w:rFonts w:ascii="Times New Roman" w:cs="Times New Roman" w:eastAsia="Times New Roman" w:hAnsi="Times New Roman"/>
          <w:color w:val="00ff00"/>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p>
    <w:p w:rsidR="00000000" w:rsidDel="00000000" w:rsidP="00000000" w:rsidRDefault="00000000" w:rsidRPr="00000000" w14:paraId="000001C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Fiecare punct reprezintă o ocupație. Poziția pe axa orizontală indică contribuția la predicție (pozitiv = crește riscul, negativ = îl reduce), iar culoarea reflectă valoarea variabilei (roșu = valoare mare, albastru = valoare mică). Un tipar consistent — de exemplu, puncte roșii sistematic în dreapta — indică că valori mari ale variabilei cresc riscul estimat.</w:t>
      </w:r>
    </w:p>
    <w:p w:rsidR="00000000" w:rsidDel="00000000" w:rsidP="00000000" w:rsidRDefault="00000000" w:rsidRPr="00000000" w14:paraId="000001C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Tiparele observate în Summary Plot confirmă ipotezele teoretice: automation_score_proxy ridicat contribuie la scoruri mari de risc; total_skill ridicat contribuie la scoruri mici (mai multe competențe diverse = profil mai complex = risc mai scăzut). Aceste relații, deși nu surprinzătoare teoretic, validează că modelul a „învățat” semnale coerente din date, nu patternuri aleatoare.</w:t>
      </w:r>
    </w:p>
    <w:p w:rsidR="00000000" w:rsidDel="00000000" w:rsidP="00000000" w:rsidRDefault="00000000" w:rsidRPr="00000000" w14:paraId="000001C8">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9">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A">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4.9.5 Distribuția riscului ocupațional în România</w:t>
      </w:r>
    </w:p>
    <w:p w:rsidR="00000000" w:rsidDel="00000000" w:rsidP="00000000" w:rsidRDefault="00000000" w:rsidRPr="00000000" w14:paraId="000001C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-distributie_risk_level-</w:t>
      </w:r>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311321</wp:posOffset>
            </wp:positionV>
            <wp:extent cx="3681413" cy="2785934"/>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81413" cy="2785934"/>
                    </a:xfrm>
                    <a:prstGeom prst="rect"/>
                    <a:ln/>
                  </pic:spPr>
                </pic:pic>
              </a:graphicData>
            </a:graphic>
          </wp:anchor>
        </w:drawing>
      </w:r>
    </w:p>
    <w:p w:rsidR="00000000" w:rsidDel="00000000" w:rsidP="00000000" w:rsidRDefault="00000000" w:rsidRPr="00000000" w14:paraId="000001CC">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Graficul de distribuție a riscului pentru ocupațiile COR mapate completează tabelul 7 cu o perspectivă vizuală. Două observații se evidențiază imediat: dominanța clară a categoriilor LOW și MEDIUM, și absența aproape completă a categoriei HIGH.</w:t>
      </w:r>
    </w:p>
    <w:p w:rsidR="00000000" w:rsidDel="00000000" w:rsidP="00000000" w:rsidRDefault="00000000" w:rsidRPr="00000000" w14:paraId="000001C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Distribuția echilibrată LOW/MEDIUM nu înseamnă neapărat că România are un profil ocupațional mai sigur față de automatizare. O interpretare mai conservatoare este că procesul de mapare COR–ESCO, prin pragul restrictiv ales, a selecționat preferențial ocupații cu profiluri competențiale mai elaborate — tocmai cele cu risc mai scăzut. O analiză completă ar necesita o mapare manuală sau asistată semantic pentru toate cele 4.456 de ocupații COR.</w:t>
      </w:r>
    </w:p>
    <w:p w:rsidR="00000000" w:rsidDel="00000000" w:rsidP="00000000" w:rsidRDefault="00000000" w:rsidRPr="00000000" w14:paraId="000001C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Cele 6 ocupații clasificate HIGH — cu scoruri între 66 și 70 — se caracterizează prin profiluri competențiale înguste și standardizate, concentrate pe operațiuni industriale specifice. Este notabil că niciunul dintre aceste scoruri nu depășește 70, ceea ce plasează ocupațiile respective la granița inferioară a categoriei HIGH, nu în zone de risc extrem.</w:t>
      </w:r>
    </w:p>
    <w:p w:rsidR="00000000" w:rsidDel="00000000" w:rsidP="00000000" w:rsidRDefault="00000000" w:rsidRPr="00000000" w14:paraId="000001D0">
      <w:pPr>
        <w:spacing w:after="240" w:before="24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1">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4.10 Concluzii intermediare</w:t>
      </w:r>
    </w:p>
    <w:p w:rsidR="00000000" w:rsidDel="00000000" w:rsidP="00000000" w:rsidRDefault="00000000" w:rsidRPr="00000000" w14:paraId="000001D2">
      <w:pPr>
        <w:ind w:firstLine="72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Capitolul de față a prezentat rezultatele din mai multe unghiuri complementare: metrici cantitative, distribuții vizuale și interpretare prin SHAP. Câteva concluzii intermediare se impun înainte de capitolul final.</w:t>
      </w:r>
    </w:p>
    <w:p w:rsidR="00000000" w:rsidDel="00000000" w:rsidP="00000000" w:rsidRDefault="00000000" w:rsidRPr="00000000" w14:paraId="000001D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Modelul furnizează estimări orientative cu o precizie modestă, dar pozitivă față de baseline. Performanța sa nu poate fi comparată direct cu modele care beneficiază de date mai bogate (salariale, sectoriale, de cerere de competențe), dar oferă un punct de plecare reproductibil pentru analize mai fine.</w:t>
      </w:r>
    </w:p>
    <w:p w:rsidR="00000000" w:rsidDel="00000000" w:rsidP="00000000" w:rsidRDefault="00000000" w:rsidRPr="00000000" w14:paraId="000001D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Transferul pe COR a demonstrat fezabilitatea metodologiei, chiar dacă rata de acoperire de 14.7% limitează semnificativ domeniul de aplicare. Extinderea acoperirii rămâne cea mai importantă direcție de dezvoltare pentru versiunile viitoare.</w:t>
      </w:r>
    </w:p>
    <w:p w:rsidR="00000000" w:rsidDel="00000000" w:rsidP="00000000" w:rsidRDefault="00000000" w:rsidRPr="00000000" w14:paraId="000001D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Analiza SHAP a validat coerența modelului: variabilele proiectate pentru a captura rutinizabilitatea ocupațională (automation_score_proxy, total_skill) sunt cele mai influente, și direcțiile lor de influență corespund cu așteptările teoretice.</w:t>
      </w:r>
    </w:p>
    <w:p w:rsidR="00000000" w:rsidDel="00000000" w:rsidP="00000000" w:rsidRDefault="00000000" w:rsidRPr="00000000" w14:paraId="000001D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În ansamblu, cercetarea demonstrează că datele ESCO conțin semnale suficiente pentru a construi un instrument funcțional de estimare a riscului ocupațional — cu limitările inerente unui model bazat exclusiv pe caracteristici structurale ale competențelor.</w:t>
      </w:r>
      <w:r w:rsidDel="00000000" w:rsidR="00000000" w:rsidRPr="00000000">
        <w:rPr>
          <w:rFonts w:ascii="Times New Roman" w:cs="Times New Roman" w:eastAsia="Times New Roman" w:hAnsi="Times New Roman"/>
          <w:sz w:val="26"/>
          <w:szCs w:val="26"/>
          <w:rtl w:val="0"/>
        </w:rPr>
      </w:r>
    </w:p>
    <w:p>
      <w:pPr>
        <w:pStyle w:val="Heading2"/>
      </w:pPr>
      <w:r>
        <w:t xml:space="preserve">4.11 Rezultatele Componentei AI 2 — Evaluator Hibrid</w:t>
      </w:r>
    </w:p>
    <w:p w:rsidR="00000000" w:rsidDel="00000000" w:rsidP="00000000" w:rsidRDefault="00000000" w:rsidRPr="00000000" w14:paraId="000001D9">
      <w:pPr>
        <w:ind w:firstLine="720"/>
        <w:rPr>
          <w:rFonts w:ascii="Times New Roman" w:cs="Times New Roman" w:eastAsia="Times New Roman" w:hAnsi="Times New Roman"/>
          <w:sz w:val="24"/>
          <w:szCs w:val="24"/>
        </w:rPr>
      </w:pPr>
      <w:r>
        <w:t xml:space="preserve">Componenta AI 2 a fost testată pe cinci ocupații reprezentative, alese pentru a ilustra atât diversitatea profilelor de risc, cât și distincția conceptuală dintre replacementRisk și aiImpactScore. Prezentăm în continuare rezultatele obținute pentru fiecare, cu observații privind coerența cu estimările AI 1 și cu literatura de specialitate.</w:t>
      </w:r>
    </w:p>
    <w:p w:rsidR="00000000" w:rsidDel="00000000" w:rsidP="00000000" w:rsidRDefault="00000000" w:rsidRPr="00000000" w14:paraId="000001D9">
      <w:pPr>
        <w:ind w:firstLine="720"/>
        <w:rPr>
          <w:rFonts w:ascii="Times New Roman" w:cs="Times New Roman" w:eastAsia="Times New Roman" w:hAnsi="Times New Roman"/>
          <w:sz w:val="24"/>
          <w:szCs w:val="24"/>
        </w:rPr>
      </w:pPr>
      <w:r>
        <w:t xml:space="preserve">Contabilul (cod ISCO 2411) obține un scor final AI 2 de 61/100, față de 56/100 estimat de AI 1. Diferența modestă reflectă că AI 2 identifică un risc de rutinizare mai ridicat în sarcinile de reconciliere și raportare, compensat parțial de capacitatea de interpretare contextuală. replacementRisk este de 38/100 — ocupația este vulnerabilă în segmentele sale mai repetitive, dar nu complet substituibilă — iar aiImpactScore atinge 72/100, reflectând transformarea semnificativă a fluxului de lucru prin instrumente de reconciliere automată, audit asistat de AI și generare de rapoarte financiare. Profesia nu dispare, dar se reconfigurează substanțial în jurul sarcinilor de interpretare și decizie.</w:t>
      </w:r>
    </w:p>
    <w:p w:rsidR="00000000" w:rsidDel="00000000" w:rsidP="00000000" w:rsidRDefault="00000000" w:rsidRPr="00000000" w14:paraId="000001D9">
      <w:pPr>
        <w:ind w:firstLine="720"/>
        <w:rPr>
          <w:rFonts w:ascii="Times New Roman" w:cs="Times New Roman" w:eastAsia="Times New Roman" w:hAnsi="Times New Roman"/>
          <w:sz w:val="24"/>
          <w:szCs w:val="24"/>
        </w:rPr>
      </w:pPr>
      <w:r>
        <w:t xml:space="preserve">Asistentul medical (ISCO 3221) are scor final de 33/100, cu replacementRisk de 12/100 și aiImpactScore de 45/100. Profilul este consistent cu literatura de specialitate: componenta de îngrijire directă, evaluare clinică și comunicare empatică plasează ocupația în zona de risc scăzut, deși instrumentele de monitorizare a parametrilor vitali și de suport la decizie clinică modifică parțial fluxul de lucru. Este notabil că aiImpactScore rămâne moderat chiar și pentru o ocupație cu replacementRisk scăzut — dovadă că transformarea nu înseamnă neapărat risc de eliminare.</w:t>
      </w:r>
    </w:p>
    <w:p w:rsidR="00000000" w:rsidDel="00000000" w:rsidP="00000000" w:rsidRDefault="00000000" w:rsidRPr="00000000" w14:paraId="000001D9">
      <w:pPr>
        <w:ind w:firstLine="720"/>
        <w:rPr>
          <w:rFonts w:ascii="Times New Roman" w:cs="Times New Roman" w:eastAsia="Times New Roman" w:hAnsi="Times New Roman"/>
          <w:sz w:val="24"/>
          <w:szCs w:val="24"/>
        </w:rPr>
      </w:pPr>
      <w:r>
        <w:t xml:space="preserve">Cel mai ilustrativ exemplu pentru distincția conceptuală introdusă de componenta AI 2 este Profesorul (ISCO 2320): replacementRisk de 8/100 se combină cu aiImpactScore de 65/100. Ocupația nu va dispărea — profesorul rămâne indispensabil pentru formarea critică, mentoring și dinamica socializării — dar instrumentele de tutoring adaptiv, generare automată de conținut și evaluare asistată de AI transformă substanțial modul în care predarea se desfășoară. Aceasta este o distincție pe care AI 1, cu un scor unic de 24/100 (crescut la 28/100 de AI 2), nu o putea exprima. Profesorul viitorului va orchestra instrumente inteligente, nu va fi înlocuit de ele.</w:t>
      </w:r>
    </w:p>
    <w:p w:rsidR="00000000" w:rsidDel="00000000" w:rsidP="00000000" w:rsidRDefault="00000000" w:rsidRPr="00000000" w14:paraId="000001D9">
      <w:pPr>
        <w:ind w:firstLine="720"/>
        <w:rPr>
          <w:rFonts w:ascii="Times New Roman" w:cs="Times New Roman" w:eastAsia="Times New Roman" w:hAnsi="Times New Roman"/>
          <w:sz w:val="24"/>
          <w:szCs w:val="24"/>
        </w:rPr>
      </w:pPr>
      <w:r>
        <w:t xml:space="preserve">Analistul programator (ISCO 2512) înregistrează cel mai ridicat aiImpactScore din setul de testare: 80/100, cu replacementRisk de 22/100 și scor final de 48/100. Combinația reflectă realitatea documentată în industria software: asistenți de cod (GitHub Copilot, Cursor), generatoare de teste și sisteme de review automat transformă radical fluxul de lucru, dar programatorul care poate orchestra aceste instrumente, valida output-ul și lua decizii arhitecturale rămâne mai valoros, nu mai puțin relevant. Scorul relativ modest de 48/100 față de aiImpactScore ridicat ilustrează că impactul AI nu echivalează cu riscul de înlocuire.</w:t>
      </w:r>
    </w:p>
    <w:p w:rsidR="00000000" w:rsidDel="00000000" w:rsidP="00000000" w:rsidRDefault="00000000" w:rsidRPr="00000000" w14:paraId="000001D9">
      <w:pPr>
        <w:ind w:firstLine="720"/>
        <w:rPr>
          <w:rFonts w:ascii="Times New Roman" w:cs="Times New Roman" w:eastAsia="Times New Roman" w:hAnsi="Times New Roman"/>
          <w:sz w:val="24"/>
          <w:szCs w:val="24"/>
        </w:rPr>
      </w:pPr>
      <w:r>
        <w:t xml:space="preserve">Designerul grafic (ISCO 2166) prezintă un profil intermediar: scor final de 49/100, replacementRisk de 28/100, aiImpactScore de 75/100. Generatoarele de imagini (Midjourney, DALL-E, Stable Diffusion) și platformele de design asistat AI transformă radical fluxul creativ, dar judecata estetică, înțelegerea brandului clientului și comunicarea cu stakeholderii rămân capacități eminamente umane. Designerul se transformă dintr-un executor tehnic într-un curator și orchestrator de instrumente AI — un rol care necesită competențe noi, nu dispariția profesiei.</w:t>
      </w:r>
    </w:p>
    <w:p w:rsidR="00000000" w:rsidDel="00000000" w:rsidP="00000000" w:rsidRDefault="00000000" w:rsidRPr="00000000" w14:paraId="000001D9">
      <w:pPr>
        <w:ind w:firstLine="720"/>
        <w:rPr>
          <w:rFonts w:ascii="Times New Roman" w:cs="Times New Roman" w:eastAsia="Times New Roman" w:hAnsi="Times New Roman"/>
          <w:sz w:val="24"/>
          <w:szCs w:val="24"/>
        </w:rPr>
      </w:pPr>
      <w:r>
        <w:t xml:space="preserve">Distribuția celor cinci exemple confirmă că scorurile AI 2 sunt consistente cu estimările AI 1 la nivel de direcție — corelația pozitivă dintre cele două seturi de scoruri finale este clară — dar aduc o granularitate suplimentară prin separarea dimensiunilor de risc și prin integrarea informațiilor contextuale despre evoluțiile tehnologice recente. Componenta AI 2 produce, de regulă, scoruri ușor mai ridicate decât AI 1 pentru ocupațiile cu profil mixt, reflectând sensibilitatea mai mare față de evoluțiile recente din domeniu.</w:t>
      </w:r>
    </w:p>
    <w:p w:rsidR="00000000" w:rsidDel="00000000" w:rsidP="00000000" w:rsidRDefault="00000000" w:rsidRPr="00000000" w14:paraId="000001DC">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E">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0">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ind w:left="0" w:firstLine="0"/>
        <w:rPr>
          <w:rFonts w:ascii="Times New Roman" w:cs="Times New Roman" w:eastAsia="Times New Roman" w:hAnsi="Times New Roman"/>
          <w:b w:val="1"/>
          <w:bCs w:val="1"/>
          <w:sz w:val="44"/>
          <w:szCs w:val="44"/>
        </w:rPr>
      </w:pPr>
      <w:bookmarkStart w:colFirst="0" w:colLast="0" w:name="_2b8119q80lkq" w:id="66"/>
      <w:bookmarkEnd w:id="66"/>
      <w:r w:rsidDel="00000000" w:rsidR="00000000" w:rsidRPr="00000000">
        <w:rPr>
          <w:rFonts w:ascii="Times New Roman" w:cs="Times New Roman" w:eastAsia="Times New Roman" w:hAnsi="Times New Roman"/>
          <w:b w:val="1"/>
          <w:bCs w:val="1"/>
          <w:sz w:val="44"/>
          <w:szCs w:val="44"/>
          <w:rtl w:val="0"/>
        </w:rPr>
        <w:t xml:space="preserve">5. Concluzii, Limitări și Direcții Viitoare</w:t>
      </w:r>
    </w:p>
    <w:p w:rsidR="00000000" w:rsidDel="00000000" w:rsidP="00000000" w:rsidRDefault="00000000" w:rsidRPr="00000000" w14:paraId="000001E2">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irjv768i8a8b" w:id="67"/>
      <w:bookmarkEnd w:id="67"/>
      <w:r w:rsidDel="00000000" w:rsidR="00000000" w:rsidRPr="00000000">
        <w:rPr>
          <w:rFonts w:ascii="Times New Roman" w:cs="Times New Roman" w:eastAsia="Times New Roman" w:hAnsi="Times New Roman"/>
          <w:b w:val="1"/>
          <w:bCs w:val="1"/>
          <w:rtl w:val="0"/>
        </w:rPr>
        <w:t xml:space="preserve">5.1 Concluzii generale</w:t>
      </w:r>
    </w:p>
    <w:p w:rsidR="00000000" w:rsidDel="00000000" w:rsidP="00000000" w:rsidRDefault="00000000" w:rsidRPr="00000000" w14:paraId="000001E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La finalul acestui demers de cercetare, cred că e important să separăm cu claritate ceea ce a reușit această analiză de ceea ce rămâne deschis. Perspectiva retrospectivă este mai onestă decât o prezentare triumfalistă a rezultatelor.</w:t>
      </w:r>
    </w:p>
    <w:p w:rsidR="00000000" w:rsidDel="00000000" w:rsidP="00000000" w:rsidRDefault="00000000" w:rsidRPr="00000000" w14:paraId="000001E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Am construit un sistem funcțional care transformă descrierile structurale ale ocupațiilor din ESCO — număr de competențe, tipul lor, indicator de rutinizabilitate — într-un scor continuu de automatizare. Modelul LightGBM antrenat pe 3.037 de ocupații produce estimări care, pe setul de test, explică aproximativ 20% din variația scorurilor reale — modest, dar consistent pozitiv.</w:t>
      </w:r>
    </w:p>
    <w:p w:rsidR="00000000" w:rsidDel="00000000" w:rsidP="00000000" w:rsidRDefault="00000000" w:rsidRPr="00000000" w14:paraId="000001E5">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Rezultatele obținute demonstrează faptul că structura competențelor poate fi utilizată pentru a aproxima gradul de vulnerabilitate al unei ocupații în raport cu procesele de automatizare.</w:t>
      </w:r>
    </w:p>
    <w:p w:rsidR="00000000" w:rsidDel="00000000" w:rsidP="00000000" w:rsidRDefault="00000000" w:rsidRPr="00000000" w14:paraId="000001E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Alegerea ESCO ca sursă de date s-a dovedit potrivită: baza de date este structurată, accesibilă și suficient de granulară pentru a extrage variabile predictive relevante. Disponibilitatea versiunii în română a facilitat și etapa de mapare COR–ESCO.</w:t>
      </w:r>
    </w:p>
    <w:p w:rsidR="00000000" w:rsidDel="00000000" w:rsidP="00000000" w:rsidRDefault="00000000" w:rsidRPr="00000000" w14:paraId="000001E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Algoritmul LightGBM s-a comportat conform așteptărilor pentru acest tip de problemă: performanță superioară regresiei liniare pe setul de test, integrabilitate naturală cu analiza SHAP și robustețe la lipsa de normalizare a variabilelor. Instabilitatea cross-validare este, din câte putem evalua, o consecință a relației complexe și parțial zgomotoase dintre variabilele disponibile și variabila țintă — nu un artefact al alegerii algoritmului.</w:t>
      </w:r>
    </w:p>
    <w:p w:rsidR="00000000" w:rsidDel="00000000" w:rsidP="00000000" w:rsidRDefault="00000000" w:rsidRPr="00000000" w14:paraId="000001E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Aplicarea modelului asupra Clasificării Ocupațiilor din România a demonstrat că metodologia poate fi transferată către un context național și poate produce rezultate relevante pentru analiza pieței muncii.</w:t>
      </w:r>
    </w:p>
    <w:p w:rsidR="00000000" w:rsidDel="00000000" w:rsidP="00000000" w:rsidRDefault="00000000" w:rsidRPr="00000000" w14:paraId="000001E9">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Distribuția aproximativ egală LOW/MEDIUM în rândul ocupațiilor COR mapate este consistentă cu perspectiva mai optimistă din literatura recentă — că automatizarea transformă mai degrabă decât elimină ocupațiile — dar trebuie citită cu rezerva că eșantionul de 654 de ocupații nu este reprezentativ pentru întreaga piață a muncii.</w:t>
      </w:r>
    </w:p>
    <w:p w:rsidR="00000000" w:rsidDel="00000000" w:rsidP="00000000" w:rsidRDefault="00000000" w:rsidRPr="00000000" w14:paraId="000001EA">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Integrarea SHAP reprezintă, în opinia mea, una dintre contribuțiile mai valoroase ale acestei lucrări. Chiar dacă performanța predictivă este modestă, analiza SHAP adaugă un nivel de transparență care face diferența față de o simplă sortare a ocupațiilor după un scor opac — utilizatorul poate înțelege de ce o ocupație primește un anumit scor și poate evalua critic această justificare.</w:t>
      </w:r>
    </w:p>
    <w:p w:rsidR="00000000" w:rsidDel="00000000" w:rsidP="00000000" w:rsidRDefault="00000000" w:rsidRPr="00000000" w14:paraId="000001EB">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Concluzia mai largă este că metodologiile de machine learning aplicate pe date ocupaționale structurate sunt o abordare viabilă pentru analiza riscului de automatizare la nivel național — cu condiția de a fi completate cu date mai bogate, o mapare mai precisă a clasificărilor ocupaționale și o validare externă față de estimări independente.</w:t>
      </w:r>
    </w:p>
    <w:p w:rsidR="00000000" w:rsidDel="00000000" w:rsidP="00000000" w:rsidRDefault="00000000" w:rsidRPr="00000000" w14:paraId="000001EC">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1qjzh7we815c" w:id="68"/>
      <w:bookmarkEnd w:id="68"/>
      <w:r w:rsidDel="00000000" w:rsidR="00000000" w:rsidRPr="00000000">
        <w:rPr>
          <w:rFonts w:ascii="Times New Roman" w:cs="Times New Roman" w:eastAsia="Times New Roman" w:hAnsi="Times New Roman"/>
          <w:b w:val="1"/>
          <w:bCs w:val="1"/>
          <w:rtl w:val="0"/>
        </w:rPr>
        <w:t xml:space="preserve">5.2 Contribuțiile cercetării</w:t>
      </w:r>
    </w:p>
    <w:p w:rsidR="00000000" w:rsidDel="00000000" w:rsidP="00000000" w:rsidRDefault="00000000" w:rsidRPr="00000000" w14:paraId="000001EE">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Contribuțiile concrete ale acestei cercetări pot fi grupate pe trei dimensiuni.</w:t>
      </w:r>
    </w:p>
    <w:p w:rsidR="00000000" w:rsidDel="00000000" w:rsidP="00000000" w:rsidRDefault="00000000" w:rsidRPr="00000000" w14:paraId="000001EF">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Din perspectivă metodologică, lucrarea propune un pipeline reproductibil care combină extragerea de caracteristici din ESCO, construcția unui indicator proxy de automatizare, antrenarea LightGBM și interpretarea SHAP — o secvență care poate fi replicată sau adaptată de cercetători interesați de analize similare.</w:t>
      </w:r>
    </w:p>
    <w:p w:rsidR="00000000" w:rsidDel="00000000" w:rsidP="00000000" w:rsidRDefault="00000000" w:rsidRPr="00000000" w14:paraId="000001F0">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Din perspectivă aplicativă, lucrarea furnizează scoruri de automatizare pentru 654 de ocupații din COR — o resursă inexistentă anterior pentru piața muncii din România — și le face accesibile printr-o aplicație Streamlit interactivă.</w:t>
      </w:r>
    </w:p>
    <w:p w:rsidR="00000000" w:rsidDel="00000000" w:rsidP="00000000" w:rsidRDefault="00000000" w:rsidRPr="00000000" w14:paraId="000001F1">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Din perspectivă teoretică, cercetarea contribuie la literatura privind transferul de modele între sisteme de clasificare ocupațională diferite — o problemă cu relevanță pentru orice studiu care încearcă să transpună rezultate internaționale în contexte naționale specifice.</w:t>
      </w:r>
    </w:p>
    <w:p w:rsidR="00000000" w:rsidDel="00000000" w:rsidP="00000000" w:rsidRDefault="00000000" w:rsidRPr="00000000" w14:paraId="000001F2">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Integrarea SHAP ca instrument de validare internă și de comunicare a rezultatelor reprezintă o alegere metodologică deliberată: în domenii cu implicații de politică publică, transparența algoritmică nu este opțională.</w:t>
      </w:r>
    </w:p>
    <w:p w:rsidR="00000000" w:rsidDel="00000000" w:rsidP="00000000" w:rsidRDefault="00000000" w:rsidRPr="00000000" w14:paraId="000001F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Aplicația Streamlit dezvoltată paralel cu cercetarea face ca rezultatele să fie explorabile fără cunoștințe tehnice — un aspect relevant dacă instrumentul urmează să fie utilizat de consilieri de carieră, decidenți sau studenți interesați de profilul de risc al unor ocupații specifice.</w:t>
      </w:r>
    </w:p>
    <w:p w:rsidR="00000000" w:rsidDel="00000000" w:rsidP="00000000" w:rsidRDefault="00000000" w:rsidRPr="00000000" w14:paraId="000001F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Combinate, aceste contribuții adresează un gol real: absența unui instrument adaptat contextului românesc pentru estimarea riscului de automatizare ocupațională bazat pe date și metodologie transparentă.</w:t>
      </w:r>
    </w:p>
    <w:p w:rsidR="00000000" w:rsidDel="00000000" w:rsidP="00000000" w:rsidRDefault="00000000" w:rsidRPr="00000000" w14:paraId="000001F4">
      <w:pPr>
        <w:spacing w:after="240" w:before="240" w:lineRule="auto"/>
        <w:ind w:firstLine="720"/>
        <w:rPr>
          <w:rFonts w:ascii="Times New Roman" w:cs="Times New Roman" w:eastAsia="Times New Roman" w:hAnsi="Times New Roman"/>
          <w:sz w:val="26"/>
          <w:szCs w:val="26"/>
        </w:rPr>
      </w:pPr>
      <w:r>
        <w:t xml:space="preserve">O a patra contribuție, metodologică și conceptuală, o reprezintă introducerea componentei AI 2 și a distincției explicite dintre replacementRisk și aiImpactScore. Cele două dimensiuni operaționalizează o nuanță din literatura de specialitate — că automatizarea transformă ocupațiile în moduri calitativ diferite de la o ocupație la alta — și fac ca instrumentul să producă mai multă informație utilă decât un scor unic de risc. Componenta AI 2 demonstrează, de asemenea, că integrarea modelelor de limbaj de mari dimensiuni cu scoring determinist și surse externe verificabile poate produce evaluări mai bogate decât oricare dintre aceste surse în mod individual.</w:t>
      </w:r>
    </w:p>
    <w:p w:rsidR="00000000" w:rsidDel="00000000" w:rsidP="00000000" w:rsidRDefault="00000000" w:rsidRPr="00000000" w14:paraId="000001F4">
      <w:pPr>
        <w:spacing w:after="240" w:before="240" w:lineRule="auto"/>
        <w:ind w:firstLine="720"/>
        <w:rPr>
          <w:rFonts w:ascii="Times New Roman" w:cs="Times New Roman" w:eastAsia="Times New Roman" w:hAnsi="Times New Roman"/>
          <w:sz w:val="26"/>
          <w:szCs w:val="26"/>
        </w:rPr>
      </w:pPr>
      <w:r>
        <w:t xml:space="preserve">Nu în ultimul rând, sistemul de colectare automată a surselor externe — arXiv, Hugging Face Hub, OpenAlex, RSS — reprezintă o contribuție practică la problema actualizării continue a cunoașterii în instrumente de evaluare a riscului. Cache-ul SQLite cu ranking compozit și deduplicare Jaccard poate fi reutilizat independent de contextul specific al acestei lucrări, ca modul de colectare a literaturii de specialitate relevante pentru orice domeniu al pieței muncii.</w:t>
      </w:r>
    </w:p>
    <w:p w:rsidR="00000000" w:rsidDel="00000000" w:rsidP="00000000" w:rsidRDefault="00000000" w:rsidRPr="00000000" w14:paraId="000001F5">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skcd9j41n62c" w:id="69"/>
      <w:bookmarkEnd w:id="69"/>
      <w:r w:rsidDel="00000000" w:rsidR="00000000" w:rsidRPr="00000000">
        <w:rPr>
          <w:rFonts w:ascii="Times New Roman" w:cs="Times New Roman" w:eastAsia="Times New Roman" w:hAnsi="Times New Roman"/>
          <w:b w:val="1"/>
          <w:bCs w:val="1"/>
          <w:rtl w:val="0"/>
        </w:rPr>
        <w:t xml:space="preserve">5.3 Limitările cercetării</w:t>
      </w:r>
    </w:p>
    <w:p w:rsidR="00000000" w:rsidDel="00000000" w:rsidP="00000000" w:rsidRDefault="00000000" w:rsidRPr="00000000" w14:paraId="000001F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Onestitatea intelectuală impune să discutăm explicit ce nu a funcționat sau a funcționat mai puțin bine — nu ca o formulă de modestie academică, ci pentru că limitele condiționate direct valoarea practică a rezultatelor.</w:t>
      </w:r>
    </w:p>
    <w:p w:rsidR="00000000" w:rsidDel="00000000" w:rsidP="00000000" w:rsidRDefault="00000000" w:rsidRPr="00000000" w14:paraId="000001F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Cea mai serioasă limitare rămâne instabilitatea modelului în cross-validare (R²_CV = −14.21 ± 6.16), care contrastează nefavorabil cu valoarea de pe setul de test. Această discrepanță sugerează că succesul pe test-set poate fi parțial un artefact al particularității acelei partiții, și nu o garanție de generalizare robustă.</w:t>
      </w:r>
    </w:p>
    <w:p w:rsidR="00000000" w:rsidDel="00000000" w:rsidP="00000000" w:rsidRDefault="00000000" w:rsidRPr="00000000" w14:paraId="000001F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Valoarea R² de 0.196 pe setul de test este pozitivă, însă cross-validarea 5-fold indică instabilitate (R²_CV = −14.21 ± 6.16). Modelul oferă estimări orientative, dar capacitatea de generalizare rămâne limitată.</w:t>
      </w:r>
    </w:p>
    <w:p w:rsidR="00000000" w:rsidDel="00000000" w:rsidP="00000000" w:rsidRDefault="00000000" w:rsidRPr="00000000" w14:paraId="000001F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Extinderea setului de variabile cu date externe — salariile medii pe ocupație, sectorul economic predominant, cererea de competențe din anunțurile de angajare — ar putea ameliora semnificativ stabilitatea și precizia modelului.</w:t>
      </w:r>
    </w:p>
    <w:p w:rsidR="00000000" w:rsidDel="00000000" w:rsidP="00000000" w:rsidRDefault="00000000" w:rsidRPr="00000000" w14:paraId="000001F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a doua limitare importantă este că modelul nu are acces la informații contextuale: nu știe dacă o ocupație se exercită în sectorul public sau privat, în industrii intensiv-tehnologice sau tradiționale, în zone urbane sau rurale. Toate acestea modulează viteza reală de adoptare a automatizării.</w:t>
      </w:r>
    </w:p>
    <w:p w:rsidR="00000000" w:rsidDel="00000000" w:rsidP="00000000" w:rsidRDefault="00000000" w:rsidRPr="00000000" w14:paraId="000001F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Cercetările lui Acemoglu și Restrepo (2020) arată că rata de automatizare variază considerabil în funcție de presiunile din piața muncii locală și de disponibilitatea capitalului pentru investiții în automatizare — factori pe care un model bazat exclusiv pe competențe nu îi poate captura.</w:t>
      </w:r>
    </w:p>
    <w:p w:rsidR="00000000" w:rsidDel="00000000" w:rsidP="00000000" w:rsidRDefault="00000000" w:rsidRPr="00000000" w14:paraId="000001F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altă limitare este asociată procesului de mapare dintre COR și ESCO.</w:t>
      </w:r>
    </w:p>
    <w:p w:rsidR="00000000" w:rsidDel="00000000" w:rsidP="00000000" w:rsidRDefault="00000000" w:rsidRPr="00000000" w14:paraId="000001F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Fuzzy matching-ul, deși eficient computațional, produce asocieri bazate pe forma textului, nu pe sensul ocupațional. Două ocupații cu denumiri similare pot corespunde unor realități profesionale diferite, și invers — ocupații echivalente funcțional pot rămâne nemapate din cauza diferențelor de nomenclatură.</w:t>
      </w:r>
    </w:p>
    <w:p w:rsidR="00000000" w:rsidDel="00000000" w:rsidP="00000000" w:rsidRDefault="00000000" w:rsidRPr="00000000" w14:paraId="000001F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validare manuală pe un eșantion din asocierile realizate ar fi o bună practică pentru cuantificarea ratei de eroare semantică și ar oferi o bază mai solidă pentru interpretarea scorurilor transferate pe COR.</w:t>
      </w:r>
    </w:p>
    <w:p w:rsidR="00000000" w:rsidDel="00000000" w:rsidP="00000000" w:rsidRDefault="00000000" w:rsidRPr="00000000" w14:paraId="0000020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Rata de acoperire de 14.7% este cea mai concretă limitare operațională: aproape 85% din ocupațiile COR nu au primit scoruri de automatizare. Orice concluzie despre profilul de risc al pieței muncii românești bazată pe aceste date este, prin urmare, extrapolată dintr-un subset nereprezentativ.</w:t>
      </w:r>
    </w:p>
    <w:p w:rsidR="00000000" w:rsidDel="00000000" w:rsidP="00000000" w:rsidRDefault="00000000" w:rsidRPr="00000000" w14:paraId="0000020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Extinderea acoperirii — fie printr-un prag de matching mai permisiv combinat cu validare manuală a asocierilor incerte, fie prin tehnici NLP mai avansate — rămâne prioritatea metodologică numărul unu pentru versiunile viitoare.</w:t>
      </w:r>
    </w:p>
    <w:p w:rsidR="00000000" w:rsidDel="00000000" w:rsidP="00000000" w:rsidRDefault="00000000" w:rsidRPr="00000000" w14:paraId="00000201">
      <w:pPr>
        <w:spacing w:after="240" w:before="240" w:lineRule="auto"/>
        <w:ind w:firstLine="720"/>
        <w:rPr>
          <w:rFonts w:ascii="Times New Roman" w:cs="Times New Roman" w:eastAsia="Times New Roman" w:hAnsi="Times New Roman"/>
          <w:sz w:val="24"/>
          <w:szCs w:val="24"/>
        </w:rPr>
      </w:pPr>
      <w:r>
        <w:t xml:space="preserve">Componenta AI 2 introduce propriile limitări, distincte de cele ale modelului statistic. GPT-4o este un model probabilistic ale cărui răspunsuri nu sunt perfect reproductibile — rulând aceeași interogare de două ori se pot obține scoruri ușor diferite. Utilizarea sa implică costuri de API (OpenAI), ceea ce limitează scalabilitatea la evaluări individuale sau seturi mici de ocupații, nu la procesări în masă. Calitatea evaluărilor depinde parțial de conținutul cache-ului de surse externe: dacă acesta este gol sau vechi, componenta revine la estimări bazate exclusiv pe cunoștințele parametrice ale modelului, fără context factual recent.</w:t>
      </w:r>
    </w:p>
    <w:p w:rsidR="00000000" w:rsidDel="00000000" w:rsidP="00000000" w:rsidRDefault="00000000" w:rsidRPr="00000000" w14:paraId="00000201">
      <w:pPr>
        <w:spacing w:after="240" w:before="240" w:lineRule="auto"/>
        <w:ind w:firstLine="720"/>
        <w:rPr>
          <w:rFonts w:ascii="Times New Roman" w:cs="Times New Roman" w:eastAsia="Times New Roman" w:hAnsi="Times New Roman"/>
          <w:sz w:val="24"/>
          <w:szCs w:val="24"/>
        </w:rPr>
      </w:pPr>
      <w:r>
        <w:t xml:space="preserve">Nu în ultimul rând, modelul GPT-4o poate manifesta biasuri proprii față de anumite ocupații sau domenii, moștenite din datele de pre-antrenare. Aceste biasuri sunt greu de detectat și cuantificat fără un set de referință validat extern. Mecanismul hibrid atenueaz parțial această problemă prin ancorarea evaluării GPT într-un scor determinist calculat din date obiective, dar nu o elimină complet. Utilizatorul aplicației trebuie să trateze rezultatele AI 2 ca estimări orientative, nu ca predicții exacte sau judecăți definitive despre viitorul unei ocupații.</w:t>
      </w:r>
    </w:p>
    <w:p w:rsidR="00000000" w:rsidDel="00000000" w:rsidP="00000000" w:rsidRDefault="00000000" w:rsidRPr="00000000" w14:paraId="0000020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rfwxvcoi86zi" w:id="70"/>
      <w:bookmarkEnd w:id="70"/>
      <w:r w:rsidDel="00000000" w:rsidR="00000000" w:rsidRPr="00000000">
        <w:rPr>
          <w:rFonts w:ascii="Times New Roman" w:cs="Times New Roman" w:eastAsia="Times New Roman" w:hAnsi="Times New Roman"/>
          <w:b w:val="1"/>
          <w:bCs w:val="1"/>
          <w:rtl w:val="0"/>
        </w:rPr>
        <w:t xml:space="preserve">5.4 Direcții viitoare de dezvoltare</w:t>
      </w:r>
    </w:p>
    <w:p w:rsidR="00000000" w:rsidDel="00000000" w:rsidP="00000000" w:rsidRDefault="00000000" w:rsidRPr="00000000" w14:paraId="000002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Rezultatele obținute, cu tot cu limitările lor, trasează câteva direcții clare de dezvoltare pe care cercetări viitoare le pot urma.</w:t>
      </w:r>
    </w:p>
    <w:p w:rsidR="00000000" w:rsidDel="00000000" w:rsidP="00000000" w:rsidRDefault="00000000" w:rsidRPr="00000000" w14:paraId="0000020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Prima și probabil cea mai impactantă direcție este îmbogățirea setului de variabile cu date externe. Corelarea profilelor competențiale din ESCO cu date de salarizare (disponibile de la INS sau Eurostat), cerere de competențe din anunțuri de angajare sau grade de digitalizare sectoriale ar putea transforma un model cu R²≈0.2 într-unul cu performanțe semnificativ mai robuste.</w:t>
      </w:r>
    </w:p>
    <w:p w:rsidR="00000000" w:rsidDel="00000000" w:rsidP="00000000" w:rsidRDefault="00000000" w:rsidRPr="00000000" w14:paraId="000002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Bessen (2019) a arătat că cererea de competențe măsurată din anunțuri de angajare este unul dintre cei mai buni predictori pentru adoptarea tehnologică la nivel de ocupație. Integrarea unor astfel de date în modelul de față ar reprezenta un salt calitativ față de abordarea actuală bazată exclusiv pe structuri statice de competențe.</w:t>
      </w:r>
    </w:p>
    <w:p w:rsidR="00000000" w:rsidDel="00000000" w:rsidP="00000000" w:rsidRDefault="00000000" w:rsidRPr="00000000" w14:paraId="000002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a doua direcție este compararea sistematică a algoritmilor. Deși LightGBM s-a comportat bine, nu există garanții că este optim pentru această problemă. XGBoost, CatBoost sau chiar modele mai simple cu regularizare mai agresivă ar putea oferi un echilibru mai bun între bias și varianță — tocmai ceea ce modelul actual pare să aibă dificultăți să obțină.</w:t>
      </w:r>
    </w:p>
    <w:p w:rsidR="00000000" w:rsidDel="00000000" w:rsidP="00000000" w:rsidRDefault="00000000" w:rsidRPr="00000000" w14:paraId="000002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Compararea mai multor algoritmi ar putea oferi o perspectivă mai clară asupra modelului optim pentru această problemă.</w:t>
      </w:r>
    </w:p>
    <w:p w:rsidR="00000000" w:rsidDel="00000000" w:rsidP="00000000" w:rsidRDefault="00000000" w:rsidRPr="00000000" w14:paraId="0000020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treia direcție — și poate cea cu cel mai mare impact practic — este îmbunătățirea mapării COR–ESCO.</w:t>
      </w:r>
    </w:p>
    <w:p w:rsidR="00000000" w:rsidDel="00000000" w:rsidP="00000000" w:rsidRDefault="00000000" w:rsidRPr="00000000" w14:paraId="000002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Tehnicile moderne de NLP, cum ar fi sentence embeddings (SBERT, multilingual BERT), pot identifica ocupații echivalente semantic chiar și atunci când denumirile textuale diferă semnificativ. O mapare bazată pe reprezentări semantice, validate parțial manual, ar putea crește rata de acoperire la 60–80% cu o rată de eroare controlată.</w:t>
      </w:r>
    </w:p>
    <w:p w:rsidR="00000000" w:rsidDel="00000000" w:rsidP="00000000" w:rsidRDefault="00000000" w:rsidRPr="00000000" w14:paraId="0000020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a patra direcție este analiza sectorială diferențiată.</w:t>
      </w:r>
    </w:p>
    <w:p w:rsidR="00000000" w:rsidDel="00000000" w:rsidP="00000000" w:rsidRDefault="00000000" w:rsidRPr="00000000" w14:paraId="0000020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Modelul curent tratează toate ocupațiile uniform, indiferent de sectorul în care se exercită. O analiză separată pe sectoare (IT, sănătate, industrie, servicii publice) ar permite calibrări mai fine și ar putea evidenția cum dinamicile sectoriale modulează riscul structural estimat din profilul de competențe.</w:t>
      </w:r>
    </w:p>
    <w:p w:rsidR="00000000" w:rsidDel="00000000" w:rsidP="00000000" w:rsidRDefault="00000000" w:rsidRPr="00000000" w14:paraId="0000020C">
      <w:pPr>
        <w:spacing w:after="240" w:before="240" w:lineRule="auto"/>
        <w:ind w:firstLine="720"/>
        <w:rPr>
          <w:rFonts w:ascii="Times New Roman" w:cs="Times New Roman" w:eastAsia="Times New Roman" w:hAnsi="Times New Roman"/>
          <w:sz w:val="24"/>
          <w:szCs w:val="24"/>
        </w:rPr>
      </w:pPr>
      <w:r>
        <w:t xml:space="preserve">O a cincea direcție de dezvoltare privește componenta AI 2 și sistemul de surse externe. Pe termen scurt, clasificarea competențelor — de la lexiconul manual actual la un clasificator antrenat — ar putea crește precizia scorului determinist și reduce dependența de regulile hardcodate. Pe termen mediu, extinderea sistemului de colectare cu surse de cerere reală de competențe — anunțuri de angajare, date ANOFM — ar calibra estimările la dinamicile pieței muncii locale, nu doar la evoluțiile tehnologice globale.</w:t>
      </w:r>
    </w:p>
    <w:p w:rsidR="00000000" w:rsidDel="00000000" w:rsidP="00000000" w:rsidRDefault="00000000" w:rsidRPr="00000000" w14:paraId="0000020C">
      <w:pPr>
        <w:spacing w:after="240" w:before="240" w:lineRule="auto"/>
        <w:ind w:firstLine="720"/>
        <w:rPr>
          <w:rFonts w:ascii="Times New Roman" w:cs="Times New Roman" w:eastAsia="Times New Roman" w:hAnsi="Times New Roman"/>
          <w:sz w:val="24"/>
          <w:szCs w:val="24"/>
        </w:rPr>
      </w:pPr>
      <w:r>
        <w:t xml:space="preserve">Pe termen lung, un model hibrid care integrează actualizări continue din surse externe — nu periodic, ci în timp real — ar putea deveni un instrument de monitorizare a pieței muncii cu aplicații practice directe pentru serviciile de orientare profesională și pentru instituțiile responsabile cu politicile de reconversie. Separarea replacementRisk de aiImpactScore, introdusă în această lucrare la nivel de instrument demonstrativ, ar putea fi validată empiric prin studii longitudinale care să urmărească evoluția reală a ocupațiilor în raport cu estimările generate la un moment dat.</w:t>
      </w:r>
    </w:p>
    <w:p w:rsidR="00000000" w:rsidDel="00000000" w:rsidP="00000000" w:rsidRDefault="00000000" w:rsidRPr="00000000" w14:paraId="000002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aplicația Streamlit dezvoltată poate fi extinsă prin integrarea unor funcționalități suplimentare, precum filtre avansate, comparații între ocupații și simulări predictive.</w:t>
      </w:r>
    </w:p>
    <w:p w:rsidR="00000000" w:rsidDel="00000000" w:rsidP="00000000" w:rsidRDefault="00000000" w:rsidRPr="00000000" w14:paraId="0000020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ng22k8t91vbh" w:id="71"/>
      <w:bookmarkEnd w:id="71"/>
      <w:r w:rsidDel="00000000" w:rsidR="00000000" w:rsidRPr="00000000">
        <w:rPr>
          <w:rFonts w:ascii="Times New Roman" w:cs="Times New Roman" w:eastAsia="Times New Roman" w:hAnsi="Times New Roman"/>
          <w:b w:val="1"/>
          <w:bCs w:val="1"/>
          <w:rtl w:val="0"/>
        </w:rPr>
        <w:t xml:space="preserve">5.5 Concluzia finală</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Trăim într-un moment în care întrebarea nu mai este dacă automatizarea va schimba piața muncii, ci cât de repede, în ce sectoare și cu ce consecințe distributive. Cercetarea de față nu pretinde să răspundă la aceste întrebări mari — dar poate contribui la o parte din infrastructura metodologică necesară pentru a le aborda în mod sistematic.</w:t>
      </w:r>
    </w:p>
    <w:p w:rsidR="00000000" w:rsidDel="00000000" w:rsidP="00000000" w:rsidRDefault="00000000" w:rsidRPr="00000000" w14:paraId="0000021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Instrumentele de estimare a riscului ocupațional — chiar și cele cu limitări metodologice evidente — pot servi ca punct de plecare pentru dialog între cercetători, factori de decizie și practicieni ai pieței muncii, cu condiția ca limitele să fie comunicate transparent.</w:t>
      </w:r>
    </w:p>
    <w:p w:rsidR="00000000" w:rsidDel="00000000" w:rsidP="00000000" w:rsidRDefault="00000000" w:rsidRPr="00000000" w14:paraId="0000021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Ceea ce această lucrare a demonstrat concret este că datele structurale din ESCO conțin semnale suficiente pentru a construi un sistem funcțional — nu perfect, dar funcțional — de estimare a riscului ocupațional. Un scor de automatizare bazat pe competențe nu este un substitut pentru o analiză economică completă, dar este mai bine decât absența oricărui instrument.</w:t>
      </w:r>
    </w:p>
    <w:p w:rsidR="00000000" w:rsidDel="00000000" w:rsidP="00000000" w:rsidRDefault="00000000" w:rsidRPr="00000000" w14:paraId="0000021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Combinând ESCO, LightGBM și SHAP într-un pipeline reproductibil, disponibil public pe GitHub, lucrarea pune bazele pentru cercetări iterative care pot îmbunătăți treptat precizia și acoperirea estimărilor.</w:t>
      </w:r>
    </w:p>
    <w:p w:rsidR="00000000" w:rsidDel="00000000" w:rsidP="00000000" w:rsidRDefault="00000000" w:rsidRPr="00000000" w14:paraId="0000021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Limitările metodologice sunt reale și nu trebuie minimizate. Dar potențialul abordării este la fel de real: cu date mai bogate, o mapare mai precisă și o validare externă adecvată, un sistem similar ar putea deveni un instrument valoros pentru analiza pieței muncii românești.</w:t>
      </w:r>
    </w:p>
    <w:p w:rsidR="00000000" w:rsidDel="00000000" w:rsidP="00000000" w:rsidRDefault="00000000" w:rsidRPr="00000000" w14:paraId="0000021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Sper că această lucrare poate servi nu ca un răspuns definitiv la întrebările privind automatizarea ocupațională în România, ci ca o primă aproximare utilă și ca o bază de pornire pentru cercetări viitoare mai complete.</w:t>
      </w:r>
    </w:p>
    <w:p w:rsidR="00000000" w:rsidDel="00000000" w:rsidP="00000000" w:rsidRDefault="00000000" w:rsidRPr="00000000" w14:paraId="00000217">
      <w:pPr>
        <w:pStyle w:val="Heading1"/>
        <w:keepNext w:val="0"/>
        <w:keepLines w:val="0"/>
        <w:spacing w:before="480" w:lineRule="auto"/>
        <w:rPr>
          <w:rFonts w:ascii="Times New Roman" w:cs="Times New Roman" w:eastAsia="Times New Roman" w:hAnsi="Times New Roman"/>
          <w:b w:val="1"/>
          <w:bCs w:val="1"/>
          <w:color w:val="ff0000"/>
          <w:sz w:val="44"/>
          <w:szCs w:val="44"/>
        </w:rPr>
      </w:pPr>
      <w:bookmarkStart w:colFirst="0" w:colLast="0" w:name="_nsgfd2n5lj88" w:id="72"/>
      <w:bookmarkEnd w:id="72"/>
      <w:r w:rsidDel="00000000" w:rsidR="00000000" w:rsidRPr="00000000">
        <w:rPr>
          <w:rFonts w:ascii="Times New Roman" w:cs="Times New Roman" w:eastAsia="Times New Roman" w:hAnsi="Times New Roman"/>
          <w:b w:val="1"/>
          <w:bCs w:val="1"/>
          <w:color w:val="ff0000"/>
          <w:sz w:val="44"/>
          <w:szCs w:val="44"/>
          <w:rtl w:val="0"/>
        </w:rPr>
        <w:t xml:space="preserve">6. Bibliografie și Glosar al termenilor-cheie folosiți în lucrare: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9lbefe2t2soc" w:id="73"/>
      <w:bookmarkEnd w:id="73"/>
      <w:r w:rsidDel="00000000" w:rsidR="00000000" w:rsidRPr="00000000">
        <w:rPr>
          <w:rFonts w:ascii="Times New Roman" w:cs="Times New Roman" w:eastAsia="Times New Roman" w:hAnsi="Times New Roman"/>
          <w:b w:val="1"/>
          <w:bCs w:val="1"/>
          <w:sz w:val="32"/>
          <w:szCs w:val="32"/>
          <w:rtl w:val="0"/>
        </w:rPr>
        <w:t xml:space="preserve">6.1 Bibliografie</w:t>
      </w:r>
    </w:p>
    <w:p w:rsidR="00000000" w:rsidDel="00000000" w:rsidP="00000000" w:rsidRDefault="00000000" w:rsidRPr="00000000" w14:paraId="0000021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78rl2d1gj99" w:id="74"/>
      <w:bookmarkEnd w:id="74"/>
      <w:r w:rsidDel="00000000" w:rsidR="00000000" w:rsidRPr="00000000">
        <w:rPr>
          <w:rFonts w:ascii="Times New Roman" w:cs="Times New Roman" w:eastAsia="Times New Roman" w:hAnsi="Times New Roman"/>
          <w:b w:val="1"/>
          <w:bCs w:val="1"/>
          <w:sz w:val="28"/>
          <w:szCs w:val="28"/>
          <w:rtl w:val="0"/>
        </w:rPr>
        <w:t xml:space="preserve">Referințe bibliografice</w:t>
      </w:r>
    </w:p>
    <w:p w:rsidR="00000000" w:rsidDel="00000000" w:rsidP="00000000" w:rsidRDefault="00000000" w:rsidRPr="00000000" w14:paraId="0000021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Acemoglu, D., &amp; Restrepo, P. (2020). Robots and jobs: Evidence from US labor markets. </w:t>
      </w:r>
      <w:r w:rsidDel="00000000" w:rsidR="00000000" w:rsidRPr="00000000">
        <w:rPr>
          <w:rFonts w:ascii="Times New Roman" w:cs="Times New Roman" w:eastAsia="Times New Roman" w:hAnsi="Times New Roman"/>
          <w:i w:val="1"/>
          <w:iCs w:val="1"/>
          <w:sz w:val="24"/>
          <w:szCs w:val="24"/>
          <w:rtl w:val="0"/>
        </w:rPr>
        <w:t xml:space="preserve">Journal of Political Economy, 128</w:t>
      </w:r>
      <w:r w:rsidDel="00000000" w:rsidR="00000000" w:rsidRPr="00000000">
        <w:rPr>
          <w:rFonts w:ascii="Times New Roman" w:cs="Times New Roman" w:eastAsia="Times New Roman" w:hAnsi="Times New Roman"/>
          <w:sz w:val="24"/>
          <w:szCs w:val="24"/>
          <w:rtl w:val="0"/>
        </w:rPr>
        <w:t xml:space="preserve">(6), 2188–2244.</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https://doi.org/10.1086/705716</w:t>
        </w:r>
      </w:hyperlink>
      <w:r w:rsidDel="00000000" w:rsidR="00000000" w:rsidRPr="00000000">
        <w:rPr>
          <w:rtl w:val="0"/>
        </w:rPr>
      </w:r>
    </w:p>
    <w:p w:rsidR="00000000" w:rsidDel="00000000" w:rsidP="00000000" w:rsidRDefault="00000000" w:rsidRPr="00000000" w14:paraId="0000021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Arntz, M., Gregory, T., &amp; Zierahn, U. (2016). The risk of automation for jobs in OECD countries: A comparative analysis. </w:t>
      </w:r>
      <w:r w:rsidDel="00000000" w:rsidR="00000000" w:rsidRPr="00000000">
        <w:rPr>
          <w:rFonts w:ascii="Times New Roman" w:cs="Times New Roman" w:eastAsia="Times New Roman" w:hAnsi="Times New Roman"/>
          <w:i w:val="1"/>
          <w:iCs w:val="1"/>
          <w:sz w:val="24"/>
          <w:szCs w:val="24"/>
          <w:rtl w:val="0"/>
        </w:rPr>
        <w:t xml:space="preserve">OECD Social, Employment and Migration Working Papers, No. 189</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https://doi.org/10.1787/5jlz9h56dvq7-en</w:t>
        </w:r>
      </w:hyperlink>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Bessen, J. (2019). AI and jobs: The role of demand. </w:t>
      </w:r>
      <w:r w:rsidDel="00000000" w:rsidR="00000000" w:rsidRPr="00000000">
        <w:rPr>
          <w:rFonts w:ascii="Times New Roman" w:cs="Times New Roman" w:eastAsia="Times New Roman" w:hAnsi="Times New Roman"/>
          <w:i w:val="1"/>
          <w:iCs w:val="1"/>
          <w:sz w:val="24"/>
          <w:szCs w:val="24"/>
          <w:rtl w:val="0"/>
        </w:rPr>
        <w:t xml:space="preserve">NBER Working Paper No. 24235</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https://doi.org/10.3386/w24235</w:t>
        </w:r>
      </w:hyperlink>
      <w:r w:rsidDel="00000000" w:rsidR="00000000" w:rsidRPr="00000000">
        <w:rPr>
          <w:rtl w:val="0"/>
        </w:rPr>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Brynjolfsson, E., &amp; McAfee, A. (2014). </w:t>
      </w:r>
      <w:r w:rsidDel="00000000" w:rsidR="00000000" w:rsidRPr="00000000">
        <w:rPr>
          <w:rFonts w:ascii="Times New Roman" w:cs="Times New Roman" w:eastAsia="Times New Roman" w:hAnsi="Times New Roman"/>
          <w:i w:val="1"/>
          <w:iCs w:val="1"/>
          <w:sz w:val="24"/>
          <w:szCs w:val="24"/>
          <w:rtl w:val="0"/>
        </w:rPr>
        <w:t xml:space="preserve">The second machine age: Work, progress, and prosperity in a time of brilliant technologies</w:t>
      </w:r>
      <w:r w:rsidDel="00000000" w:rsidR="00000000" w:rsidRPr="00000000">
        <w:rPr>
          <w:rFonts w:ascii="Times New Roman" w:cs="Times New Roman" w:eastAsia="Times New Roman" w:hAnsi="Times New Roman"/>
          <w:sz w:val="24"/>
          <w:szCs w:val="24"/>
          <w:rtl w:val="0"/>
        </w:rPr>
        <w:t xml:space="preserve">. W. W. Norton &amp; Company.</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(2023). </w:t>
      </w:r>
      <w:r w:rsidDel="00000000" w:rsidR="00000000" w:rsidRPr="00000000">
        <w:rPr>
          <w:rFonts w:ascii="Times New Roman" w:cs="Times New Roman" w:eastAsia="Times New Roman" w:hAnsi="Times New Roman"/>
          <w:i w:val="1"/>
          <w:iCs w:val="1"/>
          <w:sz w:val="24"/>
          <w:szCs w:val="24"/>
          <w:rtl w:val="0"/>
        </w:rPr>
        <w:t xml:space="preserve">ESCO – European Skills, Competences, Qualifications and Occupations</w:t>
      </w:r>
      <w:r w:rsidDel="00000000" w:rsidR="00000000" w:rsidRPr="00000000">
        <w:rPr>
          <w:rFonts w:ascii="Times New Roman" w:cs="Times New Roman" w:eastAsia="Times New Roman" w:hAnsi="Times New Roman"/>
          <w:sz w:val="24"/>
          <w:szCs w:val="24"/>
          <w:rtl w:val="0"/>
        </w:rPr>
        <w:t xml:space="preserve">. Publications Office of the European Union.</w:t>
      </w:r>
    </w:p>
    <w:p w:rsidR="00000000" w:rsidDel="00000000" w:rsidP="00000000" w:rsidRDefault="00000000" w:rsidRPr="00000000" w14:paraId="0000022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Eurostat. (2023). </w:t>
      </w:r>
      <w:r w:rsidDel="00000000" w:rsidR="00000000" w:rsidRPr="00000000">
        <w:rPr>
          <w:rFonts w:ascii="Times New Roman" w:cs="Times New Roman" w:eastAsia="Times New Roman" w:hAnsi="Times New Roman"/>
          <w:i w:val="1"/>
          <w:iCs w:val="1"/>
          <w:sz w:val="24"/>
          <w:szCs w:val="24"/>
          <w:rtl w:val="0"/>
        </w:rPr>
        <w:t xml:space="preserve">Labour market statistics</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https://ec.europa.eu/eurostat</w:t>
        </w:r>
      </w:hyperlink>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Frey, C. B., &amp; Osborne, M. A. (2017). The future of employment: How susceptible are jobs to computerisation? </w:t>
      </w:r>
      <w:r w:rsidDel="00000000" w:rsidR="00000000" w:rsidRPr="00000000">
        <w:rPr>
          <w:rFonts w:ascii="Times New Roman" w:cs="Times New Roman" w:eastAsia="Times New Roman" w:hAnsi="Times New Roman"/>
          <w:i w:val="1"/>
          <w:iCs w:val="1"/>
          <w:sz w:val="24"/>
          <w:szCs w:val="24"/>
          <w:rtl w:val="0"/>
        </w:rPr>
        <w:t xml:space="preserve">Technological Forecasting and Social Change, 114</w:t>
      </w:r>
      <w:r w:rsidDel="00000000" w:rsidR="00000000" w:rsidRPr="00000000">
        <w:rPr>
          <w:rFonts w:ascii="Times New Roman" w:cs="Times New Roman" w:eastAsia="Times New Roman" w:hAnsi="Times New Roman"/>
          <w:sz w:val="24"/>
          <w:szCs w:val="24"/>
          <w:rtl w:val="0"/>
        </w:rPr>
        <w:t xml:space="preserve">, 254–280.</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https://doi.org/10.1016/j.techfore.2016.08.019</w:t>
        </w:r>
      </w:hyperlink>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International Labour Organization. (2018). </w:t>
      </w:r>
      <w:r w:rsidDel="00000000" w:rsidR="00000000" w:rsidRPr="00000000">
        <w:rPr>
          <w:rFonts w:ascii="Times New Roman" w:cs="Times New Roman" w:eastAsia="Times New Roman" w:hAnsi="Times New Roman"/>
          <w:i w:val="1"/>
          <w:iCs w:val="1"/>
          <w:sz w:val="24"/>
          <w:szCs w:val="24"/>
          <w:rtl w:val="0"/>
        </w:rPr>
        <w:t xml:space="preserve">Automation, skills use and training</w:t>
      </w:r>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https://www.ilo.org</w:t>
        </w:r>
      </w:hyperlink>
      <w:r w:rsidDel="00000000" w:rsidR="00000000" w:rsidRPr="00000000">
        <w:rPr>
          <w:rtl w:val="0"/>
        </w:rPr>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 G., Meng, Q., Finley, T., Wang, T., Chen, W., Ma, W., Ye, Q., &amp; Liu, T. Y. (2017). LightGBM: A highly efficient gradient boosting decision tree. In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Lundberg, S. M., &amp; Lee, S. I. (2017). A unified approach to interpreting model predictions. In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McKinsey Global Institute. (2017). </w:t>
      </w:r>
      <w:r w:rsidDel="00000000" w:rsidR="00000000" w:rsidRPr="00000000">
        <w:rPr>
          <w:rFonts w:ascii="Times New Roman" w:cs="Times New Roman" w:eastAsia="Times New Roman" w:hAnsi="Times New Roman"/>
          <w:i w:val="1"/>
          <w:iCs w:val="1"/>
          <w:sz w:val="24"/>
          <w:szCs w:val="24"/>
          <w:rtl w:val="0"/>
        </w:rPr>
        <w:t xml:space="preserve">A future that works: Automation, employment, and productivity</w:t>
      </w: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https://www.mckinsey.com</w:t>
        </w:r>
      </w:hyperlink>
      <w:r w:rsidDel="00000000" w:rsidR="00000000" w:rsidRPr="00000000">
        <w:rPr>
          <w:rtl w:val="0"/>
        </w:rPr>
      </w:r>
    </w:p>
    <w:p w:rsidR="00000000" w:rsidDel="00000000" w:rsidP="00000000" w:rsidRDefault="00000000" w:rsidRPr="00000000" w14:paraId="0000022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NET Resource Center. (2023). ONET database</w:t>
      </w:r>
      <w:r w:rsidDel="00000000" w:rsidR="00000000" w:rsidRPr="00000000">
        <w:rPr>
          <w:rFonts w:ascii="Times New Roman" w:cs="Times New Roman" w:eastAsia="Times New Roman" w:hAnsi="Times New Roman"/>
          <w:sz w:val="24"/>
          <w:szCs w:val="24"/>
          <w:rtl w:val="0"/>
        </w:rPr>
        <w:t xml:space="preserve">.</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https://www.onetcenter.org</w:t>
        </w:r>
      </w:hyperlink>
      <w:r w:rsidDel="00000000" w:rsidR="00000000" w:rsidRPr="00000000">
        <w:rPr>
          <w:rtl w:val="0"/>
        </w:rPr>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(2023). </w:t>
      </w:r>
      <w:r w:rsidDel="00000000" w:rsidR="00000000" w:rsidRPr="00000000">
        <w:rPr>
          <w:rFonts w:ascii="Times New Roman" w:cs="Times New Roman" w:eastAsia="Times New Roman" w:hAnsi="Times New Roman"/>
          <w:i w:val="1"/>
          <w:iCs w:val="1"/>
          <w:sz w:val="24"/>
          <w:szCs w:val="24"/>
          <w:rtl w:val="0"/>
        </w:rPr>
        <w:t xml:space="preserve">Employment Outlook 2023: Artificial Intelligence and the Labour Market</w:t>
      </w:r>
      <w:r w:rsidDel="00000000" w:rsidR="00000000" w:rsidRPr="00000000">
        <w:rPr>
          <w:rFonts w:ascii="Times New Roman" w:cs="Times New Roman" w:eastAsia="Times New Roman" w:hAnsi="Times New Roman"/>
          <w:sz w:val="24"/>
          <w:szCs w:val="24"/>
          <w:rtl w:val="0"/>
        </w:rPr>
        <w:t xml:space="preserve">. OECD Publishing.</w:t>
      </w:r>
    </w:p>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S., &amp; Norvig, P. (2021). </w:t>
      </w:r>
      <w:r w:rsidDel="00000000" w:rsidR="00000000" w:rsidRPr="00000000">
        <w:rPr>
          <w:rFonts w:ascii="Times New Roman" w:cs="Times New Roman" w:eastAsia="Times New Roman" w:hAnsi="Times New Roman"/>
          <w:i w:val="1"/>
          <w:iCs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(4th ed.). Pearson.</w:t>
      </w:r>
    </w:p>
    <w:p w:rsidR="00000000" w:rsidDel="00000000" w:rsidP="00000000" w:rsidRDefault="00000000" w:rsidRPr="00000000" w14:paraId="000002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Schumpeter, J. A. (1942). </w:t>
      </w:r>
      <w:r w:rsidDel="00000000" w:rsidR="00000000" w:rsidRPr="00000000">
        <w:rPr>
          <w:rFonts w:ascii="Times New Roman" w:cs="Times New Roman" w:eastAsia="Times New Roman" w:hAnsi="Times New Roman"/>
          <w:i w:val="1"/>
          <w:iCs w:val="1"/>
          <w:sz w:val="24"/>
          <w:szCs w:val="24"/>
          <w:rtl w:val="0"/>
        </w:rPr>
        <w:t xml:space="preserve">Capitalism, socialism and democracy</w:t>
      </w:r>
      <w:r w:rsidDel="00000000" w:rsidR="00000000" w:rsidRPr="00000000">
        <w:rPr>
          <w:rFonts w:ascii="Times New Roman" w:cs="Times New Roman" w:eastAsia="Times New Roman" w:hAnsi="Times New Roman"/>
          <w:sz w:val="24"/>
          <w:szCs w:val="24"/>
          <w:rtl w:val="0"/>
        </w:rPr>
        <w:t xml:space="preserve">. Harper &amp; Brothers.</w:t>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Rossum, G., &amp; Drake, F. L. (2009). </w:t>
      </w:r>
      <w:r w:rsidDel="00000000" w:rsidR="00000000" w:rsidRPr="00000000">
        <w:rPr>
          <w:rFonts w:ascii="Times New Roman" w:cs="Times New Roman" w:eastAsia="Times New Roman" w:hAnsi="Times New Roman"/>
          <w:i w:val="1"/>
          <w:iCs w:val="1"/>
          <w:sz w:val="24"/>
          <w:szCs w:val="24"/>
          <w:rtl w:val="0"/>
        </w:rPr>
        <w:t xml:space="preserve">Python 3 Reference Manual</w:t>
      </w:r>
      <w:r w:rsidDel="00000000" w:rsidR="00000000" w:rsidRPr="00000000">
        <w:rPr>
          <w:rFonts w:ascii="Times New Roman" w:cs="Times New Roman" w:eastAsia="Times New Roman" w:hAnsi="Times New Roman"/>
          <w:sz w:val="24"/>
          <w:szCs w:val="24"/>
          <w:rtl w:val="0"/>
        </w:rPr>
        <w:t xml:space="preserve">. CreateSpace.</w:t>
      </w:r>
    </w:p>
    <w:p w:rsidR="00000000" w:rsidDel="00000000" w:rsidP="00000000" w:rsidRDefault="00000000" w:rsidRPr="00000000" w14:paraId="0000022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World Economic Forum. (2020). </w:t>
      </w:r>
      <w:r w:rsidDel="00000000" w:rsidR="00000000" w:rsidRPr="00000000">
        <w:rPr>
          <w:rFonts w:ascii="Times New Roman" w:cs="Times New Roman" w:eastAsia="Times New Roman" w:hAnsi="Times New Roman"/>
          <w:i w:val="1"/>
          <w:iCs w:val="1"/>
          <w:sz w:val="24"/>
          <w:szCs w:val="24"/>
          <w:rtl w:val="0"/>
        </w:rPr>
        <w:t xml:space="preserve">The future of jobs report 2020</w:t>
      </w:r>
      <w:r w:rsidDel="00000000" w:rsidR="00000000" w:rsidRPr="00000000">
        <w:rPr>
          <w:rFonts w:ascii="Times New Roman" w:cs="Times New Roman" w:eastAsia="Times New Roman" w:hAnsi="Times New Roman"/>
          <w:sz w:val="24"/>
          <w:szCs w:val="24"/>
          <w:rtl w:val="0"/>
        </w:rPr>
        <w:t xml:space="preserv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https://www.weforum.org/reports/the-future-of-jobs-report-2020</w:t>
        </w:r>
      </w:hyperlink>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hge71nop4aa" w:id="75"/>
      <w:bookmarkEnd w:id="75"/>
      <w:r w:rsidDel="00000000" w:rsidR="00000000" w:rsidRPr="00000000">
        <w:rPr>
          <w:rFonts w:ascii="Times New Roman" w:cs="Times New Roman" w:eastAsia="Times New Roman" w:hAnsi="Times New Roman"/>
          <w:b w:val="1"/>
          <w:bCs w:val="1"/>
          <w:sz w:val="28"/>
          <w:szCs w:val="28"/>
          <w:rtl w:val="0"/>
        </w:rPr>
        <w:t xml:space="preserve">Surse utilizate în cadrul implementării practice</w:t>
      </w:r>
    </w:p>
    <w:p w:rsidR="00000000" w:rsidDel="00000000" w:rsidP="00000000" w:rsidRDefault="00000000" w:rsidRPr="00000000" w14:paraId="0000022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 (European Skills, Competences, Qualifications and Occupations) – utilizat pentru extragerea ocupațiilor și competențelor.</w:t>
      </w:r>
    </w:p>
    <w:p w:rsidR="00000000" w:rsidDel="00000000" w:rsidP="00000000" w:rsidRDefault="00000000" w:rsidRPr="00000000" w14:paraId="0000022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 (Clasificarea Ocupațiilor din România) – utilizată pentru aplicarea modelului la nivel național.</w:t>
      </w:r>
    </w:p>
    <w:p w:rsidR="00000000" w:rsidDel="00000000" w:rsidP="00000000" w:rsidRDefault="00000000" w:rsidRPr="00000000" w14:paraId="0000023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 algoritm utilizat pentru regresie și estimarea scorului de automatizare.</w:t>
      </w:r>
    </w:p>
    <w:p w:rsidR="00000000" w:rsidDel="00000000" w:rsidP="00000000" w:rsidRDefault="00000000" w:rsidRPr="00000000" w14:paraId="0000023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 utilizat pentru interpretabilitatea modelului.</w:t>
      </w:r>
    </w:p>
    <w:p w:rsidR="00000000" w:rsidDel="00000000" w:rsidP="00000000" w:rsidRDefault="00000000" w:rsidRPr="00000000" w14:paraId="0000023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limbaj de programare utilizat pentru implementarea modelului.</w:t>
      </w:r>
    </w:p>
    <w:p w:rsidR="00000000" w:rsidDel="00000000" w:rsidP="00000000" w:rsidRDefault="00000000" w:rsidRPr="00000000" w14:paraId="0000023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 procesarea și manipularea datelor.</w:t>
      </w:r>
    </w:p>
    <w:p w:rsidR="00000000" w:rsidDel="00000000" w:rsidP="00000000" w:rsidRDefault="00000000" w:rsidRPr="00000000" w14:paraId="0000023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 operații numerice și transformări.</w:t>
      </w:r>
    </w:p>
    <w:p w:rsidR="00000000" w:rsidDel="00000000" w:rsidP="00000000" w:rsidRDefault="00000000" w:rsidRPr="00000000" w14:paraId="0000023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 evaluarea performanței și procesarea datelor.</w:t>
      </w:r>
    </w:p>
    <w:p w:rsidR="00000000" w:rsidDel="00000000" w:rsidP="00000000" w:rsidRDefault="00000000" w:rsidRPr="00000000" w14:paraId="0000023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 dezvoltarea aplicației interactive pentru vizualizarea rezultatelor.</w:t>
      </w:r>
    </w:p>
    <w:p w:rsidR="00000000" w:rsidDel="00000000" w:rsidP="00000000" w:rsidRDefault="00000000" w:rsidRPr="00000000" w14:paraId="0000023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Fuzzy Matching – asocierea ocupațiilor COR cu ocupațiile ESCO.</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ind w:left="0" w:firstLine="72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9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techfore.2016.08.019" TargetMode="External"/><Relationship Id="rId22" Type="http://schemas.openxmlformats.org/officeDocument/2006/relationships/hyperlink" Target="https://www.ilo.org" TargetMode="External"/><Relationship Id="rId21" Type="http://schemas.openxmlformats.org/officeDocument/2006/relationships/hyperlink" Target="https://doi.org/10.1016/j.techfore.2016.08.019" TargetMode="External"/><Relationship Id="rId24" Type="http://schemas.openxmlformats.org/officeDocument/2006/relationships/hyperlink" Target="https://www.mckinsey.com" TargetMode="External"/><Relationship Id="rId23" Type="http://schemas.openxmlformats.org/officeDocument/2006/relationships/hyperlink" Target="https://www.il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onetcenter.org" TargetMode="External"/><Relationship Id="rId25" Type="http://schemas.openxmlformats.org/officeDocument/2006/relationships/hyperlink" Target="https://www.mckinsey.com" TargetMode="External"/><Relationship Id="rId28" Type="http://schemas.openxmlformats.org/officeDocument/2006/relationships/hyperlink" Target="https://www.weforum.org/reports/the-future-of-jobs-report-2020" TargetMode="External"/><Relationship Id="rId27" Type="http://schemas.openxmlformats.org/officeDocument/2006/relationships/hyperlink" Target="https://www.onetcenter.org"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weforum.org/reports/the-future-of-jobs-report-2020" TargetMode="External"/><Relationship Id="rId7" Type="http://schemas.openxmlformats.org/officeDocument/2006/relationships/image" Target="media/image6.png"/><Relationship Id="rId8" Type="http://schemas.openxmlformats.org/officeDocument/2006/relationships/image" Target="media/image1.png"/><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doi.org/10.1086/705716" TargetMode="External"/><Relationship Id="rId12" Type="http://schemas.openxmlformats.org/officeDocument/2006/relationships/hyperlink" Target="https://doi.org/10.1086/705716" TargetMode="External"/><Relationship Id="rId15" Type="http://schemas.openxmlformats.org/officeDocument/2006/relationships/hyperlink" Target="https://doi.org/10.1787/5jlz9h56dvq7-en" TargetMode="External"/><Relationship Id="rId14" Type="http://schemas.openxmlformats.org/officeDocument/2006/relationships/hyperlink" Target="https://doi.org/10.1787/5jlz9h56dvq7-en" TargetMode="External"/><Relationship Id="rId17" Type="http://schemas.openxmlformats.org/officeDocument/2006/relationships/hyperlink" Target="https://doi.org/10.3386/w24235" TargetMode="External"/><Relationship Id="rId16" Type="http://schemas.openxmlformats.org/officeDocument/2006/relationships/hyperlink" Target="https://doi.org/10.3386/w24235" TargetMode="External"/><Relationship Id="rId19" Type="http://schemas.openxmlformats.org/officeDocument/2006/relationships/hyperlink" Target="https://ec.europa.eu/eurostat" TargetMode="External"/><Relationship Id="rId18" Type="http://schemas.openxmlformats.org/officeDocument/2006/relationships/hyperlink" Target="https://ec.europa.eu/eurost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