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GridPulse Milestone 3 Written Analysis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Team 9, Intro to Cloud Computing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Image size and how we reduced it</w:t>
      </w:r>
    </w:p>
    <w:p>
      <w:pPr>
        <w:spacing w:after="80" w:line="259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Our final backend image is 192 MB compressed in Artifact Registry (804 MB on disk). Built with our Milestone 1 Dockerfile it was 821 MB, so it is now about 77% smaller. The frontend image is 21.2 MB compressed. The biggest saving came from installing xgboost-cpu instead of xgboost, because the regular package pulls in CUDA libraries and nvidia-nccl-cu12, which we never use. We also used multi-stage builds, so the pip build stage, the Node toolchain and node_modules never reach the final images and the frontend runs on nginx:alpine with only the built files. Last, we used python:3.11-slim, turned off the pip cache and deleted the test folders that ship inside pandas, numpy, scipy and scikit-learn.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What .dockerignore excludes and why</w:t>
      </w:r>
    </w:p>
    <w:p>
      <w:pPr>
        <w:spacing w:after="80" w:line="259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Our .dockerignore keeps .env files, keys and credential files out of the build context, so they can never be copied into a layer. It also excludes node_modules, venv and __pycache__, which were built on our Macs and would overwrite the Linux packages installed in the image. We also left out .git (full commit history), uploads/ (runtime data that belongs in a volume) and things not needed at runtime like frontend/dist, docs/, database/, backend/tests and .tar.gz archives. The build context is only 1.2 MB.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No secrets baked into the images</w:t>
      </w:r>
    </w:p>
    <w:p>
      <w:pPr>
        <w:spacing w:after="80" w:line="259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Our only secret is the Postgres password. It lives in a .env file that both .gitignore and .dockerignore exclude, and docker compose passes it to the containers when they start, so it is never inside an image. Our script deploy/verify_no_secrets.sh checks the environment variables in each image and every docker history entry, looks for .env files and scans every layer exported with docker save. Both images passed with 0 matches, and when we tested it on an image with a password baked in on purpose, it caught all four problems.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4. Cost control</w:t>
      </w:r>
    </w:p>
    <w:p>
      <w:pPr>
        <w:spacing w:after="80" w:line="259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We set a $50 monthly budget on project gridpulse-509202 with email alerts at 10, 20, 25, 50 and 100%, based on cost before free-trial credits. October spend so far is $2.42, all covered by credits. The registry and the VM are both in us-central1, so pulling images has no egress cost, and a cleanup policy deletes untagged images after 7 days and always keeps the 5 newest versions.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GridPulse Milestone 3 Written Analysis</dc:title>
  <dc:creator>Team 9</dc:creator>
  <cp:lastModifiedBy>Un-named</cp:lastModifiedBy>
  <cp:revision>1</cp:revision>
  <dcterms:created xsi:type="dcterms:W3CDTF">2026-10-05T03:17:42.321Z</dcterms:created>
  <dcterms:modified xsi:type="dcterms:W3CDTF">2026-10-05T03:17:42.321Z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