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80"/>
        <w:jc w:val="center"/>
      </w:pPr>
      <w:r>
        <w:t>Dog-wise canine gut metagenome assemblies with reconstructed bacterial genomes and viral candidates</w:t>
      </w:r>
    </w:p>
    <w:p>
      <w:pPr>
        <w:spacing w:after="120" w:line="259" w:lineRule="auto"/>
        <w:jc w:val="both"/>
      </w:pPr>
      <w:r>
        <w:rPr>
          <w:rFonts w:ascii="Times New Roman" w:hAnsi="Times New Roman"/>
          <w:sz w:val="21"/>
        </w:rPr>
        <w:t>Balázs Kakuk</w:t>
      </w:r>
      <w:r>
        <w:rPr>
          <w:rFonts w:ascii="Times New Roman" w:hAnsi="Times New Roman"/>
          <w:i/>
          <w:sz w:val="21"/>
        </w:rPr>
        <w:t>1,2,#</w:t>
      </w:r>
      <w:r>
        <w:rPr>
          <w:rFonts w:ascii="Times New Roman" w:hAnsi="Times New Roman"/>
          <w:sz w:val="21"/>
        </w:rPr>
        <w:t>, Natheer Jameel Yaseen</w:t>
      </w:r>
      <w:r>
        <w:rPr>
          <w:rFonts w:ascii="Times New Roman" w:hAnsi="Times New Roman"/>
          <w:i/>
          <w:sz w:val="21"/>
        </w:rPr>
        <w:t>1,2,#</w:t>
      </w:r>
      <w:r>
        <w:rPr>
          <w:rFonts w:ascii="Times New Roman" w:hAnsi="Times New Roman"/>
          <w:sz w:val="21"/>
        </w:rPr>
        <w:t>, Ákos Dörmő</w:t>
      </w:r>
      <w:r>
        <w:rPr>
          <w:rFonts w:ascii="Times New Roman" w:hAnsi="Times New Roman"/>
          <w:i/>
          <w:sz w:val="21"/>
        </w:rPr>
        <w:t>1,2</w:t>
      </w:r>
      <w:r>
        <w:rPr>
          <w:rFonts w:ascii="Times New Roman" w:hAnsi="Times New Roman"/>
          <w:sz w:val="21"/>
        </w:rPr>
        <w:t>, Tamás Járay</w:t>
      </w:r>
      <w:r>
        <w:rPr>
          <w:rFonts w:ascii="Times New Roman" w:hAnsi="Times New Roman"/>
          <w:i/>
          <w:sz w:val="21"/>
        </w:rPr>
        <w:t>1,2</w:t>
      </w:r>
      <w:r>
        <w:rPr>
          <w:rFonts w:ascii="Times New Roman" w:hAnsi="Times New Roman"/>
          <w:sz w:val="21"/>
        </w:rPr>
        <w:t>, Zsolt Boldogkői</w:t>
      </w:r>
      <w:r>
        <w:rPr>
          <w:rFonts w:ascii="Times New Roman" w:hAnsi="Times New Roman"/>
          <w:i/>
          <w:sz w:val="21"/>
        </w:rPr>
        <w:t>1,2</w:t>
      </w:r>
      <w:r>
        <w:rPr>
          <w:rFonts w:ascii="Times New Roman" w:hAnsi="Times New Roman"/>
          <w:sz w:val="21"/>
        </w:rPr>
        <w:t>, and Dóra Tombácz</w:t>
      </w:r>
      <w:r>
        <w:rPr>
          <w:rFonts w:ascii="Times New Roman" w:hAnsi="Times New Roman"/>
          <w:i/>
          <w:sz w:val="21"/>
        </w:rPr>
        <w:t>1,2</w:t>
      </w:r>
      <w:r>
        <w:rPr>
          <w:rFonts w:ascii="Times New Roman" w:hAnsi="Times New Roman"/>
          <w:sz w:val="21"/>
        </w:rPr>
        <w:t>*</w:t>
      </w:r>
    </w:p>
    <w:p>
      <w:pPr>
        <w:spacing w:after="120" w:line="259" w:lineRule="auto"/>
        <w:jc w:val="both"/>
      </w:pPr>
      <w:r>
        <w:rPr>
          <w:rFonts w:ascii="Times New Roman" w:hAnsi="Times New Roman"/>
          <w:i/>
          <w:sz w:val="21"/>
        </w:rPr>
        <w:t>1</w:t>
      </w:r>
      <w:r>
        <w:rPr>
          <w:rFonts w:ascii="Times New Roman" w:hAnsi="Times New Roman"/>
          <w:sz w:val="21"/>
        </w:rPr>
        <w:t>MTA-SZTE Lendület GeMiNI Research Group, University of Szeged, Somogyi st. 4., 6720 Szeged, Hungary.</w:t>
      </w:r>
    </w:p>
    <w:p>
      <w:pPr>
        <w:spacing w:after="120" w:line="259" w:lineRule="auto"/>
        <w:jc w:val="both"/>
      </w:pPr>
      <w:r>
        <w:rPr>
          <w:rFonts w:ascii="Times New Roman" w:hAnsi="Times New Roman"/>
          <w:i/>
          <w:sz w:val="21"/>
        </w:rPr>
        <w:t>2</w:t>
      </w:r>
      <w:r>
        <w:rPr>
          <w:rFonts w:ascii="Times New Roman" w:hAnsi="Times New Roman"/>
          <w:sz w:val="21"/>
        </w:rPr>
        <w:t>Department of Medical Biology, Albert Szent-Gyorgyi Medical School, University of Szeged, Somogyi st. 4., 6720 Szeged, Hungary.</w:t>
      </w:r>
    </w:p>
    <w:p>
      <w:pPr>
        <w:spacing w:after="120" w:line="259" w:lineRule="auto"/>
        <w:jc w:val="both"/>
      </w:pPr>
      <w:r>
        <w:rPr>
          <w:rFonts w:ascii="Times New Roman" w:hAnsi="Times New Roman"/>
          <w:i/>
          <w:sz w:val="21"/>
        </w:rPr>
        <w:t>Corresponding author: Dóra Tombácz (tombacz.dora@med.u-szeged.hu).</w:t>
      </w:r>
    </w:p>
    <w:p>
      <w:pPr>
        <w:spacing w:after="120" w:line="259" w:lineRule="auto"/>
        <w:jc w:val="both"/>
      </w:pPr>
      <w:r>
        <w:rPr>
          <w:rFonts w:ascii="Times New Roman" w:hAnsi="Times New Roman"/>
          <w:sz w:val="21"/>
        </w:rPr>
        <w:t>\# These authors contributed equally.</w:t>
      </w:r>
    </w:p>
    <w:p>
      <w:pPr>
        <w:pStyle w:val="Heading2"/>
      </w:pPr>
      <w:r>
        <w:t>Abstract</w:t>
      </w:r>
    </w:p>
    <w:p>
      <w:pPr>
        <w:spacing w:after="120" w:line="259" w:lineRule="auto"/>
        <w:jc w:val="both"/>
      </w:pPr>
      <w:r>
        <w:rPr>
          <w:rFonts w:ascii="Times New Roman" w:hAnsi="Times New Roman"/>
          <w:sz w:val="21"/>
        </w:rPr>
        <w:t>Long-read metagenomic sequencing can improve genome recovery from complex gut microbial communities, yet directly reusable canine gut genome resources remain limited. Here we describe DogMAG, a canine gut metagenome resource based on dog-wise long-read and hybrid assemblies generated by grouping sequencing libraries according to canonical dog identity before assembly. The final dataset comprises 41 assemblies linked to 277 FASTQ records, including 30 Flye long-read-only and 11 OPERA-MS hybrid assemblies. A single integrated BASALT workflow produced 11,276 selected bin/version records, followed by explicit quality-based re-selection of 3,418 medium-quality-or-better metagenome-assembled genome candidates. External dRep dereplication yielded 792 strain-like representatives at 99% average nucleotide identity and 135 species/SGB-like representatives at 95%. GTDB-Tk classified all 792 representatives as Bacteria. Viral screening identified 22,068 geNomad predictions, of which 3,374 Complete, High-quality or Medium-quality viral/proviral candidate rows passed CheckV filtering with contamination ≤10%. DogMAG provides assemblies, genome and viral candidate sequences, metadata, provenance tables and workflow scripts for reuse, benchmarking and reanalysis.</w:t>
      </w:r>
    </w:p>
    <w:p>
      <w:pPr>
        <w:pStyle w:val="Heading2"/>
      </w:pPr>
      <w:r>
        <w:t>Background and Summary</w:t>
      </w:r>
    </w:p>
    <w:p>
      <w:pPr>
        <w:spacing w:after="120" w:line="259" w:lineRule="auto"/>
        <w:jc w:val="both"/>
      </w:pPr>
      <w:r>
        <w:rPr>
          <w:rFonts w:ascii="Times New Roman" w:hAnsi="Times New Roman"/>
          <w:sz w:val="21"/>
        </w:rPr>
        <w:t>The domestic dog (</w:t>
      </w:r>
      <w:r>
        <w:rPr>
          <w:rFonts w:ascii="Times New Roman" w:hAnsi="Times New Roman"/>
          <w:i/>
          <w:sz w:val="21"/>
        </w:rPr>
        <w:t>Canis lupus familiaris</w:t>
      </w:r>
      <w:r>
        <w:rPr>
          <w:rFonts w:ascii="Times New Roman" w:hAnsi="Times New Roman"/>
          <w:sz w:val="21"/>
        </w:rPr>
        <w:t>) is an important comparative model for microbiome research with relevance to veterinary medicine, translational host-microbiome studies and companion-animal health. Dogs share close environments, diets and microbial exposures with humans, while also developing naturally occurring diseases that can be studied in a clinically relevant non-laboratory setting [1-3]. Whole-genome metagenomic studies have shown that the canine gut microbiome shares functional similarities with the human gut microbiome, including diet-associated functional responses, but canine gut microbial genome resources remain less extensive than those available for humans [3].</w:t>
      </w:r>
    </w:p>
    <w:p>
      <w:pPr>
        <w:spacing w:after="120" w:line="259" w:lineRule="auto"/>
        <w:jc w:val="both"/>
      </w:pPr>
      <w:r>
        <w:rPr>
          <w:rFonts w:ascii="Times New Roman" w:hAnsi="Times New Roman"/>
          <w:sz w:val="21"/>
        </w:rPr>
        <w:t>Amplicon surveys, short-read shotgun metagenomes and genome-resolved canine or companion-animal resources have expanded knowledge of the dog gut microbiome [4-8]. DogMAG is designed to complement these resources rather than to stage a like-for-like catalogue-size comparison, because sample scope, deposited data layers, dereplication thresholds, placement workflows and reporting units differ among studies. Its main contribution is direct reusability: the resource exposes dog-wise input assemblies, privacy-preserving read-to-assembly provenance, summary-level BASALT provenance, metadata and FASTA files for the explicitly reselected quality-passing candidates, externally dereplicated genome FASTA layers, GTDB-Tk taxonomy, viral/prophage candidate context and workflow code. This structure allows users to remap reads, review selection criteria, rerun dereplication at alternative thresholds, update taxonomy and reannotate viral candidates as reference databases improve. DogMAG therefore uses canonical dog identity as the primary assembly unit. Sequencing project, date, diet, extraction batch, kennel, library preparation and run origin remain part of the metadata, but they are not the main axis of the assembly and binning workflow. This structure matches the biological unit used for genome recovery: reads from the same dog are assembled together where appropriate, and the resulting dog-wise assemblies are integrated in one BASALT run.</w:t>
      </w:r>
    </w:p>
    <w:p>
      <w:pPr>
        <w:spacing w:after="120" w:line="259" w:lineRule="auto"/>
        <w:jc w:val="both"/>
      </w:pPr>
      <w:r>
        <w:rPr>
          <w:rFonts w:ascii="Times New Roman" w:hAnsi="Times New Roman"/>
          <w:sz w:val="21"/>
        </w:rPr>
        <w:t>The dog-first assembly layer contains 41 final BASALT input assemblies: 30 Flye long-read-only dog-wise assemblies for dogs with long-read data and no retained short-read support for final hybrid assembly, and 11 OPERA-MS hybrid assemblies for dogs with both long-read and short-read data retained for the final BASALT run. These assemblies are linked to 277 FASTQ records, including 87 long-read FASTQ rows and 190 short-read FASTQ rows, in the public privacy-preserving read-to-assembly manifest provided as Supplementary Table 4. The dog-first assembly design and final assembly-class composition are summarised in Figs. 1 and 2.</w:t>
      </w:r>
    </w:p>
    <w:p>
      <w:pPr>
        <w:spacing w:after="120" w:line="259" w:lineRule="auto"/>
        <w:jc w:val="both"/>
      </w:pPr>
      <w:r>
        <w:rPr>
          <w:rFonts w:ascii="Times New Roman" w:hAnsi="Times New Roman"/>
          <w:sz w:val="21"/>
        </w:rPr>
        <w:t>The dog-first BASALT workflow used manifest-driven assembly staging, read-to-assembly provenance tracking and CheckM2-backed quality estimation. BASALT was retained as the bin-comparison and BestBinset selection engine, while the dog-wise assembly design ensured that all retained final assemblies were processed in a single integrated run. The completed BASALT and candidate re-selection workflow produced 11,276 selected bin/version records from 30,556 polished or reassembled candidate versions. Applying explicit DogMAG quality thresholds and candidate re-selection retained 3,418 medium-quality-or-better MAG candidates for external ANI dereplication, including 503 high-completeness/low-contamination candidates and 2,915 medium-only candidates. External dRep dereplication of the reselected MAG candidate pool produced 792 99% ANI strain-like representatives and 135 95% ANI species/SGB-like representatives; the latter are not official SGB assignments. The BASALT-to-catalogue workflow and candidate attrition are summarised in Figs. 3 and 4.</w:t>
      </w:r>
    </w:p>
    <w:p>
      <w:pPr>
        <w:spacing w:after="120" w:line="259" w:lineRule="auto"/>
        <w:jc w:val="both"/>
      </w:pPr>
      <w:r>
        <w:rPr>
          <w:rFonts w:ascii="Times New Roman" w:hAnsi="Times New Roman"/>
          <w:sz w:val="21"/>
        </w:rPr>
        <w:t>GTDB-Tk classified all 792 strain-like representatives as Bacteria. Species labels were assigned for 768 representatives and genus labels for 791. The catalogue spans 132 unique species labels, 76 genera, 32 families, 20 orders, 11 classes and 7 phyla. Dominant phyla were Bacillota (449), Bacteroidota (120), Actinomycetota (74), Bacillota_I (50), Fusobacteriota (43), Pseudomonadota (42); rank-wise taxonomic composition is shown in Fig. 5. Viral screening identified 18,150 unbinned viral predictions and 3,918 binned/prophage-context viral predictions with geNomad, of which 2,306 unbinned and 1,068 binned/prophage candidates passed the final CheckV Complete/High/Medium and contamination &lt;=10% filter.</w:t>
      </w:r>
    </w:p>
    <w:p>
      <w:pPr>
        <w:spacing w:after="120" w:line="259" w:lineRule="auto"/>
        <w:jc w:val="both"/>
      </w:pPr>
      <w:r>
        <w:rPr>
          <w:rFonts w:ascii="Times New Roman" w:hAnsi="Times New Roman"/>
          <w:sz w:val="21"/>
        </w:rPr>
        <w:t>The primary reusable outputs of the DogMAG data record are:</w:t>
      </w:r>
    </w:p>
    <w:p>
      <w:pPr>
        <w:spacing w:after="120" w:line="259" w:lineRule="auto"/>
        <w:jc w:val="both"/>
      </w:pPr>
      <w:r>
        <w:rPr>
          <w:rFonts w:ascii="Times New Roman" w:hAnsi="Times New Roman"/>
          <w:sz w:val="21"/>
        </w:rPr>
        <w:t>A privacy-preserving read-to-assembly provenance table linking public assembly identifiers to input read records.</w:t>
      </w:r>
    </w:p>
    <w:p>
      <w:pPr>
        <w:spacing w:after="120" w:line="259" w:lineRule="auto"/>
        <w:jc w:val="both"/>
      </w:pPr>
      <w:r>
        <w:rPr>
          <w:rFonts w:ascii="Times New Roman" w:hAnsi="Times New Roman"/>
          <w:sz w:val="21"/>
        </w:rPr>
        <w:t>Filtered final dog-wise assembly FASTA files used as BASALT inputs.</w:t>
      </w:r>
    </w:p>
    <w:p>
      <w:pPr>
        <w:spacing w:after="120" w:line="259" w:lineRule="auto"/>
        <w:jc w:val="both"/>
      </w:pPr>
      <w:r>
        <w:rPr>
          <w:rFonts w:ascii="Times New Roman" w:hAnsi="Times New Roman"/>
          <w:sz w:val="21"/>
        </w:rPr>
        <w:t>Assembly metrics for the dog-wise Flye and OPERA-MS assemblies.</w:t>
      </w:r>
    </w:p>
    <w:p>
      <w:pPr>
        <w:spacing w:after="120" w:line="259" w:lineRule="auto"/>
        <w:jc w:val="both"/>
      </w:pPr>
      <w:r>
        <w:rPr>
          <w:rFonts w:ascii="Times New Roman" w:hAnsi="Times New Roman"/>
          <w:sz w:val="21"/>
        </w:rPr>
        <w:t>Summary-level BASALT workflow provenance and CheckM2-derived quality metadata, together with metadata and FASTA files for the 3,418 reselected medium-quality-or-better MAG candidates.</w:t>
      </w:r>
    </w:p>
    <w:p>
      <w:pPr>
        <w:spacing w:after="120" w:line="259" w:lineRule="auto"/>
        <w:jc w:val="both"/>
      </w:pPr>
      <w:r>
        <w:rPr>
          <w:rFonts w:ascii="Times New Roman" w:hAnsi="Times New Roman"/>
          <w:sz w:val="21"/>
        </w:rPr>
        <w:t>Reselected medium-quality-or-better MAG candidate FASTA files and metadata after operational completeness/contamination filtering.</w:t>
      </w:r>
    </w:p>
    <w:p>
      <w:pPr>
        <w:spacing w:after="120" w:line="259" w:lineRule="auto"/>
        <w:jc w:val="both"/>
      </w:pPr>
      <w:r>
        <w:rPr>
          <w:rFonts w:ascii="Times New Roman" w:hAnsi="Times New Roman"/>
          <w:sz w:val="21"/>
        </w:rPr>
        <w:t>Final MAG representatives after explicit external ANI dereplication at 99% ANI and 95% ANI, with completeness, contamination, contiguity, taxonomy and provenance metadata.</w:t>
      </w:r>
    </w:p>
    <w:p>
      <w:pPr>
        <w:spacing w:after="120" w:line="259" w:lineRule="auto"/>
        <w:jc w:val="both"/>
      </w:pPr>
      <w:r>
        <w:rPr>
          <w:rFonts w:ascii="Times New Roman" w:hAnsi="Times New Roman"/>
          <w:sz w:val="21"/>
        </w:rPr>
        <w:t>Genome taxonomy based on GTDB-Tk for the 99% ANI representative set.</w:t>
      </w:r>
    </w:p>
    <w:p>
      <w:pPr>
        <w:spacing w:after="120" w:line="259" w:lineRule="auto"/>
        <w:jc w:val="both"/>
      </w:pPr>
      <w:r>
        <w:rPr>
          <w:rFonts w:ascii="Times New Roman" w:hAnsi="Times New Roman"/>
          <w:sz w:val="21"/>
        </w:rPr>
        <w:t>Viral and prophage candidate FASTA files and context tables regenerated from the dog-first assemblies and final BASALT bin context.</w:t>
      </w:r>
    </w:p>
    <w:p>
      <w:pPr>
        <w:spacing w:after="120" w:line="259" w:lineRule="auto"/>
        <w:jc w:val="both"/>
      </w:pPr>
      <w:r>
        <w:rPr>
          <w:rFonts w:ascii="Times New Roman" w:hAnsi="Times New Roman"/>
          <w:sz w:val="21"/>
        </w:rPr>
        <w:t>Workflow scripts and provenance notes documenting assembly generation, BASALT input construction, quality filtering, external dereplication and candidate-resource finalisation.</w:t>
      </w:r>
    </w:p>
    <w:p>
      <w:pPr>
        <w:spacing w:after="120" w:line="259" w:lineRule="auto"/>
        <w:jc w:val="both"/>
      </w:pPr>
      <w:r>
        <w:rPr>
          <w:rFonts w:ascii="Times New Roman" w:hAnsi="Times New Roman"/>
          <w:sz w:val="21"/>
        </w:rPr>
        <w:t>DogMAG is designed as a reusable Data Descriptor rather than as a hypothesis-testing study of canine gut microbiome biology. Age-, diet-, extraction- and method-associated biological analyses using overlapping sample sets are reported in previous or companion studies and are not treated as conclusions of this manuscript. The present manuscript describes the assembly products, genome-resolved candidate resource, viral/prophage candidate layer and the workflow provenance needed for independent reuse.</w:t>
      </w:r>
    </w:p>
    <w:p>
      <w:pPr>
        <w:spacing w:after="120" w:line="259" w:lineRule="auto"/>
        <w:jc w:val="both"/>
      </w:pPr>
      <w:r>
        <w:rPr>
          <w:rFonts w:ascii="Times New Roman" w:hAnsi="Times New Roman"/>
          <w:sz w:val="21"/>
        </w:rPr>
        <w:t>As an additional technical validation of reference-panel coverage, 23 independent Waltham canine gut ONT metagenomes and 23 mixed-kennel source-cohort libraries were mapped against bacterial RefSeq and the 135-member DogMAG 95% ANI panel with matched read-accounting settings. Across the 46 paired libraries, the median primary-read recruitment fraction was 61.07% with RefSeq and 79.07% with DogMAG; the corresponding median final assigned-read fractions were 60.21% and 78.88%. In the independent Waltham cohort, median recruitment increased from 51.02% to 75.73% and median final assignment increased from 49.84% to 75.48%.</w:t>
      </w:r>
    </w:p>
    <w:p>
      <w:pPr>
        <w:pStyle w:val="Heading2"/>
      </w:pPr>
      <w:r>
        <w:t>Methods</w:t>
      </w:r>
    </w:p>
    <w:p>
      <w:pPr>
        <w:pStyle w:val="Heading3"/>
      </w:pPr>
      <w:r>
        <w:t>Study design and sample provenance</w:t>
      </w:r>
    </w:p>
    <w:p>
      <w:pPr>
        <w:spacing w:after="120" w:line="259" w:lineRule="auto"/>
        <w:jc w:val="both"/>
      </w:pPr>
      <w:r>
        <w:rPr>
          <w:rFonts w:ascii="Times New Roman" w:hAnsi="Times New Roman"/>
          <w:sz w:val="21"/>
        </w:rPr>
        <w:t>DogMAG integrates canine faecal metagenomic sequencing data from related source studies and sequencing campaigns. In the current dog-first design, the primary workflow unit is the canonical dog identity rather than the historical project subset. Source project labels remain in metadata fields because they document sampling provenance, sequencing platform, wet-lab protocol, publication status and ENA accession origin, but they are not used to split the final BASALT workflow into separate project-specific runs.</w:t>
      </w:r>
    </w:p>
    <w:p>
      <w:pPr>
        <w:spacing w:after="120" w:line="259" w:lineRule="auto"/>
        <w:jc w:val="both"/>
      </w:pPr>
      <w:r>
        <w:rPr>
          <w:rFonts w:ascii="Times New Roman" w:hAnsi="Times New Roman"/>
          <w:sz w:val="21"/>
        </w:rPr>
        <w:t>Sample-linked input reads used for DogMAG assembly and MAG generation are identified by ENA project accessions PRJEB75753 for Dog_M0 input data, PRJEB82125 for DMD input and provenance records, PRJEB85420 for CaniMeta/Serteperti input and provenance records, and PRJEB115259 for DogMAG sample registrations, newly deposited mixed-kennel long-read WGS data and associated DogMAG genome records. Dog_M0 and Serteperti source-data provenance is described in the associated Scientific Data descriptor [24]. Previously generated reads are cited here to document sample provenance and input-read availability; the DogMAG data record reports dog-wise assemblies, BASALT workflow summaries and reselected MAG candidate metadata, viral/prophage candidates and workflow metadata generated from these inputs.</w:t>
      </w:r>
    </w:p>
    <w:p>
      <w:pPr>
        <w:spacing w:after="120" w:line="259" w:lineRule="auto"/>
        <w:jc w:val="both"/>
      </w:pPr>
      <w:r>
        <w:rPr>
          <w:rFonts w:ascii="Times New Roman" w:hAnsi="Times New Roman"/>
          <w:sz w:val="21"/>
        </w:rPr>
        <w:t>The read-to-assembly provenance data are provided in Supplementary Table 4, which records one row per linked FASTQ using stable public assembly, sample and read identifiers.</w:t>
      </w:r>
    </w:p>
    <w:p>
      <w:pPr>
        <w:pStyle w:val="Heading3"/>
      </w:pPr>
      <w:r>
        <w:t>DNA isolation, library preparation and sequencing</w:t>
      </w:r>
    </w:p>
    <w:p>
      <w:pPr>
        <w:spacing w:after="120" w:line="259" w:lineRule="auto"/>
        <w:jc w:val="both"/>
      </w:pPr>
      <w:r>
        <w:rPr>
          <w:rFonts w:ascii="Times New Roman" w:hAnsi="Times New Roman"/>
          <w:sz w:val="21"/>
        </w:rPr>
        <w:t>The source sequencing datasets were generated with multiple wet-lab workflows. DNA isolation, library preparation and sequencing provenance are therefore recorded at the library level rather than described as a single universal protocol. Supplementary Table 3 records source dataset, public sample identifier, sequencing platform, library name, extraction workflow, library preparation workflow, DNA concentration, concentration unit and source metadata provenance for each included sequencing library.</w:t>
      </w:r>
    </w:p>
    <w:p>
      <w:pPr>
        <w:spacing w:after="120" w:line="259" w:lineRule="auto"/>
        <w:jc w:val="both"/>
      </w:pPr>
      <w:r>
        <w:rPr>
          <w:rFonts w:ascii="Times New Roman" w:hAnsi="Times New Roman"/>
          <w:sz w:val="21"/>
        </w:rPr>
        <w:t>For newly submitted mixed-kennel long-read WGS libraries, the ENA metadata record PromethION sequencing and ZymoBIOMICS MagBead DNA/RNA extraction from canine faecal samples. These libraries were prepared as Oxford Nanopore native-barcoded ligation libraries and sequenced on PromethION R10 flow cells. Basecalling was performed with Dorado v0.8.3 using the super-accurate model, followed by barcode demultiplexing. This basecalling description applies specifically to the newly submitted mixed-kennel PromethION libraries; DMD, Serteperti and previously published source datasets are documented through their source records and publications.</w:t>
      </w:r>
    </w:p>
    <w:p>
      <w:pPr>
        <w:spacing w:after="120" w:line="259" w:lineRule="auto"/>
        <w:jc w:val="both"/>
      </w:pPr>
      <w:r>
        <w:rPr>
          <w:rFonts w:ascii="Times New Roman" w:hAnsi="Times New Roman"/>
          <w:sz w:val="21"/>
        </w:rPr>
        <w:t>For DMD long-read WGS libraries, the ENA template records ONT MinION sequencing. Extraction method is encoded in the library names, including MN for Macherey-Nagel preparations and Zymo_HMW for Zymo Research Quick-DNA HMW MagBead preparations. These libraries were prepared as native-barcoded ONT ligation libraries and sequenced on MinION.</w:t>
      </w:r>
    </w:p>
    <w:p>
      <w:pPr>
        <w:spacing w:after="120" w:line="259" w:lineRule="auto"/>
        <w:jc w:val="both"/>
      </w:pPr>
      <w:r>
        <w:rPr>
          <w:rFonts w:ascii="Times New Roman" w:hAnsi="Times New Roman"/>
          <w:sz w:val="21"/>
        </w:rPr>
        <w:t>For Serteperti long-read WGS libraries, the ENA template records ONT MinION sequencing. Extraction method is encoded as HMW or ZymoBIOMICS_96_MagBead, corresponding to Quick-DNA HMW MagBead and ZymoBIOMICS 96 MagBead DNA extraction workflows, respectively. These libraries were prepared as ONT long-read WGS libraries and sequenced on MinION.</w:t>
      </w:r>
    </w:p>
    <w:p>
      <w:pPr>
        <w:spacing w:after="120" w:line="259" w:lineRule="auto"/>
        <w:jc w:val="both"/>
      </w:pPr>
      <w:r>
        <w:rPr>
          <w:rFonts w:ascii="Times New Roman" w:hAnsi="Times New Roman"/>
          <w:sz w:val="21"/>
        </w:rPr>
        <w:t>Previously published Dog_M0/Toti and method-comparison sequencing datasets are documented through their source publications. In the Scientific Data canine faecal microbiome dataset [24], Dog_M0/Toti was a single adult dog faecal sample collected shortly after defecation, stored initially at -20 degrees C and transferred to -80 degrees C within 24 h. DNA extraction, Illumina NovaSeq paired-end sequencing and ONT MinION long-read sequencing details are cited from that source rather than restated as new wet-lab work.</w:t>
      </w:r>
    </w:p>
    <w:p>
      <w:pPr>
        <w:pStyle w:val="Heading3"/>
      </w:pPr>
      <w:r>
        <w:t>Dog-first assembly strategy</w:t>
      </w:r>
    </w:p>
    <w:p>
      <w:pPr>
        <w:spacing w:after="120" w:line="259" w:lineRule="auto"/>
        <w:jc w:val="both"/>
      </w:pPr>
      <w:r>
        <w:rPr>
          <w:rFonts w:ascii="Times New Roman" w:hAnsi="Times New Roman"/>
          <w:sz w:val="21"/>
        </w:rPr>
        <w:t>The dog-first assembly strategy grouped sequencing libraries by canonical dog identity before assembly. Date, diet, extraction batch, kennel, sequencing run and project origin were retained as metadata fields, but they were not used to split the first-pass dog-level assemblies. This design was chosen because the central biological unit for downstream genome recovery was the individual dog rather than the individual sequencing library or historical project subset.</w:t>
      </w:r>
    </w:p>
    <w:p>
      <w:pPr>
        <w:spacing w:after="120" w:line="259" w:lineRule="auto"/>
        <w:jc w:val="both"/>
      </w:pPr>
      <w:r>
        <w:rPr>
          <w:rFonts w:ascii="Times New Roman" w:hAnsi="Times New Roman"/>
          <w:sz w:val="21"/>
        </w:rPr>
        <w:t>Dogs with long-read data but no retained paired short-read support for final hybrid assembly were assembled with Flye in metagenome mode [9]. The Flye runner was:</w:t>
      </w:r>
    </w:p>
    <w:p>
      <w:pPr>
        <w:spacing w:after="120" w:line="259" w:lineRule="auto"/>
        <w:jc w:val="both"/>
      </w:pPr>
      <w:r>
        <w:rPr>
          <w:rFonts w:ascii="Times New Roman" w:hAnsi="Times New Roman"/>
          <w:sz w:val="21"/>
        </w:rPr>
        <w:t>scripts/assembly/run_flye_lr_only_dogfirst.sh</w:t>
      </w:r>
    </w:p>
    <w:p>
      <w:pPr>
        <w:spacing w:after="120" w:line="259" w:lineRule="auto"/>
        <w:jc w:val="both"/>
      </w:pPr>
      <w:r>
        <w:rPr>
          <w:rFonts w:ascii="Times New Roman" w:hAnsi="Times New Roman"/>
          <w:sz w:val="21"/>
        </w:rPr>
        <w:t>The Flye workflow used a private dog-identity manifest to group source libraries without exposing dog-name crosswalks. In the public release, the corresponding read-to-assembly relationships are reported with coded identifiers in Supplementary Table 4. The runner accepts the manifest path as an input, for example:</w:t>
      </w:r>
    </w:p>
    <w:p>
      <w:pPr>
        <w:spacing w:after="120" w:line="259" w:lineRule="auto"/>
        <w:jc w:val="both"/>
      </w:pPr>
      <w:r>
        <w:rPr>
          <w:rFonts w:ascii="Times New Roman" w:hAnsi="Times New Roman"/>
          <w:sz w:val="21"/>
        </w:rPr>
        <w:t>/path/to/private_dog_level_long_read_manifest.tsv</w:t>
      </w:r>
    </w:p>
    <w:p>
      <w:pPr>
        <w:spacing w:after="120" w:line="259" w:lineRule="auto"/>
        <w:jc w:val="both"/>
      </w:pPr>
      <w:r>
        <w:rPr>
          <w:rFonts w:ascii="Times New Roman" w:hAnsi="Times New Roman"/>
          <w:sz w:val="21"/>
        </w:rPr>
        <w:t>Representative execution:</w:t>
      </w:r>
    </w:p>
    <w:p>
      <w:pPr>
        <w:spacing w:after="120" w:line="259" w:lineRule="auto"/>
        <w:jc w:val="both"/>
      </w:pPr>
      <w:r>
        <w:rPr>
          <w:rFonts w:ascii="Times New Roman" w:hAnsi="Times New Roman"/>
          <w:sz w:val="21"/>
        </w:rPr>
        <w:t>BASE=/path/to/flye_work/flye_lr_only_dogfirst_20260513 \</w:t>
      </w:r>
    </w:p>
    <w:p>
      <w:pPr>
        <w:spacing w:after="120" w:line="259" w:lineRule="auto"/>
        <w:jc w:val="both"/>
      </w:pPr>
      <w:r>
        <w:rPr>
          <w:rFonts w:ascii="Times New Roman" w:hAnsi="Times New Roman"/>
          <w:sz w:val="21"/>
        </w:rPr>
        <w:t>DOGMAG_ROOT=/path/to/DogMAG \</w:t>
      </w:r>
    </w:p>
    <w:p>
      <w:pPr>
        <w:spacing w:after="120" w:line="259" w:lineRule="auto"/>
        <w:jc w:val="both"/>
      </w:pPr>
      <w:r>
        <w:rPr>
          <w:rFonts w:ascii="Times New Roman" w:hAnsi="Times New Roman"/>
          <w:sz w:val="21"/>
        </w:rPr>
        <w:t>THREADS=52 \</w:t>
      </w:r>
    </w:p>
    <w:p>
      <w:pPr>
        <w:spacing w:after="120" w:line="259" w:lineRule="auto"/>
        <w:jc w:val="both"/>
      </w:pPr>
      <w:r>
        <w:rPr>
          <w:rFonts w:ascii="Times New Roman" w:hAnsi="Times New Roman"/>
          <w:sz w:val="21"/>
        </w:rPr>
        <w:t>bash ${DOGMAG_ROOT}/scripts/assembly/run_flye_lr_only_dogfirst.sh run</w:t>
      </w:r>
    </w:p>
    <w:p>
      <w:pPr>
        <w:spacing w:after="120" w:line="259" w:lineRule="auto"/>
        <w:jc w:val="both"/>
      </w:pPr>
      <w:r>
        <w:rPr>
          <w:rFonts w:ascii="Times New Roman" w:hAnsi="Times New Roman"/>
          <w:sz w:val="21"/>
        </w:rPr>
        <w:t>Flye v2.9.4-b1799 or v2.9.6-b1802, depending on the retained assembly batch, was run in metagenome mode with --meta and --nano-hq. Mixed-kennel and Serteperti six-barcode long reads were merged for dogs known to be the same individual, including Rozi, Degesz and Ilka. Sugo N.4 and Sugo N.10 were merged because corrected metadata indicated that they represented the same dog. Fancsi was present in the long-read-only assembly plan but did not produce a usable Flye assembly and was therefore excluded before construction of the final BASALT input set.</w:t>
      </w:r>
    </w:p>
    <w:p>
      <w:pPr>
        <w:spacing w:after="120" w:line="259" w:lineRule="auto"/>
        <w:jc w:val="both"/>
      </w:pPr>
      <w:r>
        <w:rPr>
          <w:rFonts w:ascii="Times New Roman" w:hAnsi="Times New Roman"/>
          <w:sz w:val="21"/>
        </w:rPr>
        <w:t>Flye assembly collection was handled by:</w:t>
      </w:r>
    </w:p>
    <w:p>
      <w:pPr>
        <w:spacing w:after="120" w:line="259" w:lineRule="auto"/>
        <w:jc w:val="both"/>
      </w:pPr>
      <w:r>
        <w:rPr>
          <w:rFonts w:ascii="Times New Roman" w:hAnsi="Times New Roman"/>
          <w:sz w:val="21"/>
        </w:rPr>
        <w:t>scripts/assembly/collect_flye_lr_only_dogfirst_assemblies.sh</w:t>
      </w:r>
    </w:p>
    <w:p>
      <w:pPr>
        <w:spacing w:after="120" w:line="259" w:lineRule="auto"/>
        <w:jc w:val="both"/>
      </w:pPr>
      <w:r>
        <w:rPr>
          <w:rFonts w:ascii="Times New Roman" w:hAnsi="Times New Roman"/>
          <w:sz w:val="21"/>
        </w:rPr>
        <w:t>The final collected Flye long-read-only assemblies were placed in:</w:t>
      </w:r>
    </w:p>
    <w:p>
      <w:pPr>
        <w:spacing w:after="120" w:line="259" w:lineRule="auto"/>
        <w:jc w:val="both"/>
      </w:pPr>
      <w:r>
        <w:rPr>
          <w:rFonts w:ascii="Times New Roman" w:hAnsi="Times New Roman"/>
          <w:sz w:val="21"/>
        </w:rPr>
        <w:t>final_flye_lr_only_dogfirst_assemblies_20260518</w:t>
      </w:r>
    </w:p>
    <w:p>
      <w:pPr>
        <w:spacing w:after="120" w:line="259" w:lineRule="auto"/>
        <w:jc w:val="both"/>
      </w:pPr>
      <w:r>
        <w:rPr>
          <w:rFonts w:ascii="Times New Roman" w:hAnsi="Times New Roman"/>
          <w:sz w:val="21"/>
        </w:rPr>
        <w:t>Dogs with both short-read and long-read libraries retained for final hybrid assembly were assembled with OPERA-MS [10]. The OPERA-MS runner was:</w:t>
      </w:r>
    </w:p>
    <w:p>
      <w:pPr>
        <w:spacing w:after="120" w:line="259" w:lineRule="auto"/>
        <w:jc w:val="both"/>
      </w:pPr>
      <w:r>
        <w:rPr>
          <w:rFonts w:ascii="Times New Roman" w:hAnsi="Times New Roman"/>
          <w:sz w:val="21"/>
        </w:rPr>
        <w:t>scripts/assembly/run_opera_ms_named_lrs_dogs.sh</w:t>
      </w:r>
    </w:p>
    <w:p>
      <w:pPr>
        <w:spacing w:after="120" w:line="259" w:lineRule="auto"/>
        <w:jc w:val="both"/>
      </w:pPr>
      <w:r>
        <w:rPr>
          <w:rFonts w:ascii="Times New Roman" w:hAnsi="Times New Roman"/>
          <w:sz w:val="21"/>
        </w:rPr>
        <w:t>The script stages per-dog short-read and long-read inputs, writes an OPERA-MS configuration file and runs OPERA-MS. The installed OPERA-MS source corresponded to Git revision 026f9a5f58ba6dca626f677bb50521fa423901ec (74 commits after tag v0.8.2). The working tree differed from that revision only in the bundled mapper utilities: minimap2 v2.24-r1122 and SAMtools/HTSlib v1.23.1 were used. The final OPERA-MS workflow used NOPOLISHING=YES as the configured run setting.</w:t>
      </w:r>
    </w:p>
    <w:p>
      <w:pPr>
        <w:spacing w:after="120" w:line="259" w:lineRule="auto"/>
        <w:jc w:val="both"/>
      </w:pPr>
      <w:r>
        <w:rPr>
          <w:rFonts w:ascii="Times New Roman" w:hAnsi="Times New Roman"/>
          <w:sz w:val="21"/>
        </w:rPr>
        <w:t>Representative command pattern:</w:t>
      </w:r>
    </w:p>
    <w:p>
      <w:pPr>
        <w:spacing w:after="120" w:line="259" w:lineRule="auto"/>
        <w:jc w:val="both"/>
      </w:pPr>
      <w:r>
        <w:rPr>
          <w:rFonts w:ascii="Times New Roman" w:hAnsi="Times New Roman"/>
          <w:sz w:val="21"/>
        </w:rPr>
        <w:t>BASE=/path/to/opera_ms_work/opera_ms_boszi_t12 \</w:t>
      </w:r>
    </w:p>
    <w:p>
      <w:pPr>
        <w:spacing w:after="120" w:line="259" w:lineRule="auto"/>
        <w:jc w:val="both"/>
      </w:pPr>
      <w:r>
        <w:rPr>
          <w:rFonts w:ascii="Times New Roman" w:hAnsi="Times New Roman"/>
          <w:sz w:val="21"/>
        </w:rPr>
        <w:t>DOGMAG_ROOT=/path/to/DogMAG \</w:t>
      </w:r>
    </w:p>
    <w:p>
      <w:pPr>
        <w:spacing w:after="120" w:line="259" w:lineRule="auto"/>
        <w:jc w:val="both"/>
      </w:pPr>
      <w:r>
        <w:rPr>
          <w:rFonts w:ascii="Times New Roman" w:hAnsi="Times New Roman"/>
          <w:sz w:val="21"/>
        </w:rPr>
        <w:t>SRS_MANIFEST=/path/to/private_dog_level_short_read_manifest.tsv \</w:t>
      </w:r>
    </w:p>
    <w:p>
      <w:pPr>
        <w:spacing w:after="120" w:line="259" w:lineRule="auto"/>
        <w:jc w:val="both"/>
      </w:pPr>
      <w:r>
        <w:rPr>
          <w:rFonts w:ascii="Times New Roman" w:hAnsi="Times New Roman"/>
          <w:sz w:val="21"/>
        </w:rPr>
        <w:t>LONG_DIR=/path/to/long_read_inputs \</w:t>
      </w:r>
    </w:p>
    <w:p>
      <w:pPr>
        <w:spacing w:after="120" w:line="259" w:lineRule="auto"/>
        <w:jc w:val="both"/>
      </w:pPr>
      <w:r>
        <w:rPr>
          <w:rFonts w:ascii="Times New Roman" w:hAnsi="Times New Roman"/>
          <w:sz w:val="21"/>
        </w:rPr>
        <w:t>OPERA_MS=/path/to/OPERA-MS/OPERA-MS.pl \</w:t>
      </w:r>
    </w:p>
    <w:p>
      <w:pPr>
        <w:spacing w:after="120" w:line="259" w:lineRule="auto"/>
        <w:jc w:val="both"/>
      </w:pPr>
      <w:r>
        <w:rPr>
          <w:rFonts w:ascii="Times New Roman" w:hAnsi="Times New Roman"/>
          <w:sz w:val="21"/>
        </w:rPr>
        <w:t>OPERA_MINIMAP2=/path/to/mm2-fast/minimap2 \</w:t>
      </w:r>
    </w:p>
    <w:p>
      <w:pPr>
        <w:spacing w:after="120" w:line="259" w:lineRule="auto"/>
        <w:jc w:val="both"/>
      </w:pPr>
      <w:r>
        <w:rPr>
          <w:rFonts w:ascii="Times New Roman" w:hAnsi="Times New Roman"/>
          <w:sz w:val="21"/>
        </w:rPr>
        <w:t>OPERA_SAMTOOLS="$(command -v samtools)" \</w:t>
      </w:r>
    </w:p>
    <w:p>
      <w:pPr>
        <w:spacing w:after="120" w:line="259" w:lineRule="auto"/>
        <w:jc w:val="both"/>
      </w:pPr>
      <w:r>
        <w:rPr>
          <w:rFonts w:ascii="Times New Roman" w:hAnsi="Times New Roman"/>
          <w:sz w:val="21"/>
        </w:rPr>
        <w:t>NOPOLISHING=YES \</w:t>
      </w:r>
    </w:p>
    <w:p>
      <w:pPr>
        <w:spacing w:after="120" w:line="259" w:lineRule="auto"/>
        <w:jc w:val="both"/>
      </w:pPr>
      <w:r>
        <w:rPr>
          <w:rFonts w:ascii="Times New Roman" w:hAnsi="Times New Roman"/>
          <w:sz w:val="21"/>
        </w:rPr>
        <w:t>THREADS=12 \</w:t>
      </w:r>
    </w:p>
    <w:p>
      <w:pPr>
        <w:spacing w:after="120" w:line="259" w:lineRule="auto"/>
        <w:jc w:val="both"/>
      </w:pPr>
      <w:r>
        <w:rPr>
          <w:rFonts w:ascii="Times New Roman" w:hAnsi="Times New Roman"/>
          <w:sz w:val="21"/>
        </w:rPr>
        <w:t>bash ${DOGMAG_ROOT}/scripts/assembly/run_opera_ms_named_lrs_dogs.sh DOG_ID</w:t>
      </w:r>
    </w:p>
    <w:p>
      <w:pPr>
        <w:spacing w:after="120" w:line="259" w:lineRule="auto"/>
        <w:jc w:val="both"/>
      </w:pPr>
      <w:r>
        <w:rPr>
          <w:rFonts w:ascii="Times New Roman" w:hAnsi="Times New Roman"/>
          <w:sz w:val="21"/>
        </w:rPr>
        <w:t>The final BASALT input set retained 11 OPERA-MS hybrid assemblies: Boszi, Brios, Cefre, Csuzli, Kek, Loki, Pink, Piros, Sugo, Toti and Zold. These assemblies were collected with:</w:t>
      </w:r>
    </w:p>
    <w:p>
      <w:pPr>
        <w:spacing w:after="120" w:line="259" w:lineRule="auto"/>
        <w:jc w:val="both"/>
      </w:pPr>
      <w:r>
        <w:rPr>
          <w:rFonts w:ascii="Times New Roman" w:hAnsi="Times New Roman"/>
          <w:sz w:val="21"/>
        </w:rPr>
        <w:t>scripts/assembly/collect_hybrid_dogfirst_assemblies.sh</w:t>
      </w:r>
    </w:p>
    <w:p>
      <w:pPr>
        <w:spacing w:after="120" w:line="259" w:lineRule="auto"/>
        <w:jc w:val="both"/>
      </w:pPr>
      <w:r>
        <w:rPr>
          <w:rFonts w:ascii="Times New Roman" w:hAnsi="Times New Roman"/>
          <w:sz w:val="21"/>
        </w:rPr>
        <w:t>The collected OPERA-MS hybrid assemblies were placed in:</w:t>
      </w:r>
    </w:p>
    <w:p>
      <w:pPr>
        <w:spacing w:after="120" w:line="259" w:lineRule="auto"/>
        <w:jc w:val="both"/>
      </w:pPr>
      <w:r>
        <w:rPr>
          <w:rFonts w:ascii="Times New Roman" w:hAnsi="Times New Roman"/>
          <w:sz w:val="21"/>
        </w:rPr>
        <w:t>final_hybrid_dogfirst_assemblies_20260515</w:t>
      </w:r>
    </w:p>
    <w:p>
      <w:pPr>
        <w:spacing w:after="120" w:line="259" w:lineRule="auto"/>
        <w:jc w:val="both"/>
      </w:pPr>
      <w:r>
        <w:rPr>
          <w:rFonts w:ascii="Times New Roman" w:hAnsi="Times New Roman"/>
          <w:sz w:val="21"/>
        </w:rPr>
        <w:t>Alternative hybrid assemblies generated with metaSPAdes or XelNaga were produced during method exploration but were not included in the final BASALT input set. The final assembly layer used one retained assembly class per dog: Flye long-read-only assemblies for dogs without retained short-read hybrid support and OPERA-MS hybrid assemblies for dogs with retained long-read and short-read support.</w:t>
      </w:r>
    </w:p>
    <w:p>
      <w:pPr>
        <w:pStyle w:val="Heading3"/>
      </w:pPr>
      <w:r>
        <w:t>Assembly preparation for BASALT</w:t>
      </w:r>
    </w:p>
    <w:p>
      <w:pPr>
        <w:spacing w:after="120" w:line="259" w:lineRule="auto"/>
        <w:jc w:val="both"/>
      </w:pPr>
      <w:r>
        <w:rPr>
          <w:rFonts w:ascii="Times New Roman" w:hAnsi="Times New Roman"/>
          <w:sz w:val="21"/>
        </w:rPr>
        <w:t>Assembly preparation for the final BASALT run was performed with:</w:t>
      </w:r>
    </w:p>
    <w:p>
      <w:pPr>
        <w:spacing w:after="120" w:line="259" w:lineRule="auto"/>
        <w:jc w:val="both"/>
      </w:pPr>
      <w:r>
        <w:rPr>
          <w:rFonts w:ascii="Times New Roman" w:hAnsi="Times New Roman"/>
          <w:sz w:val="21"/>
        </w:rPr>
        <w:t>scripts/assembly/prepare_dogfirst_final_assemblies_for_basalt.sh</w:t>
      </w:r>
    </w:p>
    <w:p>
      <w:pPr>
        <w:spacing w:after="120" w:line="259" w:lineRule="auto"/>
        <w:jc w:val="both"/>
      </w:pPr>
      <w:r>
        <w:rPr>
          <w:rFonts w:ascii="Times New Roman" w:hAnsi="Times New Roman"/>
          <w:sz w:val="21"/>
        </w:rPr>
        <w:t>The preparation script collected manifest-approved Flye assemblies, linked Flye and OPERA-MS hybrid assemblies into a merged assembly folder and filtered contigs using a minimum length threshold of 1,500 bp.</w:t>
      </w:r>
    </w:p>
    <w:p>
      <w:pPr>
        <w:spacing w:after="120" w:line="259" w:lineRule="auto"/>
        <w:jc w:val="both"/>
      </w:pPr>
      <w:r>
        <w:rPr>
          <w:rFonts w:ascii="Times New Roman" w:hAnsi="Times New Roman"/>
          <w:sz w:val="21"/>
        </w:rPr>
        <w:t>Representative command:</w:t>
      </w:r>
    </w:p>
    <w:p>
      <w:pPr>
        <w:spacing w:after="120" w:line="259" w:lineRule="auto"/>
        <w:jc w:val="both"/>
      </w:pPr>
      <w:r>
        <w:rPr>
          <w:rFonts w:ascii="Times New Roman" w:hAnsi="Times New Roman"/>
          <w:sz w:val="21"/>
        </w:rPr>
        <w:t>EXCLUDE_DOG_IDS=DOG_FANCSI \</w:t>
      </w:r>
    </w:p>
    <w:p>
      <w:pPr>
        <w:spacing w:after="120" w:line="259" w:lineRule="auto"/>
        <w:jc w:val="both"/>
      </w:pPr>
      <w:r>
        <w:rPr>
          <w:rFonts w:ascii="Times New Roman" w:hAnsi="Times New Roman"/>
          <w:sz w:val="21"/>
        </w:rPr>
        <w:t>FORCE=1 \</w:t>
      </w:r>
    </w:p>
    <w:p>
      <w:pPr>
        <w:spacing w:after="120" w:line="259" w:lineRule="auto"/>
        <w:jc w:val="both"/>
      </w:pPr>
      <w:r>
        <w:rPr>
          <w:rFonts w:ascii="Times New Roman" w:hAnsi="Times New Roman"/>
          <w:sz w:val="21"/>
        </w:rPr>
        <w:t>bash /path/to/DogMAG/scripts/assembly/prepare_dogfirst_final_assemblies_for_basalt.sh prepare</w:t>
      </w:r>
    </w:p>
    <w:p>
      <w:pPr>
        <w:spacing w:after="120" w:line="259" w:lineRule="auto"/>
        <w:jc w:val="both"/>
      </w:pPr>
      <w:r>
        <w:rPr>
          <w:rFonts w:ascii="Times New Roman" w:hAnsi="Times New Roman"/>
          <w:sz w:val="21"/>
        </w:rPr>
        <w:t>The filtered assembly folder used for BASALT was:</w:t>
      </w:r>
    </w:p>
    <w:p>
      <w:pPr>
        <w:spacing w:after="120" w:line="259" w:lineRule="auto"/>
        <w:jc w:val="both"/>
      </w:pPr>
      <w:r>
        <w:rPr>
          <w:rFonts w:ascii="Times New Roman" w:hAnsi="Times New Roman"/>
          <w:sz w:val="21"/>
        </w:rPr>
        <w:t>final_dogfirst_assemblies_for_basalt_20260518_min1500</w:t>
      </w:r>
    </w:p>
    <w:p>
      <w:pPr>
        <w:spacing w:after="120" w:line="259" w:lineRule="auto"/>
        <w:jc w:val="both"/>
      </w:pPr>
      <w:r>
        <w:rPr>
          <w:rFonts w:ascii="Times New Roman" w:hAnsi="Times New Roman"/>
          <w:sz w:val="21"/>
        </w:rPr>
        <w:t>The unfiltered merged folder before contig-length filtering was:</w:t>
      </w:r>
    </w:p>
    <w:p>
      <w:pPr>
        <w:spacing w:after="120" w:line="259" w:lineRule="auto"/>
        <w:jc w:val="both"/>
      </w:pPr>
      <w:r>
        <w:rPr>
          <w:rFonts w:ascii="Times New Roman" w:hAnsi="Times New Roman"/>
          <w:sz w:val="21"/>
        </w:rPr>
        <w:t>final_dogfirst_assemblies_for_basalt_20260518</w:t>
      </w:r>
    </w:p>
    <w:p>
      <w:pPr>
        <w:spacing w:after="120" w:line="259" w:lineRule="auto"/>
        <w:jc w:val="both"/>
      </w:pPr>
      <w:r>
        <w:rPr>
          <w:rFonts w:ascii="Times New Roman" w:hAnsi="Times New Roman"/>
          <w:sz w:val="21"/>
        </w:rPr>
        <w:t>The final BASALT input set contained 41 assemblies: 30 Flye long-read-only assemblies and 11 OPERA-MS hybrid assemblies. Assembly-level sequence metrics for these 41 retained inputs, including total assembly length, contig count, N50, N90, longest contig, GC percentage and the number of linked FASTQ records, are provided in Supplementary Table 8.</w:t>
      </w:r>
    </w:p>
    <w:p>
      <w:pPr>
        <w:pStyle w:val="Heading3"/>
      </w:pPr>
      <w:r>
        <w:t>BASALT input construction</w:t>
      </w:r>
    </w:p>
    <w:p>
      <w:pPr>
        <w:spacing w:after="120" w:line="259" w:lineRule="auto"/>
        <w:jc w:val="both"/>
      </w:pPr>
      <w:r>
        <w:rPr>
          <w:rFonts w:ascii="Times New Roman" w:hAnsi="Times New Roman"/>
          <w:sz w:val="21"/>
        </w:rPr>
        <w:t>The dog-first BASALT workspace was:</w:t>
      </w:r>
    </w:p>
    <w:p>
      <w:pPr>
        <w:spacing w:after="120" w:line="259" w:lineRule="auto"/>
        <w:jc w:val="both"/>
      </w:pPr>
      <w:r>
        <w:rPr>
          <w:rFonts w:ascii="Times New Roman" w:hAnsi="Times New Roman"/>
          <w:sz w:val="21"/>
        </w:rPr>
        <w:t>basalt_run_dogfirst_full_20260518</w:t>
      </w:r>
    </w:p>
    <w:p>
      <w:pPr>
        <w:spacing w:after="120" w:line="259" w:lineRule="auto"/>
        <w:jc w:val="both"/>
      </w:pPr>
      <w:r>
        <w:rPr>
          <w:rFonts w:ascii="Times New Roman" w:hAnsi="Times New Roman"/>
          <w:sz w:val="21"/>
        </w:rPr>
        <w:t>This workspace contained the assembly links, depth matrices, binner outputs and metadata used for the integrated dog-first BASALT run.</w:t>
      </w:r>
    </w:p>
    <w:p>
      <w:pPr>
        <w:spacing w:after="120" w:line="259" w:lineRule="auto"/>
        <w:jc w:val="both"/>
      </w:pPr>
      <w:r>
        <w:rPr>
          <w:rFonts w:ascii="Times New Roman" w:hAnsi="Times New Roman"/>
          <w:sz w:val="21"/>
        </w:rPr>
        <w:t>The final BASALT input construction retained assemblies matching Flye long-read-only and OPERA-MS hybrid patterns and excluded alternative hybrid assembler outputs from the final integrated run. The retained assembly set was represented by 41 FASTA files and the corresponding read-depth and binner-input metadata.</w:t>
      </w:r>
    </w:p>
    <w:p>
      <w:pPr>
        <w:spacing w:after="120" w:line="259" w:lineRule="auto"/>
        <w:jc w:val="both"/>
      </w:pPr>
      <w:r>
        <w:rPr>
          <w:rFonts w:ascii="Times New Roman" w:hAnsi="Times New Roman"/>
          <w:sz w:val="21"/>
        </w:rPr>
        <w:t>The final assembly list, read lists and binner input metadata were generated from the dog-first assembly manifests. These files define the reproducible input layer for the BASALT binning and bin-selection workflow.</w:t>
      </w:r>
    </w:p>
    <w:p>
      <w:pPr>
        <w:pStyle w:val="Heading3"/>
      </w:pPr>
      <w:r>
        <w:t>BASALT execution</w:t>
      </w:r>
    </w:p>
    <w:p>
      <w:pPr>
        <w:spacing w:after="120" w:line="259" w:lineRule="auto"/>
        <w:jc w:val="both"/>
      </w:pPr>
      <w:r>
        <w:rPr>
          <w:rFonts w:ascii="Times New Roman" w:hAnsi="Times New Roman"/>
          <w:sz w:val="21"/>
        </w:rPr>
        <w:t>Genome binning and bin selection were performed with the DogMAG BASALT v1.2.0 fork (Git commit 5f51ba3780749be2fbb7c868df505548f894f7e4) [11]. The integrated workflow used MetaBAT2 v2.18, MaxBin2 v2.2.7, CONCOCT v1.1.0, SemiBin2 v2.2.1 and single-contig binning outputs where available [12-15]. MetaBAT2 bins were generated across minimum-contig settings of 200, 300, 400 and 500 bp with --maxEdges 200; MaxBin2 used probability thresholds of 0.3, 0.5, 0.7 and 0.9; CONCOCT used cluster-count settings of 100 and 200; and SemiBin2 was run with single_easy_bin and --sequencing-type=long_read. BASALT was used as the central bin-comparison and BestBinset selection engine. Quality estimation used CheckM2 v1.1.0 with the uniref100.KO.1.dmnd database [16]: During the DogMAG production workflow, BASALT was locally modified to improve restart safety, CheckM2-output validation, storage handling and execution of large datasets. A cleaned, publication-oriented representation of these generalized modifications, excluding dataset-specific rescue scripts and checkpoint edits, is archived in the Balays/BASALT fork; it is based on upstream BASALT commit 5f51ba3780749be2fbb7c868df505548f894f7e4, with the generalized DogMAG source snapshot at commit bdd4106a398db69bee83ea9ad1d331b00c041122.</w:t>
      </w:r>
    </w:p>
    <w:p>
      <w:pPr>
        <w:spacing w:after="120" w:line="259" w:lineRule="auto"/>
        <w:jc w:val="both"/>
      </w:pPr>
      <w:r>
        <w:rPr>
          <w:rFonts w:ascii="Times New Roman" w:hAnsi="Times New Roman"/>
          <w:sz w:val="21"/>
        </w:rPr>
        <w:t>QC=checkm2</w:t>
      </w:r>
    </w:p>
    <w:p>
      <w:pPr>
        <w:spacing w:after="120" w:line="259" w:lineRule="auto"/>
        <w:jc w:val="both"/>
      </w:pPr>
      <w:r>
        <w:rPr>
          <w:rFonts w:ascii="Times New Roman" w:hAnsi="Times New Roman"/>
          <w:sz w:val="21"/>
        </w:rPr>
        <w:t>The final BASALT run used BASALT from:</w:t>
      </w:r>
    </w:p>
    <w:p>
      <w:pPr>
        <w:spacing w:after="120" w:line="259" w:lineRule="auto"/>
        <w:jc w:val="both"/>
      </w:pPr>
      <w:r>
        <w:rPr>
          <w:rFonts w:ascii="Times New Roman" w:hAnsi="Times New Roman"/>
          <w:sz w:val="21"/>
        </w:rPr>
        <w:t>/path/to/BASALT/BASALT.py</w:t>
      </w:r>
    </w:p>
    <w:p>
      <w:pPr>
        <w:spacing w:after="120" w:line="259" w:lineRule="auto"/>
        <w:jc w:val="both"/>
      </w:pPr>
      <w:r>
        <w:rPr>
          <w:rFonts w:ascii="Times New Roman" w:hAnsi="Times New Roman"/>
          <w:sz w:val="21"/>
        </w:rPr>
        <w:t>The command passed the 41 dog-wise assemblies together with linked short-read and long-read inputs, -q checkm2, --mode continue, --module all, output prefix dogfirst, 28 threads and 300 GB memory.</w:t>
      </w:r>
    </w:p>
    <w:p>
      <w:pPr>
        <w:spacing w:after="120" w:line="259" w:lineRule="auto"/>
        <w:jc w:val="both"/>
      </w:pPr>
      <w:r>
        <w:rPr>
          <w:rFonts w:ascii="Times New Roman" w:hAnsi="Times New Roman"/>
          <w:sz w:val="21"/>
        </w:rPr>
        <w:t>Representative execution:</w:t>
      </w:r>
    </w:p>
    <w:p>
      <w:pPr>
        <w:spacing w:after="120" w:line="259" w:lineRule="auto"/>
        <w:jc w:val="both"/>
      </w:pPr>
      <w:r>
        <w:rPr>
          <w:rFonts w:ascii="Times New Roman" w:hAnsi="Times New Roman"/>
          <w:sz w:val="21"/>
        </w:rPr>
        <w:t>python /path/to/BASALT/BASALT.py \</w:t>
      </w:r>
    </w:p>
    <w:p>
      <w:pPr>
        <w:spacing w:after="120" w:line="259" w:lineRule="auto"/>
        <w:jc w:val="both"/>
      </w:pPr>
      <w:r>
        <w:rPr>
          <w:rFonts w:ascii="Times New Roman" w:hAnsi="Times New Roman"/>
          <w:sz w:val="21"/>
        </w:rPr>
        <w:t>-a Assembly_mo_list.txt \</w:t>
      </w:r>
    </w:p>
    <w:p>
      <w:pPr>
        <w:spacing w:after="120" w:line="259" w:lineRule="auto"/>
        <w:jc w:val="both"/>
      </w:pPr>
      <w:r>
        <w:rPr>
          <w:rFonts w:ascii="Times New Roman" w:hAnsi="Times New Roman"/>
          <w:sz w:val="21"/>
        </w:rPr>
        <w:t>-s short_read_list.txt \</w:t>
      </w:r>
    </w:p>
    <w:p>
      <w:pPr>
        <w:spacing w:after="120" w:line="259" w:lineRule="auto"/>
        <w:jc w:val="both"/>
      </w:pPr>
      <w:r>
        <w:rPr>
          <w:rFonts w:ascii="Times New Roman" w:hAnsi="Times New Roman"/>
          <w:sz w:val="21"/>
        </w:rPr>
        <w:t>-l long_read_list.txt \</w:t>
      </w:r>
    </w:p>
    <w:p>
      <w:pPr>
        <w:spacing w:after="120" w:line="259" w:lineRule="auto"/>
        <w:jc w:val="both"/>
      </w:pPr>
      <w:r>
        <w:rPr>
          <w:rFonts w:ascii="Times New Roman" w:hAnsi="Times New Roman"/>
          <w:sz w:val="21"/>
        </w:rPr>
        <w:t>-q checkm2 \</w:t>
      </w:r>
    </w:p>
    <w:p>
      <w:pPr>
        <w:spacing w:after="120" w:line="259" w:lineRule="auto"/>
        <w:jc w:val="both"/>
      </w:pPr>
      <w:r>
        <w:rPr>
          <w:rFonts w:ascii="Times New Roman" w:hAnsi="Times New Roman"/>
          <w:sz w:val="21"/>
        </w:rPr>
        <w:t>--mode continue \</w:t>
      </w:r>
    </w:p>
    <w:p>
      <w:pPr>
        <w:spacing w:after="120" w:line="259" w:lineRule="auto"/>
        <w:jc w:val="both"/>
      </w:pPr>
      <w:r>
        <w:rPr>
          <w:rFonts w:ascii="Times New Roman" w:hAnsi="Times New Roman"/>
          <w:sz w:val="21"/>
        </w:rPr>
        <w:t>--module all \</w:t>
      </w:r>
    </w:p>
    <w:p>
      <w:pPr>
        <w:spacing w:after="120" w:line="259" w:lineRule="auto"/>
        <w:jc w:val="both"/>
      </w:pPr>
      <w:r>
        <w:rPr>
          <w:rFonts w:ascii="Times New Roman" w:hAnsi="Times New Roman"/>
          <w:sz w:val="21"/>
        </w:rPr>
        <w:t>-o dogfirst \</w:t>
      </w:r>
    </w:p>
    <w:p>
      <w:pPr>
        <w:spacing w:after="120" w:line="259" w:lineRule="auto"/>
        <w:jc w:val="both"/>
      </w:pPr>
      <w:r>
        <w:rPr>
          <w:rFonts w:ascii="Times New Roman" w:hAnsi="Times New Roman"/>
          <w:sz w:val="21"/>
        </w:rPr>
        <w:t>-t 28 \</w:t>
      </w:r>
    </w:p>
    <w:p>
      <w:pPr>
        <w:spacing w:after="120" w:line="259" w:lineRule="auto"/>
        <w:jc w:val="both"/>
      </w:pPr>
      <w:r>
        <w:rPr>
          <w:rFonts w:ascii="Times New Roman" w:hAnsi="Times New Roman"/>
          <w:sz w:val="21"/>
        </w:rPr>
        <w:t>-m 300</w:t>
      </w:r>
    </w:p>
    <w:p>
      <w:pPr>
        <w:spacing w:after="120" w:line="259" w:lineRule="auto"/>
        <w:jc w:val="both"/>
      </w:pPr>
      <w:r>
        <w:rPr>
          <w:rFonts w:ascii="Times New Roman" w:hAnsi="Times New Roman"/>
          <w:sz w:val="21"/>
        </w:rPr>
        <w:t>BASALT generated per-assembly binner outputs, selected best-bin sets, quality reports, long-read-supported bin context and a final BASALT candidate bin/MAG metadata stage. Completeness and contamination estimates used in the DogMAG bin metadata originate from the CheckM2 quality reports generated for the BASALT workflow. The completed BASALT bin-selection stage processed 11,276 candidate bin/MAG records, which were then filtered with the operational DogMAG completeness and contamination thresholds described below.</w:t>
      </w:r>
    </w:p>
    <w:p>
      <w:pPr>
        <w:pStyle w:val="Heading3"/>
      </w:pPr>
      <w:r>
        <w:t>MAG candidate quality filtering and external dereplication</w:t>
      </w:r>
    </w:p>
    <w:p>
      <w:pPr>
        <w:spacing w:after="120" w:line="259" w:lineRule="auto"/>
        <w:jc w:val="both"/>
      </w:pPr>
      <w:r>
        <w:rPr>
          <w:rFonts w:ascii="Times New Roman" w:hAnsi="Times New Roman"/>
          <w:sz w:val="21"/>
        </w:rPr>
        <w:t>BASALT produced 11,276 selected bin/version records from 30,556 polished or reassembled candidate versions. Because BASALT's internal comparison and redundancy handling is not equivalent to a fixed external catalogue-unit definition, DogMAG applies an explicit post-BASALT candidate re-selection and external dereplication workflow before reporting catalogue-level counts.</w:t>
      </w:r>
    </w:p>
    <w:p>
      <w:pPr>
        <w:spacing w:after="120" w:line="259" w:lineRule="auto"/>
        <w:jc w:val="both"/>
      </w:pPr>
      <w:r>
        <w:rPr>
          <w:rFonts w:ascii="Times New Roman" w:hAnsi="Times New Roman"/>
          <w:sz w:val="21"/>
        </w:rPr>
        <w:t>For each original BASALT bin group, all available polished and reassembled candidate versions were compared using CheckM2-derived completeness and contamination estimates [16]. Candidate versions were considered eligible for the medium-quality-or-better catalogue pool when completeness was &gt;= 50% and contamination was &lt;= 10%, following operational MIMAG-style thresholds [20]. High-completeness/low-contamination candidates were defined as completeness &gt;= 90% and contamination &lt;= 5%. When multiple eligible versions were available for the same original bin group, candidates were ranked using the quality score completeness - 5 x contamination. N50 and related contiguity fields were used as tie-breakers where implemented in the re-selection script. This candidate re-selection retained 3,418 medium-quality-or-better MAG candidates, including 503 high-completeness/low-contamination candidates and 2,915 medium-only candidates. A further 7,858 original bin groups did not have an eligible medium-quality candidate.</w:t>
      </w:r>
    </w:p>
    <w:p>
      <w:pPr>
        <w:spacing w:after="120" w:line="259" w:lineRule="auto"/>
        <w:jc w:val="both"/>
      </w:pPr>
      <w:r>
        <w:rPr>
          <w:rFonts w:ascii="Times New Roman" w:hAnsi="Times New Roman"/>
          <w:sz w:val="21"/>
        </w:rPr>
        <w:t>The reselected MAG candidate pool was externally dereplicated with dRep v3.6.2 [17] using 52 processors, minimum genome length 50,000 bp, completeness &gt;= 50% and contamination &lt;= 10%. Mash primary clustering used a sketch size of 1,000, followed by fastANI secondary comparisons [18,19]. The 95% ANI run used primary and secondary ANI thresholds of 0.90 and 0.95, respectively; the 99% ANI run used thresholds of 0.95 and 0.99. Both runs used a minimum comparison coverage of 0.10, the larger-genome coverage denominator, average-linkage clustering and default representative scoring weights (completeness 1, contamination 5, strain heterogeneity 1, N50 0.5 and centrality 1). The workflow completed 172,570 fastANI comparisons at 95% ANI and 164,422 at 99% ANI. dRep's internal CheckM-based filtering retained 3,222 genomes (94.27% of the reselected pool) before final representative selection. The final outputs contained 792 99% ANI strain-like representatives and 135 95% ANI species/SGB-like representatives.</w:t>
      </w:r>
    </w:p>
    <w:p>
      <w:pPr>
        <w:spacing w:after="120" w:line="259" w:lineRule="auto"/>
        <w:jc w:val="both"/>
      </w:pPr>
      <w:r>
        <w:rPr>
          <w:rFonts w:ascii="Times New Roman" w:hAnsi="Times New Roman"/>
          <w:sz w:val="21"/>
        </w:rPr>
        <w:t>The 99% and 95% ANI representative counts are external dereplication layers applied after BASALT, not BASALT-internal BestBinset counts. The 95% ANI units are described as species/SGB-like representatives because the clustering threshold approximates a species-level genome catalogue unit, but the workflow does not reproduce official SGB construction or placement procedures used by other catalogues.</w:t>
      </w:r>
    </w:p>
    <w:p>
      <w:pPr>
        <w:pStyle w:val="Heading3"/>
      </w:pPr>
      <w:r>
        <w:t>Prokaryotic genome taxonomy</w:t>
      </w:r>
    </w:p>
    <w:p>
      <w:pPr>
        <w:spacing w:after="120" w:line="259" w:lineRule="auto"/>
        <w:jc w:val="both"/>
      </w:pPr>
      <w:r>
        <w:rPr>
          <w:rFonts w:ascii="Times New Roman" w:hAnsi="Times New Roman"/>
          <w:sz w:val="21"/>
        </w:rPr>
        <w:t>Taxonomic classification was performed on the 792 externally dereplicated 99% ANI representatives using GTDB-Tk v2.7.1 with GTDB release r232 [21]. GTDB-Tk was run after candidate re-selection and dRep dereplication so that taxonomy describes the final strain-like representative set rather than all pre-dereplication BASALT candidates.</w:t>
      </w:r>
    </w:p>
    <w:p>
      <w:pPr>
        <w:spacing w:after="120" w:line="259" w:lineRule="auto"/>
        <w:jc w:val="both"/>
      </w:pPr>
      <w:r>
        <w:rPr>
          <w:rFonts w:ascii="Times New Roman" w:hAnsi="Times New Roman"/>
          <w:sz w:val="21"/>
        </w:rPr>
        <w:t>All 792 representatives were classified as Bacteria and no genomes were excluded from the GTDB-Tk summary. GTDB-Tk assigned species labels to 768 representatives and genus labels to 791. Across the representative set, GTDB-Tk reported 132 unique species labels, 76 genera, 32 families, 20 orders, 11 classes and 7 phyla. Classification used ANI screening for 768 representatives, topology-defined placement for 23 representatives and RED-based novelty assessment for 1 representative. The median closest GTDB ANI was 98.04% and the median alignment fraction was 0.827.</w:t>
      </w:r>
    </w:p>
    <w:p>
      <w:pPr>
        <w:pStyle w:val="Heading3"/>
      </w:pPr>
      <w:r>
        <w:t>Reference-panel read-recruitment comparison</w:t>
      </w:r>
    </w:p>
    <w:p>
      <w:pPr>
        <w:spacing w:after="120" w:line="259" w:lineRule="auto"/>
        <w:jc w:val="both"/>
      </w:pPr>
      <w:r>
        <w:rPr>
          <w:rFonts w:ascii="Times New Roman" w:hAnsi="Times New Roman"/>
          <w:sz w:val="21"/>
        </w:rPr>
        <w:t>The technical coverage of the DogMAG species/SGB-like reference layer was evaluated by mapping an equal-sized set of ONT long-read metagenomes against DogMAG and bacterial RefSeq. The balanced comparison comprised 23 libraries from the mixed-kennel source cohort and 23 independent Waltham canine gut metagenomes. The Waltham libraries were not used to construct DogMAG and therefore provide an external read-recruitment assessment, whereas the mixed-kennel libraries provide a source-cohort benchmark. The same FASTQ files were used for both reference panels. For the RefSeq arm, previously completed mixed-kennel alignments were reused after confirming the original FASTQ identities, reference index and mapping parameters; the 23 Waltham libraries were mapped de novo. All 46 libraries were mapped de novo against the 135-member DogMAG 95% ANI panel.</w:t>
      </w:r>
    </w:p>
    <w:p>
      <w:pPr>
        <w:spacing w:after="120" w:line="259" w:lineRule="auto"/>
        <w:jc w:val="both"/>
      </w:pPr>
      <w:r>
        <w:rPr>
          <w:rFonts w:ascii="Times New Roman" w:hAnsi="Times New Roman"/>
          <w:sz w:val="21"/>
        </w:rPr>
        <w:t>Read mapping and taxonomic assignment were performed with minitax v0.9 [4] using the ONT map-ont preset and the mm2-fast minimap2-compatible mapper. Both arms retained up to 20 secondary alignments per read and applied the same post-alignment settings: selection of the highest-MAPQ candidates, retention of alignments with the highest CIGAR score and taxonomic refinement with the BestAln method at a threshold of 0.6. SpeciesEstimate summaries were generated as an additional deposited output. The RefSeq panel used a bacterial RefSeq minimap2 index and matched NCBI taxonomy tables; the DogMAG panel used the final 95% ANI DogMAG reference index and the GTDB-Tk-derived taxonomy table. Primary-read accounting was calculated separately from secondary-alignment counts. For each library and panel, the reported validation fields comprise primary reads examined, primary reads mapped, mapped-read fraction, reads receiving a final BestAln taxonomic assignment and assigned-read fraction. Comparisons were paired by library and summarised separately for the mixed-kennel source cohort and independent Waltham cohort using per-library medians and interquartile ranges; pooled read-weighted fractions were also calculated from summed primary-read counts. The consistency of the paired direction of change was assessed with a two-sided exact binomial sign test after excluding exact ties.</w:t>
      </w:r>
    </w:p>
    <w:p>
      <w:pPr>
        <w:pStyle w:val="Heading3"/>
      </w:pPr>
      <w:r>
        <w:t>Viral and prophage genome candidates</w:t>
      </w:r>
    </w:p>
    <w:p>
      <w:pPr>
        <w:spacing w:after="120" w:line="259" w:lineRule="auto"/>
        <w:jc w:val="both"/>
      </w:pPr>
      <w:r>
        <w:rPr>
          <w:rFonts w:ascii="Times New Roman" w:hAnsi="Times New Roman"/>
          <w:sz w:val="21"/>
        </w:rPr>
        <w:t>Viral and prophage candidates were recovered with a two-branch workflow that separates unbinned/free-virus discovery from binned/prophage-context discovery. geNomad v1.12.0 with database v1.9 [22] was used for viral and plasmid prediction, and CheckV v1.1.1 with database v1.5 [23] was used for viral candidate quality estimation. The unbinned branch analysed contigs from the final dog-first assembly layer. The binned/prophage-context branch analysed contigs associated with BASALT-derived bin/MAG context so that candidate viral sequences could be linked back to genome bins where appropriate.</w:t>
      </w:r>
    </w:p>
    <w:p>
      <w:pPr>
        <w:spacing w:after="120" w:line="259" w:lineRule="auto"/>
        <w:jc w:val="both"/>
      </w:pPr>
      <w:r>
        <w:rPr>
          <w:rFonts w:ascii="Times New Roman" w:hAnsi="Times New Roman"/>
          <w:sz w:val="21"/>
        </w:rPr>
        <w:t>geNomad predicted 18,150 unbinned viral sequences and 3,918 binned/prophage-context viral sequences, for 22,068 viral predictions in total. geNomad also reported 14,739 unbinned plasmid predictions and 6,052 binned plasmid predictions; these plasmid predictions are tracked separately and are not counted as viral/proviral candidates in the final viral summary. After CheckV filtering to Complete, High-quality or Medium-quality candidates with contamination &lt;= 10%, 2,306 unbinned and 1,068 binned/prophage-context viral candidate rows remained, for 3,374 final filtered viral/proviral candidate rows. These rows corresponded to 3,282 unique source-contig MD5s, indicating that a small number of source contigs were observed in more than one context.</w:t>
      </w:r>
    </w:p>
    <w:p>
      <w:pPr>
        <w:spacing w:after="120" w:line="259" w:lineRule="auto"/>
        <w:jc w:val="both"/>
      </w:pPr>
      <w:r>
        <w:rPr>
          <w:rFonts w:ascii="Times New Roman" w:hAnsi="Times New Roman"/>
          <w:sz w:val="21"/>
        </w:rPr>
        <w:t>The final viral/prophage results are reported as candidate viral or proviral sequences, not as a dereplicated viral operational taxonomic unit (vOTU) catalogue. Viral dereplication is intentionally deferred so that users can apply their preferred vOTU thresholds and tools to the deposited sequence and metadata tables. Broad viral taxonomy was dominated by Caudoviricetes in both unbinned and binned/prophage-context branches, based on geNomad taxonomic assignments.</w:t>
      </w:r>
    </w:p>
    <w:p>
      <w:pPr>
        <w:pStyle w:val="Heading2"/>
      </w:pPr>
      <w:r>
        <w:t>Data Records</w:t>
      </w:r>
    </w:p>
    <w:p>
      <w:pPr>
        <w:spacing w:after="120" w:line="259" w:lineRule="auto"/>
        <w:jc w:val="both"/>
      </w:pPr>
      <w:r>
        <w:rPr>
          <w:rFonts w:ascii="Times New Roman" w:hAnsi="Times New Roman"/>
          <w:sz w:val="21"/>
        </w:rPr>
        <w:t>The DogMAG-derived dataset is organised for direct reuse through ENA and an associated article data package. The data record is organised around dog-first assemblies, summary-level BASALT provenance and quality metadata, the 3,418 reselected medium-quality-or-better MAG candidates, final externally dereplicated MAG representatives and viral/prophage candidate layers. The complete BASALT workspace, transient intermediate files, and the full set of 30,556 polished or reassembled candidate versions are not part of the deposited resource.</w:t>
      </w:r>
    </w:p>
    <w:p>
      <w:pPr>
        <w:spacing w:after="120" w:line="259" w:lineRule="auto"/>
        <w:jc w:val="both"/>
      </w:pPr>
      <w:r>
        <w:rPr>
          <w:rFonts w:ascii="Times New Roman" w:hAnsi="Times New Roman"/>
          <w:sz w:val="21"/>
        </w:rPr>
        <w:t>Repository structure:</w:t>
      </w:r>
    </w:p>
    <w:p>
      <w:pPr>
        <w:spacing w:after="120" w:line="259" w:lineRule="auto"/>
        <w:jc w:val="both"/>
      </w:pPr>
      <w:r>
        <w:rPr>
          <w:rFonts w:ascii="Times New Roman" w:hAnsi="Times New Roman"/>
          <w:sz w:val="21"/>
        </w:rPr>
        <w:t>DogMAG/</w:t>
      </w:r>
    </w:p>
    <w:p>
      <w:pPr>
        <w:spacing w:after="120" w:line="259" w:lineRule="auto"/>
        <w:jc w:val="both"/>
      </w:pPr>
      <w:r>
        <w:rPr>
          <w:rFonts w:ascii="Times New Roman" w:hAnsi="Times New Roman"/>
          <w:sz w:val="21"/>
        </w:rPr>
        <w:t>README.md</w:t>
      </w:r>
    </w:p>
    <w:p>
      <w:pPr>
        <w:spacing w:after="120" w:line="259" w:lineRule="auto"/>
        <w:jc w:val="both"/>
      </w:pPr>
      <w:r>
        <w:rPr>
          <w:rFonts w:ascii="Times New Roman" w:hAnsi="Times New Roman"/>
          <w:sz w:val="21"/>
        </w:rPr>
        <w:t>metadata/</w:t>
      </w:r>
    </w:p>
    <w:p>
      <w:pPr>
        <w:spacing w:after="120" w:line="259" w:lineRule="auto"/>
        <w:jc w:val="both"/>
      </w:pPr>
      <w:r>
        <w:rPr>
          <w:rFonts w:ascii="Times New Roman" w:hAnsi="Times New Roman"/>
          <w:sz w:val="21"/>
        </w:rPr>
        <w:t>sample_metadata.tsv</w:t>
      </w:r>
    </w:p>
    <w:p>
      <w:pPr>
        <w:spacing w:after="120" w:line="259" w:lineRule="auto"/>
        <w:jc w:val="both"/>
      </w:pPr>
      <w:r>
        <w:rPr>
          <w:rFonts w:ascii="Times New Roman" w:hAnsi="Times New Roman"/>
          <w:sz w:val="21"/>
        </w:rPr>
        <w:t>library_metadata.tsv</w:t>
      </w:r>
    </w:p>
    <w:p>
      <w:pPr>
        <w:spacing w:after="120" w:line="259" w:lineRule="auto"/>
        <w:jc w:val="both"/>
      </w:pPr>
      <w:r>
        <w:rPr>
          <w:rFonts w:ascii="Times New Roman" w:hAnsi="Times New Roman"/>
          <w:sz w:val="21"/>
        </w:rPr>
        <w:t>read_metadata.tsv</w:t>
      </w:r>
    </w:p>
    <w:p>
      <w:pPr>
        <w:spacing w:after="120" w:line="259" w:lineRule="auto"/>
        <w:jc w:val="both"/>
      </w:pPr>
      <w:r>
        <w:rPr>
          <w:rFonts w:ascii="Times New Roman" w:hAnsi="Times New Roman"/>
          <w:sz w:val="21"/>
        </w:rPr>
        <w:t>reads_to_assemblies.tsv</w:t>
      </w:r>
    </w:p>
    <w:p>
      <w:pPr>
        <w:spacing w:after="120" w:line="259" w:lineRule="auto"/>
        <w:jc w:val="both"/>
      </w:pPr>
      <w:r>
        <w:rPr>
          <w:rFonts w:ascii="Times New Roman" w:hAnsi="Times New Roman"/>
          <w:sz w:val="21"/>
        </w:rPr>
        <w:t>assemblies/</w:t>
      </w:r>
    </w:p>
    <w:p>
      <w:pPr>
        <w:spacing w:after="120" w:line="259" w:lineRule="auto"/>
        <w:jc w:val="both"/>
      </w:pPr>
      <w:r>
        <w:rPr>
          <w:rFonts w:ascii="Times New Roman" w:hAnsi="Times New Roman"/>
          <w:sz w:val="21"/>
        </w:rPr>
        <w:t>filtered_dogfirst_basalt_input_assemblies/</w:t>
      </w:r>
    </w:p>
    <w:p>
      <w:pPr>
        <w:spacing w:after="120" w:line="259" w:lineRule="auto"/>
        <w:jc w:val="both"/>
      </w:pPr>
      <w:r>
        <w:rPr>
          <w:rFonts w:ascii="Times New Roman" w:hAnsi="Times New Roman"/>
          <w:sz w:val="21"/>
        </w:rPr>
        <w:t>DOGMAG_ASM001.fasta</w:t>
      </w:r>
    </w:p>
    <w:p>
      <w:pPr>
        <w:spacing w:after="120" w:line="259" w:lineRule="auto"/>
        <w:jc w:val="both"/>
      </w:pPr>
      <w:r>
        <w:rPr>
          <w:rFonts w:ascii="Times New Roman" w:hAnsi="Times New Roman"/>
          <w:sz w:val="21"/>
        </w:rPr>
        <w:t>DOGMAG_ASM002.fasta</w:t>
      </w:r>
    </w:p>
    <w:p>
      <w:pPr>
        <w:spacing w:after="120" w:line="259" w:lineRule="auto"/>
        <w:jc w:val="both"/>
      </w:pPr>
      <w:r>
        <w:rPr>
          <w:rFonts w:ascii="Times New Roman" w:hAnsi="Times New Roman"/>
          <w:sz w:val="21"/>
        </w:rPr>
        <w:t>...</w:t>
      </w:r>
    </w:p>
    <w:p>
      <w:pPr>
        <w:spacing w:after="120" w:line="259" w:lineRule="auto"/>
        <w:jc w:val="both"/>
      </w:pPr>
      <w:r>
        <w:rPr>
          <w:rFonts w:ascii="Times New Roman" w:hAnsi="Times New Roman"/>
          <w:sz w:val="21"/>
        </w:rPr>
        <w:t>assembly_metrics.tsv</w:t>
      </w:r>
    </w:p>
    <w:p>
      <w:pPr>
        <w:spacing w:after="120" w:line="259" w:lineRule="auto"/>
        <w:jc w:val="both"/>
      </w:pPr>
      <w:r>
        <w:rPr>
          <w:rFonts w:ascii="Times New Roman" w:hAnsi="Times New Roman"/>
          <w:sz w:val="21"/>
        </w:rPr>
        <w:t>assembly_checksums.tsv</w:t>
      </w:r>
    </w:p>
    <w:p>
      <w:pPr>
        <w:spacing w:after="120" w:line="259" w:lineRule="auto"/>
        <w:jc w:val="both"/>
      </w:pPr>
      <w:r>
        <w:rPr>
          <w:rFonts w:ascii="Times New Roman" w:hAnsi="Times New Roman"/>
          <w:sz w:val="21"/>
        </w:rPr>
        <w:t>basalt_derived/</w:t>
      </w:r>
    </w:p>
    <w:p>
      <w:pPr>
        <w:spacing w:after="120" w:line="259" w:lineRule="auto"/>
        <w:jc w:val="both"/>
      </w:pPr>
      <w:r>
        <w:rPr>
          <w:rFonts w:ascii="Times New Roman" w:hAnsi="Times New Roman"/>
          <w:sz w:val="21"/>
        </w:rPr>
        <w:t>basalt_candidate_manifest.tsv</w:t>
      </w:r>
    </w:p>
    <w:p>
      <w:pPr>
        <w:spacing w:after="120" w:line="259" w:lineRule="auto"/>
        <w:jc w:val="both"/>
      </w:pPr>
      <w:r>
        <w:rPr>
          <w:rFonts w:ascii="Times New Roman" w:hAnsi="Times New Roman"/>
          <w:sz w:val="21"/>
        </w:rPr>
        <w:t>basalt_quality_report.tsv</w:t>
      </w:r>
    </w:p>
    <w:p>
      <w:pPr>
        <w:spacing w:after="120" w:line="259" w:lineRule="auto"/>
        <w:jc w:val="both"/>
      </w:pPr>
      <w:r>
        <w:rPr>
          <w:rFonts w:ascii="Times New Roman" w:hAnsi="Times New Roman"/>
          <w:sz w:val="21"/>
        </w:rPr>
        <w:t>mag_candidate_quality_summary.tsv</w:t>
      </w:r>
    </w:p>
    <w:p>
      <w:pPr>
        <w:spacing w:after="120" w:line="259" w:lineRule="auto"/>
        <w:jc w:val="both"/>
      </w:pPr>
      <w:r>
        <w:rPr>
          <w:rFonts w:ascii="Times New Roman" w:hAnsi="Times New Roman"/>
          <w:sz w:val="21"/>
        </w:rPr>
        <w:t>basalt_run_provenance.tsv</w:t>
      </w:r>
    </w:p>
    <w:p>
      <w:pPr>
        <w:spacing w:after="120" w:line="259" w:lineRule="auto"/>
        <w:jc w:val="both"/>
      </w:pPr>
      <w:r>
        <w:rPr>
          <w:rFonts w:ascii="Times New Roman" w:hAnsi="Times New Roman"/>
          <w:sz w:val="21"/>
        </w:rPr>
        <w:t>mags/</w:t>
      </w:r>
    </w:p>
    <w:p>
      <w:pPr>
        <w:spacing w:after="120" w:line="259" w:lineRule="auto"/>
        <w:jc w:val="both"/>
      </w:pPr>
      <w:r>
        <w:rPr>
          <w:rFonts w:ascii="Times New Roman" w:hAnsi="Times New Roman"/>
          <w:sz w:val="21"/>
        </w:rPr>
        <w:t>reselected_mq_candidates/</w:t>
      </w:r>
    </w:p>
    <w:p>
      <w:pPr>
        <w:spacing w:after="120" w:line="259" w:lineRule="auto"/>
        <w:jc w:val="both"/>
      </w:pPr>
      <w:r>
        <w:rPr>
          <w:rFonts w:ascii="Times New Roman" w:hAnsi="Times New Roman"/>
          <w:sz w:val="21"/>
        </w:rPr>
        <w:t>drep_ani95_sgb_like_representatives/</w:t>
      </w:r>
    </w:p>
    <w:p>
      <w:pPr>
        <w:spacing w:after="120" w:line="259" w:lineRule="auto"/>
        <w:jc w:val="both"/>
      </w:pPr>
      <w:r>
        <w:rPr>
          <w:rFonts w:ascii="Times New Roman" w:hAnsi="Times New Roman"/>
          <w:sz w:val="21"/>
        </w:rPr>
        <w:t>drep_ani99_strain_representatives/</w:t>
      </w:r>
    </w:p>
    <w:p>
      <w:pPr>
        <w:spacing w:after="120" w:line="259" w:lineRule="auto"/>
        <w:jc w:val="both"/>
      </w:pPr>
      <w:r>
        <w:rPr>
          <w:rFonts w:ascii="Times New Roman" w:hAnsi="Times New Roman"/>
          <w:sz w:val="21"/>
        </w:rPr>
        <w:t>mag_metadata.tsv</w:t>
      </w:r>
    </w:p>
    <w:p>
      <w:pPr>
        <w:spacing w:after="120" w:line="259" w:lineRule="auto"/>
        <w:jc w:val="both"/>
      </w:pPr>
      <w:r>
        <w:rPr>
          <w:rFonts w:ascii="Times New Roman" w:hAnsi="Times New Roman"/>
          <w:sz w:val="21"/>
        </w:rPr>
        <w:t>mag_quality_summary.tsv</w:t>
      </w:r>
    </w:p>
    <w:p>
      <w:pPr>
        <w:spacing w:after="120" w:line="259" w:lineRule="auto"/>
        <w:jc w:val="both"/>
      </w:pPr>
      <w:r>
        <w:rPr>
          <w:rFonts w:ascii="Times New Roman" w:hAnsi="Times New Roman"/>
          <w:sz w:val="21"/>
        </w:rPr>
        <w:t>ani95_cluster_table.tsv</w:t>
      </w:r>
    </w:p>
    <w:p>
      <w:pPr>
        <w:spacing w:after="120" w:line="259" w:lineRule="auto"/>
        <w:jc w:val="both"/>
      </w:pPr>
      <w:r>
        <w:rPr>
          <w:rFonts w:ascii="Times New Roman" w:hAnsi="Times New Roman"/>
          <w:sz w:val="21"/>
        </w:rPr>
        <w:t>ani99_cluster_table.tsv</w:t>
      </w:r>
    </w:p>
    <w:p>
      <w:pPr>
        <w:spacing w:after="120" w:line="259" w:lineRule="auto"/>
        <w:jc w:val="both"/>
      </w:pPr>
      <w:r>
        <w:rPr>
          <w:rFonts w:ascii="Times New Roman" w:hAnsi="Times New Roman"/>
          <w:sz w:val="21"/>
        </w:rPr>
        <w:t>gtdbtk_taxonomy.tsv</w:t>
      </w:r>
    </w:p>
    <w:p>
      <w:pPr>
        <w:spacing w:after="120" w:line="259" w:lineRule="auto"/>
        <w:jc w:val="both"/>
      </w:pPr>
      <w:r>
        <w:rPr>
          <w:rFonts w:ascii="Times New Roman" w:hAnsi="Times New Roman"/>
          <w:sz w:val="21"/>
        </w:rPr>
        <w:t>viral_candidates/</w:t>
      </w:r>
    </w:p>
    <w:p>
      <w:pPr>
        <w:spacing w:after="120" w:line="259" w:lineRule="auto"/>
        <w:jc w:val="both"/>
      </w:pPr>
      <w:r>
        <w:rPr>
          <w:rFonts w:ascii="Times New Roman" w:hAnsi="Times New Roman"/>
          <w:sz w:val="21"/>
        </w:rPr>
        <w:t>unbinned_viral_candidates.tsv</w:t>
      </w:r>
    </w:p>
    <w:p>
      <w:pPr>
        <w:spacing w:after="120" w:line="259" w:lineRule="auto"/>
        <w:jc w:val="both"/>
      </w:pPr>
      <w:r>
        <w:rPr>
          <w:rFonts w:ascii="Times New Roman" w:hAnsi="Times New Roman"/>
          <w:sz w:val="21"/>
        </w:rPr>
        <w:t>unbinned_viral_candidates.fna</w:t>
      </w:r>
    </w:p>
    <w:p>
      <w:pPr>
        <w:spacing w:after="120" w:line="259" w:lineRule="auto"/>
        <w:jc w:val="both"/>
      </w:pPr>
      <w:r>
        <w:rPr>
          <w:rFonts w:ascii="Times New Roman" w:hAnsi="Times New Roman"/>
          <w:sz w:val="21"/>
        </w:rPr>
        <w:t>mag_associated_viral_candidates.tsv</w:t>
      </w:r>
    </w:p>
    <w:p>
      <w:pPr>
        <w:spacing w:after="120" w:line="259" w:lineRule="auto"/>
        <w:jc w:val="both"/>
      </w:pPr>
      <w:r>
        <w:rPr>
          <w:rFonts w:ascii="Times New Roman" w:hAnsi="Times New Roman"/>
          <w:sz w:val="21"/>
        </w:rPr>
        <w:t>mag_associated_viral_candidates.fna</w:t>
      </w:r>
    </w:p>
    <w:p>
      <w:pPr>
        <w:spacing w:after="120" w:line="259" w:lineRule="auto"/>
        <w:jc w:val="both"/>
      </w:pPr>
      <w:r>
        <w:rPr>
          <w:rFonts w:ascii="Times New Roman" w:hAnsi="Times New Roman"/>
          <w:sz w:val="21"/>
        </w:rPr>
        <w:t>viral_candidate_context.tsv</w:t>
      </w:r>
    </w:p>
    <w:p>
      <w:pPr>
        <w:spacing w:after="120" w:line="259" w:lineRule="auto"/>
        <w:jc w:val="both"/>
      </w:pPr>
      <w:r>
        <w:rPr>
          <w:rFonts w:ascii="Times New Roman" w:hAnsi="Times New Roman"/>
          <w:sz w:val="21"/>
        </w:rPr>
        <w:t>reference_panel_validation/</w:t>
      </w:r>
    </w:p>
    <w:p>
      <w:pPr>
        <w:spacing w:after="120" w:line="259" w:lineRule="auto"/>
        <w:jc w:val="both"/>
      </w:pPr>
      <w:r>
        <w:rPr>
          <w:rFonts w:ascii="Times New Roman" w:hAnsi="Times New Roman"/>
          <w:sz w:val="21"/>
        </w:rPr>
        <w:t>sample_manifest_balanced23.tsv</w:t>
      </w:r>
    </w:p>
    <w:p>
      <w:pPr>
        <w:spacing w:after="120" w:line="259" w:lineRule="auto"/>
        <w:jc w:val="both"/>
      </w:pPr>
      <w:r>
        <w:rPr>
          <w:rFonts w:ascii="Times New Roman" w:hAnsi="Times New Roman"/>
          <w:sz w:val="21"/>
        </w:rPr>
        <w:t>refseq_read_accounting.tsv</w:t>
      </w:r>
    </w:p>
    <w:p>
      <w:pPr>
        <w:spacing w:after="120" w:line="259" w:lineRule="auto"/>
        <w:jc w:val="both"/>
      </w:pPr>
      <w:r>
        <w:rPr>
          <w:rFonts w:ascii="Times New Roman" w:hAnsi="Times New Roman"/>
          <w:sz w:val="21"/>
        </w:rPr>
        <w:t>dogmag95_read_accounting.tsv</w:t>
      </w:r>
    </w:p>
    <w:p>
      <w:pPr>
        <w:spacing w:after="120" w:line="259" w:lineRule="auto"/>
        <w:jc w:val="both"/>
      </w:pPr>
      <w:r>
        <w:rPr>
          <w:rFonts w:ascii="Times New Roman" w:hAnsi="Times New Roman"/>
          <w:sz w:val="21"/>
        </w:rPr>
        <w:t>refseq_vs_dogmag_per_sample.tsv</w:t>
      </w:r>
    </w:p>
    <w:p>
      <w:pPr>
        <w:spacing w:after="120" w:line="259" w:lineRule="auto"/>
        <w:jc w:val="both"/>
      </w:pPr>
      <w:r>
        <w:rPr>
          <w:rFonts w:ascii="Times New Roman" w:hAnsi="Times New Roman"/>
          <w:sz w:val="21"/>
        </w:rPr>
        <w:t>refseq_vs_dogmag_cohort_summary.tsv</w:t>
      </w:r>
    </w:p>
    <w:p>
      <w:pPr>
        <w:spacing w:after="120" w:line="259" w:lineRule="auto"/>
        <w:jc w:val="both"/>
      </w:pPr>
      <w:r>
        <w:rPr>
          <w:rFonts w:ascii="Times New Roman" w:hAnsi="Times New Roman"/>
          <w:sz w:val="21"/>
        </w:rPr>
        <w:t>detailed_cohort_summary.tsv</w:t>
      </w:r>
    </w:p>
    <w:p>
      <w:pPr>
        <w:spacing w:after="120" w:line="259" w:lineRule="auto"/>
        <w:jc w:val="both"/>
      </w:pPr>
      <w:r>
        <w:rPr>
          <w:rFonts w:ascii="Times New Roman" w:hAnsi="Times New Roman"/>
          <w:sz w:val="21"/>
        </w:rPr>
        <w:t>classification_timing_refseq.tsv</w:t>
      </w:r>
    </w:p>
    <w:p>
      <w:pPr>
        <w:spacing w:after="120" w:line="259" w:lineRule="auto"/>
        <w:jc w:val="both"/>
      </w:pPr>
      <w:r>
        <w:rPr>
          <w:rFonts w:ascii="Times New Roman" w:hAnsi="Times New Roman"/>
          <w:sz w:val="21"/>
        </w:rPr>
        <w:t>classification_timing_dogmag95.tsv</w:t>
      </w:r>
    </w:p>
    <w:p>
      <w:pPr>
        <w:spacing w:after="120" w:line="259" w:lineRule="auto"/>
        <w:jc w:val="both"/>
      </w:pPr>
      <w:r>
        <w:rPr>
          <w:rFonts w:ascii="Times New Roman" w:hAnsi="Times New Roman"/>
          <w:sz w:val="21"/>
        </w:rPr>
        <w:t>minitax_refseq_config.tsv</w:t>
      </w:r>
    </w:p>
    <w:p>
      <w:pPr>
        <w:spacing w:after="120" w:line="259" w:lineRule="auto"/>
        <w:jc w:val="both"/>
      </w:pPr>
      <w:r>
        <w:rPr>
          <w:rFonts w:ascii="Times New Roman" w:hAnsi="Times New Roman"/>
          <w:sz w:val="21"/>
        </w:rPr>
        <w:t>minitax_dogmag95_config.tsv</w:t>
      </w:r>
    </w:p>
    <w:p>
      <w:pPr>
        <w:spacing w:after="120" w:line="259" w:lineRule="auto"/>
        <w:jc w:val="both"/>
      </w:pPr>
      <w:r>
        <w:rPr>
          <w:rFonts w:ascii="Times New Roman" w:hAnsi="Times New Roman"/>
          <w:sz w:val="21"/>
        </w:rPr>
        <w:t>workflows/</w:t>
      </w:r>
    </w:p>
    <w:p>
      <w:pPr>
        <w:spacing w:after="120" w:line="259" w:lineRule="auto"/>
        <w:jc w:val="both"/>
      </w:pPr>
      <w:r>
        <w:rPr>
          <w:rFonts w:ascii="Times New Roman" w:hAnsi="Times New Roman"/>
          <w:sz w:val="21"/>
        </w:rPr>
        <w:t>commands.md</w:t>
      </w:r>
    </w:p>
    <w:p>
      <w:pPr>
        <w:spacing w:after="120" w:line="259" w:lineRule="auto"/>
        <w:jc w:val="both"/>
      </w:pPr>
      <w:r>
        <w:rPr>
          <w:rFonts w:ascii="Times New Roman" w:hAnsi="Times New Roman"/>
          <w:sz w:val="21"/>
        </w:rPr>
        <w:t>software_versions.tsv</w:t>
      </w:r>
    </w:p>
    <w:p>
      <w:pPr>
        <w:spacing w:after="120" w:line="259" w:lineRule="auto"/>
        <w:jc w:val="both"/>
      </w:pPr>
      <w:r>
        <w:rPr>
          <w:rFonts w:ascii="Times New Roman" w:hAnsi="Times New Roman"/>
          <w:sz w:val="21"/>
        </w:rPr>
        <w:t>dogfirst_coassembly_and_basalt_workflow_20260708.md</w:t>
      </w:r>
    </w:p>
    <w:p>
      <w:pPr>
        <w:spacing w:after="120" w:line="259" w:lineRule="auto"/>
        <w:jc w:val="both"/>
      </w:pPr>
      <w:r>
        <w:rPr>
          <w:rFonts w:ascii="Times New Roman" w:hAnsi="Times New Roman"/>
          <w:sz w:val="21"/>
        </w:rPr>
        <w:t>scripts/</w:t>
      </w:r>
    </w:p>
    <w:p>
      <w:pPr>
        <w:spacing w:after="120" w:line="259" w:lineRule="auto"/>
        <w:jc w:val="both"/>
      </w:pPr>
      <w:r>
        <w:rPr>
          <w:rFonts w:ascii="Times New Roman" w:hAnsi="Times New Roman"/>
          <w:sz w:val="21"/>
        </w:rPr>
        <w:t>Supplementary Table 4 links each public dog-wise assembly identifier to public read and sample identifiers, read role, sequencing platform, ENA study accession and checksum fields where available. The two workflow-named Toti/Dog_M0 NovaSeq FASTQs are linked to their corresponding public R1 and R2 ENA runs under PRJEB75753.</w:t>
      </w:r>
    </w:p>
    <w:p>
      <w:pPr>
        <w:spacing w:after="120" w:line="259" w:lineRule="auto"/>
        <w:jc w:val="both"/>
      </w:pPr>
      <w:r>
        <w:rPr>
          <w:rFonts w:ascii="Times New Roman" w:hAnsi="Times New Roman"/>
          <w:sz w:val="21"/>
        </w:rPr>
        <w:t>The manuscript Methods, public workflow scripts and supplementary provenance tables record dog-wise assembly generation, BASALT input construction, CheckM2 use, operational quality filtering and downstream catalogue finalisation.</w:t>
      </w:r>
    </w:p>
    <w:p>
      <w:pPr>
        <w:spacing w:after="120" w:line="259" w:lineRule="auto"/>
        <w:jc w:val="both"/>
      </w:pPr>
      <w:r>
        <w:rPr>
          <w:rFonts w:ascii="Times New Roman" w:hAnsi="Times New Roman"/>
          <w:sz w:val="21"/>
        </w:rPr>
        <w:t>Raw sequencing reads, derived MAG BioSamples and MAG assembly records have been deposited in the European Nucleotide Archive (ENA) at EMBL-EBI under study accession PRJEB115259. The raw sequencing sample records comprise 84 faecal metagenome samples registered under ERS30645926-ERS30646009. The derived MAG BioSample records comprise 135 DogMAG ANI95 representatives registered under ERS31049448-ERS31049582. Of these 135 representative MAGs, 122 multi-contig MAG assemblies passed Webin-CLI validation and were submitted as ENA genome assembly analysis records. Their ERZ accessions, together with the deposition status of all 135 representatives, are listed in Supplementary Table 9. The remaining 13 representatives are single-contig MAGs whose FASTA sequences and MAG BioSample records are retained in the DogMAG data package; their ENA assembly-analysis submission remains pending guidance on the appropriate route because Webin-CLI requires at least two sequences for CONTIG submissions.</w:t>
      </w:r>
    </w:p>
    <w:p>
      <w:pPr>
        <w:pStyle w:val="Heading2"/>
      </w:pPr>
      <w:r>
        <w:t>Data Overview</w:t>
      </w:r>
    </w:p>
    <w:p>
      <w:pPr>
        <w:spacing w:after="120" w:line="259" w:lineRule="auto"/>
        <w:jc w:val="both"/>
      </w:pPr>
      <w:r>
        <w:rPr>
          <w:rFonts w:ascii="Times New Roman" w:hAnsi="Times New Roman"/>
          <w:sz w:val="21"/>
        </w:rPr>
        <w:t>The DogMAG data resource consists of five linked layers: input read provenance, dog-wise assemblies, BASALT-derived MAG candidate records, externally dereplicated MAG representatives and viral/prophage candidate records.</w:t>
      </w:r>
    </w:p>
    <w:p>
      <w:pPr>
        <w:spacing w:after="120" w:line="259" w:lineRule="auto"/>
        <w:jc w:val="both"/>
      </w:pPr>
      <w:r>
        <w:rPr>
          <w:rFonts w:ascii="Times New Roman" w:hAnsi="Times New Roman"/>
          <w:b/>
          <w:sz w:val="21"/>
        </w:rPr>
        <w:t>Read provenance.</w:t>
      </w:r>
      <w:r>
        <w:rPr>
          <w:rFonts w:ascii="Times New Roman" w:hAnsi="Times New Roman"/>
          <w:sz w:val="21"/>
        </w:rPr>
        <w:t xml:space="preserve"> The read-to-assembly manifest links 277 FASTQ records to the 41 final dog-wise BASALT input assemblies. The public supplementary table uses privacy-preserving sample and assembly identifiers.</w:t>
      </w:r>
    </w:p>
    <w:p>
      <w:pPr>
        <w:spacing w:after="120" w:line="259" w:lineRule="auto"/>
        <w:jc w:val="both"/>
      </w:pPr>
      <w:r>
        <w:rPr>
          <w:rFonts w:ascii="Times New Roman" w:hAnsi="Times New Roman"/>
          <w:b/>
          <w:sz w:val="21"/>
        </w:rPr>
        <w:t>Dog-wise assemblies.</w:t>
      </w:r>
      <w:r>
        <w:rPr>
          <w:rFonts w:ascii="Times New Roman" w:hAnsi="Times New Roman"/>
          <w:sz w:val="21"/>
        </w:rPr>
        <w:t xml:space="preserve"> The final BASALT input assembly set contains 30 Flye long-read-only assemblies and 11 OPERA-MS hybrid assemblies filtered at a minimum contig length of 1,500 bp.</w:t>
      </w:r>
    </w:p>
    <w:p>
      <w:pPr>
        <w:spacing w:after="120" w:line="259" w:lineRule="auto"/>
        <w:jc w:val="both"/>
      </w:pPr>
      <w:r>
        <w:rPr>
          <w:rFonts w:ascii="Times New Roman" w:hAnsi="Times New Roman"/>
          <w:b/>
          <w:sz w:val="21"/>
        </w:rPr>
        <w:t>BASALT workflow summary and reselected candidates.</w:t>
      </w:r>
      <w:r>
        <w:rPr>
          <w:rFonts w:ascii="Times New Roman" w:hAnsi="Times New Roman"/>
          <w:sz w:val="21"/>
        </w:rPr>
        <w:t xml:space="preserve"> BASALT selected 11,276 bin/version records, and the internal final comparison table contained 30,556 polished or reassembled candidate versions. These values document workflow attrition. The reusable pre-dereplication genome layer comprises the 3,418 reselected medium-quality-or-better candidates reported in Supplementary Table 2; the complete BASALT workspace and all transient candidate-version files are not deposited.</w:t>
      </w:r>
    </w:p>
    <w:p>
      <w:pPr>
        <w:spacing w:after="120" w:line="259" w:lineRule="auto"/>
        <w:jc w:val="both"/>
      </w:pPr>
      <w:r>
        <w:rPr>
          <w:rFonts w:ascii="Times New Roman" w:hAnsi="Times New Roman"/>
          <w:b/>
          <w:sz w:val="21"/>
        </w:rPr>
        <w:t>Reselected and externally dereplicated MAGs.</w:t>
      </w:r>
      <w:r>
        <w:rPr>
          <w:rFonts w:ascii="Times New Roman" w:hAnsi="Times New Roman"/>
          <w:sz w:val="21"/>
        </w:rPr>
        <w:t xml:space="preserve"> Explicit completeness/contamination-based candidate re-selection retained 3,418 medium-quality-or-better MAG candidates. External dRep dereplication yielded 792 99% ANI strain-like representatives and 135 95% ANI species/SGB-like representatives. GTDB-Tk taxonomy is provided for all 792 strain-like representatives.</w:t>
      </w:r>
    </w:p>
    <w:p>
      <w:pPr>
        <w:spacing w:after="120" w:line="259" w:lineRule="auto"/>
        <w:jc w:val="both"/>
      </w:pPr>
      <w:r>
        <w:rPr>
          <w:rFonts w:ascii="Times New Roman" w:hAnsi="Times New Roman"/>
          <w:b/>
          <w:sz w:val="21"/>
        </w:rPr>
        <w:t>Viral/prophage candidates.</w:t>
      </w:r>
      <w:r>
        <w:rPr>
          <w:rFonts w:ascii="Times New Roman" w:hAnsi="Times New Roman"/>
          <w:sz w:val="21"/>
        </w:rPr>
        <w:t xml:space="preserve"> geNomad and CheckV outputs are provided for unbinned/free-virus candidates and binned/prophage-context candidates. The final contamination-filtered Complete/High/Medium set contains 3,374 viral/proviral candidate rows representing 3,282 unique source-contig MD5s.</w:t>
      </w:r>
    </w:p>
    <w:p>
      <w:pPr>
        <w:spacing w:after="120" w:line="259" w:lineRule="auto"/>
        <w:jc w:val="both"/>
      </w:pPr>
      <w:r>
        <w:rPr>
          <w:rFonts w:ascii="Times New Roman" w:hAnsi="Times New Roman"/>
          <w:sz w:val="21"/>
        </w:rPr>
        <w:t>The main article reports the 99% ANI representative set as the DogMAG strain-like MAG catalogue comparison layer and the 95% ANI set as a species/SGB-like comparison layer. The full pre-dereplication candidate pool remains available for users who want to rerun dereplication, compare scoring schemes or recover candidates under alternative thresholds.</w:t>
      </w:r>
    </w:p>
    <w:p>
      <w:pPr>
        <w:pStyle w:val="Heading2"/>
      </w:pPr>
      <w:r>
        <w:t>Technical Validation</w:t>
      </w:r>
    </w:p>
    <w:p>
      <w:pPr>
        <w:pStyle w:val="Heading3"/>
      </w:pPr>
      <w:r>
        <w:t>Assembly and MAG catalogue consistency</w:t>
      </w:r>
    </w:p>
    <w:p>
      <w:pPr>
        <w:spacing w:after="120" w:line="259" w:lineRule="auto"/>
        <w:jc w:val="both"/>
      </w:pPr>
      <w:r>
        <w:rPr>
          <w:rFonts w:ascii="Times New Roman" w:hAnsi="Times New Roman"/>
          <w:sz w:val="21"/>
        </w:rPr>
        <w:t>The final assembly layer comprises 41 dog-wise BASALT input assemblies linked to 277 FASTQ records in Supplementary Table 4: 30 Flye long-read-only assemblies and 11 OPERA-MS hybrid long-read/short-read assemblies. The same 41 public assembly identifiers are represented in the BASALT assembly index and final input list, linking all 277 FASTQ records to the assembly files and genome-recovery workflow.</w:t>
      </w:r>
    </w:p>
    <w:p>
      <w:pPr>
        <w:spacing w:after="120" w:line="259" w:lineRule="auto"/>
        <w:jc w:val="both"/>
      </w:pPr>
      <w:r>
        <w:rPr>
          <w:rFonts w:ascii="Times New Roman" w:hAnsi="Times New Roman"/>
          <w:sz w:val="21"/>
        </w:rPr>
        <w:t>The completed BASALT result contained 11,276 selected bin/version records and a comparison table with 30,556 polished or reassembled candidate versions. Candidate re-selection evaluated all 30,556 candidate rows across 11,276 original bin groups and retained 3,418 medium-quality-or-better groups. The remaining 7,858 groups did not contain an eligible candidate under the DogMAG completeness and contamination thresholds. Among retained groups, 503 candidates met the high-completeness/low-contamination threshold and 2,915 were medium-only.</w:t>
      </w:r>
    </w:p>
    <w:p>
      <w:pPr>
        <w:spacing w:after="120" w:line="259" w:lineRule="auto"/>
        <w:jc w:val="both"/>
      </w:pPr>
      <w:r>
        <w:rPr>
          <w:rFonts w:ascii="Times New Roman" w:hAnsi="Times New Roman"/>
          <w:sz w:val="21"/>
        </w:rPr>
        <w:t>External dRep dereplication was run on the reselected candidate FASTA set. dRep retained 3,222 genomes after its internal quality filtering, corresponding to 94.27% of the reselected pool. The 99% ANI run produced 792 strain-like representatives and the 95% ANI run produced 135 species/SGB-like representatives. These external dereplication outputs are reported as catalogue-comparison layers, separately from BASALT's internal redundancy handling and from the raw 11,276 selected bin/version records.</w:t>
      </w:r>
    </w:p>
    <w:p>
      <w:pPr>
        <w:pStyle w:val="Heading3"/>
      </w:pPr>
      <w:r>
        <w:t>Genome taxonomy coverage</w:t>
      </w:r>
    </w:p>
    <w:p>
      <w:pPr>
        <w:spacing w:after="120" w:line="259" w:lineRule="auto"/>
        <w:jc w:val="both"/>
      </w:pPr>
      <w:r>
        <w:rPr>
          <w:rFonts w:ascii="Times New Roman" w:hAnsi="Times New Roman"/>
          <w:sz w:val="21"/>
        </w:rPr>
        <w:t>GTDB-Tk validation confirmed that all 792 99% ANI representatives were classified as Bacteria. No genomes were present in the GTDB-Tk excluded-genomes summary. Rank-level completeness was high: all 792 representatives received phylum-, class-, order- and family-level assignments, 791 received genus assignments and 768 received species labels. The dominant phyla were Bacillota (449), Bacteroidota (120), Actinomycetota (74), Bacillota_I (50), Fusobacteriota (43), Pseudomonadota (42). The most common genera included Blautia (95), Blautia_A (64), Collinsella (62), Phocaeicola (49), Faecalimonas (41), Peptacetobacter (40). The most common species labels included Blautia hansenii (42), Collinsella intestinalis (40), Blautia sp900556555 (36), Blautia_A sp900541345 (34) and Mediterraneibacter gnavus (30). These summaries are descriptive taxonomy results for the final 99% ANI representative set and are release-specific to the GTDB-Tk and representative-selection versions used here.</w:t>
      </w:r>
    </w:p>
    <w:p>
      <w:pPr>
        <w:pStyle w:val="Heading3"/>
      </w:pPr>
      <w:r>
        <w:t>Independent reference-panel read recruitment</w:t>
      </w:r>
    </w:p>
    <w:p>
      <w:pPr>
        <w:spacing w:after="120" w:line="259" w:lineRule="auto"/>
        <w:jc w:val="both"/>
      </w:pPr>
      <w:r>
        <w:rPr>
          <w:rFonts w:ascii="Times New Roman" w:hAnsi="Times New Roman"/>
          <w:sz w:val="21"/>
        </w:rPr>
        <w:t>Read recruitment against the DogMAG 95% ANI representative panel was evaluated relative to bacterial RefSeq using identical ONT mapping and taxonomic-assignment parameters implemented in minitax [4]. The balanced validation set comprised 23 long-read libraries from the mixed-kennel source cohort and 23 independent Waltham canine gut metagenomes; the latter provide an external assessment because they did not contribute to construction of the DogMAG catalogue. The two mapping arms contained identical primary-read denominators for all 46 libraries, representing 28,831,616 primary reads in total, and no library was missing from either arm.</w:t>
      </w:r>
    </w:p>
    <w:p>
      <w:pPr>
        <w:spacing w:after="120" w:line="259" w:lineRule="auto"/>
        <w:jc w:val="both"/>
      </w:pPr>
      <w:r>
        <w:rPr>
          <w:rFonts w:ascii="Times New Roman" w:hAnsi="Times New Roman"/>
          <w:sz w:val="21"/>
        </w:rPr>
        <w:t>Across all libraries, the median fraction of primary reads recruited was 61.07% for bacterial RefSeq (interquartile range (IQR), 47.96-70.98%) and 79.07% for DogMAG (IQR, 73.79-84.23%), corresponding to a median paired increase of 18.42 percentage points. DogMAG recruited a higher fraction in 44 of 46 libraries (two-sided exact sign-test P = 3.08e-11). The pooled read-weighted recruitment fractions were 55.03% and 75.28%, respectively, equivalent to 5,840,706 additional primary reads recruited by DogMAG under the matched workflow. Final BestAln taxonomic assignments showed a similar pattern: median assigned fractions were 60.21% for RefSeq (IQR, 46.54-70.09%) and 78.88% for DogMAG (IQR, 73.35-84.00%), corresponding to a median paired increase of 19.08 percentage points. DogMAG was higher in 45 of 46 libraries (P = 1.34e-12), and the pooled analysis contained 6,062,332 additional assigned reads.</w:t>
      </w:r>
    </w:p>
    <w:p>
      <w:pPr>
        <w:spacing w:after="120" w:line="259" w:lineRule="auto"/>
        <w:jc w:val="both"/>
      </w:pPr>
      <w:r>
        <w:rPr>
          <w:rFonts w:ascii="Times New Roman" w:hAnsi="Times New Roman"/>
          <w:sz w:val="21"/>
        </w:rPr>
        <w:t>The independent Waltham cohort showed the clearest gain. Median primary-read recruitment increased from 51.02% with RefSeq (IQR, 46.41-62.20%) to 75.73% with DogMAG (IQR, 72.66-79.58%), with a median paired increase of 23.89 percentage points; DogMAG was higher for all 23 Waltham libraries (P = 2.38e-7). Median final assignment increased from 49.84% to 75.48%, with a median paired increase of 24.59 percentage points. In the mixed-kennel source cohort, median recruitment increased from 69.90% to 84.32% (median paired increase, 15.44 percentage points), and median final assignment increased from 69.08% to 84.09% (median paired increase, 15.85 percentage points). Among mapped primary reads, the median fraction receiving a final assignment was 98.32% for RefSeq and 99.65% for DogMAG. These results support higher canine gut read recruitment and final assignment by the DogMAG panel in this matched comparison (Fig. 6); they are not interpreted as biological differences between cohorts or as direct comparisons of database-specific community composition.</w:t>
      </w:r>
    </w:p>
    <w:p>
      <w:pPr>
        <w:pStyle w:val="Heading3"/>
      </w:pPr>
      <w:r>
        <w:t>Viral/prophage candidate quality control</w:t>
      </w:r>
    </w:p>
    <w:p>
      <w:pPr>
        <w:spacing w:after="120" w:line="259" w:lineRule="auto"/>
        <w:jc w:val="both"/>
      </w:pPr>
      <w:r>
        <w:rPr>
          <w:rFonts w:ascii="Times New Roman" w:hAnsi="Times New Roman"/>
          <w:sz w:val="21"/>
        </w:rPr>
        <w:t>Viral validation used geNomad prediction followed by CheckV quality estimation and contamination filtering. The unbinned branch produced 18,150 geNomad viral predictions and the binned/prophage-context branch produced 3,918, for 22,068 viral predictions in total. After retaining only CheckV Complete, High-quality or Medium-quality candidates with contamination &lt;= 10%, 2,306 unbinned and 1,068 binned/prophage-context candidate rows remained. The combined final filtered table contained 3,374 rows, 3,282 unique source-contig MD5s, median length 39,364 bp, median CheckV completeness 87.14% and median CheckV contamination 0.00%.</w:t>
      </w:r>
    </w:p>
    <w:p>
      <w:pPr>
        <w:spacing w:after="120" w:line="259" w:lineRule="auto"/>
        <w:jc w:val="both"/>
      </w:pPr>
      <w:r>
        <w:rPr>
          <w:rFonts w:ascii="Times New Roman" w:hAnsi="Times New Roman"/>
          <w:sz w:val="21"/>
        </w:rPr>
        <w:t>The final filtered viral candidates were Caudoviricetes-dominated at the class-like geNomad taxonomy field (Caudoviricetes (3,299), Malgrandaviricetes (51), Arfiviricetes (8), Quintoviricetes (6), unclassified (5), Faserviricetes (3) and Revtraviricetes (2)). These class-like assignments account for all 3,374 final filtered candidate rows. Because viral dereplication was not performed, these counts describe candidate viral/proviral sequences and source-contig contexts rather than nonredundant vOTUs (Fig. 7).</w:t>
      </w:r>
    </w:p>
    <w:p>
      <w:pPr>
        <w:pStyle w:val="Heading2"/>
      </w:pPr>
      <w:r>
        <w:t>Usage Notes</w:t>
      </w:r>
    </w:p>
    <w:p>
      <w:pPr>
        <w:spacing w:after="120" w:line="259" w:lineRule="auto"/>
        <w:jc w:val="both"/>
      </w:pPr>
      <w:r>
        <w:rPr>
          <w:rFonts w:ascii="Times New Roman" w:hAnsi="Times New Roman"/>
          <w:sz w:val="21"/>
        </w:rPr>
        <w:t>Users should select the DogMAG file layer that matches their analysis question. The 41 filtered dog-wise assembly FASTA files are the appropriate starting point for assembly-level remapping, contig-level annotation and independent viral discovery. Summary-level BASALT provenance and attrition metadata support workflow audit without requiring release of the complete transient BASALT workspace. The 3,418 reselected medium-quality-or-better MAG candidates and Supplementary Table 2 provide the pre-dereplication genome pool for users who want to apply alternative catalogue-unit definitions.</w:t>
      </w:r>
    </w:p>
    <w:p>
      <w:pPr>
        <w:spacing w:after="120" w:line="259" w:lineRule="auto"/>
        <w:jc w:val="both"/>
      </w:pPr>
      <w:r>
        <w:rPr>
          <w:rFonts w:ascii="Times New Roman" w:hAnsi="Times New Roman"/>
          <w:sz w:val="21"/>
        </w:rPr>
        <w:t>Together with the deposited GTDB-Tk-derived taxonomy table, the DogMAG 95% ANI representative collection can be configured as a minitax reference panel to generate rapid, detailed reference-based taxonomic composition profiles from canine gut metagenomes. This provides per-read recruitment and taxonomic-assignment summaries across the represented bacterial lineages. Resulting profiles should be interpreted relative to the taxonomic and genomic coverage of DogMAG rather than as exhaustive measurements of all organisms present in a sample.</w:t>
      </w:r>
    </w:p>
    <w:p>
      <w:pPr>
        <w:spacing w:after="120" w:line="259" w:lineRule="auto"/>
        <w:jc w:val="both"/>
      </w:pPr>
      <w:r>
        <w:rPr>
          <w:rFonts w:ascii="Times New Roman" w:hAnsi="Times New Roman"/>
          <w:sz w:val="21"/>
        </w:rPr>
        <w:t>Users should not treat BASALT bin selection as equivalent to a defined external ANI threshold. If species-level or strain-level units are required, users should rely on the external dereplication tables or rerun dereplication at their chosen thresholds using the deposited genome FASTA files and metadata. The 792 99% ANI representatives should be interpreted as the DogMAG strain-like comparison layer. The 135 95% ANI output should be interpreted as a species/SGB-like clustering layer, not as official SGB assignments.</w:t>
      </w:r>
    </w:p>
    <w:p>
      <w:pPr>
        <w:spacing w:after="120" w:line="259" w:lineRule="auto"/>
        <w:jc w:val="both"/>
      </w:pPr>
      <w:r>
        <w:rPr>
          <w:rFonts w:ascii="Times New Roman" w:hAnsi="Times New Roman"/>
          <w:sz w:val="21"/>
        </w:rPr>
        <w:t>When comparing DogMAG with other genome-resolved resources, users should match catalogue units carefully. The 99% ANI DogMAG layer can support strain-level catalogue context, whereas the 95% ANI layer provides species/SGB-like context; neither should be treated as directly equivalent to catalogues generated with different sample scopes, clustering thresholds, placement workflows or reporting conventions. External resources such as Branck et al. and Waltham should therefore be cited as complementary biological and methodological context rather than as strict numerical benchmarks [7,8].</w:t>
      </w:r>
    </w:p>
    <w:p>
      <w:pPr>
        <w:spacing w:after="120" w:line="259" w:lineRule="auto"/>
        <w:jc w:val="both"/>
      </w:pPr>
      <w:r>
        <w:rPr>
          <w:rFonts w:ascii="Times New Roman" w:hAnsi="Times New Roman"/>
          <w:sz w:val="21"/>
        </w:rPr>
        <w:t>The reference-panel validation tables should be used as a technical read-recruitment benchmark rather than as a substitute for biological community analysis. DogMAG recruitment in the mixed-kennel libraries is a source-cohort measure and may be favoured because those data contributed to catalogue construction. The Waltham subset is the independent validation layer. Database-specific taxonomic abundances, ecological differences between cohorts and biological associations are outside the scope of this Data Descriptor.</w:t>
      </w:r>
    </w:p>
    <w:p>
      <w:pPr>
        <w:spacing w:after="120" w:line="259" w:lineRule="auto"/>
        <w:jc w:val="both"/>
      </w:pPr>
      <w:r>
        <w:rPr>
          <w:rFonts w:ascii="Times New Roman" w:hAnsi="Times New Roman"/>
          <w:sz w:val="21"/>
        </w:rPr>
        <w:t>The unbinned viral candidate FASTA and table provide the cleaner free-virus discovery layer after final viral screening. MAG-associated viral/prophage candidates provide host-context and prophage-oriented records because these contigs are linked to BASALT bin/MAG candidates. Viral taxonomic assignments are reference-database-dependent annotations, especially at order, family and lower ranks. The viral results reported here are not dereplicated vOTUs; users requiring vOTU catalogues can perform viral dereplication on the deposited candidate sequences.</w:t>
      </w:r>
    </w:p>
    <w:p>
      <w:pPr>
        <w:spacing w:after="120" w:line="259" w:lineRule="auto"/>
        <w:jc w:val="both"/>
      </w:pPr>
      <w:r>
        <w:rPr>
          <w:rFonts w:ascii="Times New Roman" w:hAnsi="Times New Roman"/>
          <w:sz w:val="21"/>
        </w:rPr>
        <w:t>Previously published amplicon, short-read shotgun and source-cohort datasets linked to these samples are cited separately when reused for biological analyses. The DogMAG Data Descriptor is the citation target for the dog-wise assemblies, BASALT dog-first workflow outputs, final MAG representatives, viral/prophage candidates, metadata and workflow provenance described here.</w:t>
      </w:r>
    </w:p>
    <w:p>
      <w:pPr>
        <w:pStyle w:val="Heading2"/>
      </w:pPr>
      <w:r>
        <w:t>Figure Legends</w:t>
      </w:r>
    </w:p>
    <w:p>
      <w:pPr>
        <w:spacing w:after="120" w:line="259" w:lineRule="auto"/>
        <w:jc w:val="both"/>
      </w:pPr>
      <w:r>
        <w:rPr>
          <w:rFonts w:ascii="Times New Roman" w:hAnsi="Times New Roman"/>
          <w:b/>
          <w:sz w:val="21"/>
        </w:rPr>
        <w:t>Figure 1. Dog-first assembly design and read-to-assembly provenance.</w:t>
      </w:r>
      <w:r>
        <w:rPr>
          <w:rFonts w:ascii="Times New Roman" w:hAnsi="Times New Roman"/>
          <w:sz w:val="21"/>
        </w:rPr>
        <w:t xml:space="preserve"> Schematic of the DogMAG dog-first workflow. Sequencing libraries are grouped by canonical dog identity before assembly. Dogs with long-read data and no retained short-read support are assembled with Flye in metagenome mode, whereas dogs with retained long-read and short-read support are assembled with OPERA-MS. The final BASALT input set comprises 30 Flye long-read-only assemblies and 11 OPERA-MS hybrid assemblies linked to 277 FASTQ records in the read-to-assembly manifest.</w:t>
      </w:r>
    </w:p>
    <w:p>
      <w:pPr>
        <w:spacing w:after="120" w:line="259" w:lineRule="auto"/>
        <w:jc w:val="both"/>
      </w:pPr>
      <w:r>
        <w:rPr>
          <w:rFonts w:ascii="Times New Roman" w:hAnsi="Times New Roman"/>
          <w:b/>
          <w:sz w:val="21"/>
        </w:rPr>
        <w:t>Figure 2. Final BASALT assembly classes and read-provenance coverage.</w:t>
      </w:r>
      <w:r>
        <w:rPr>
          <w:rFonts w:ascii="Times New Roman" w:hAnsi="Times New Roman"/>
          <w:sz w:val="21"/>
        </w:rPr>
        <w:t xml:space="preserve"> Summary of the 41 dog-wise assemblies used as final BASALT inputs and the 277 FASTQ records linked to them in the read-to-assembly manifest. The final BASALT input layer contains 30 Flye long-read-only assemblies and 11 OPERA-MS hybrid assemblies. Counts are grouped by assembly class and manifest coverage rather than by historical project subset.</w:t>
      </w:r>
    </w:p>
    <w:p>
      <w:pPr>
        <w:spacing w:after="120" w:line="259" w:lineRule="auto"/>
        <w:jc w:val="both"/>
      </w:pPr>
      <w:r>
        <w:rPr>
          <w:rFonts w:ascii="Times New Roman" w:hAnsi="Times New Roman"/>
          <w:b/>
          <w:sz w:val="21"/>
        </w:rPr>
        <w:t>Figure 3. Dog-first BASALT workflow.</w:t>
      </w:r>
      <w:r>
        <w:rPr>
          <w:rFonts w:ascii="Times New Roman" w:hAnsi="Times New Roman"/>
          <w:sz w:val="21"/>
        </w:rPr>
        <w:t xml:space="preserve"> Overview of BASALT workspace construction, assembly filtering, binner outputs, CheckM2 quality estimation, BASALT bin selection, long-read-supported bin context, candidate re-selection and final candidate-bin generation. The workflow selected 11,276 BASALT bin/version records from 30,556 candidate versions and retained 3,418 medium-quality-or-better MAG candidates after explicit completeness/contamination-based re-selection.</w:t>
      </w:r>
    </w:p>
    <w:p>
      <w:pPr>
        <w:spacing w:after="120" w:line="259" w:lineRule="auto"/>
        <w:jc w:val="both"/>
      </w:pPr>
      <w:r>
        <w:rPr>
          <w:rFonts w:ascii="Times New Roman" w:hAnsi="Times New Roman"/>
          <w:b/>
          <w:sz w:val="21"/>
        </w:rPr>
        <w:t>Figure 4. MAG candidate attrition and quality distribution.</w:t>
      </w:r>
      <w:r>
        <w:rPr>
          <w:rFonts w:ascii="Times New Roman" w:hAnsi="Times New Roman"/>
          <w:sz w:val="21"/>
        </w:rPr>
        <w:t xml:space="preserve"> Attrition from 11,276 BASALT selected bin/version records and 30,556 polished/reassembled candidate versions to 3,418 medium-quality-or-better reselected MAG candidates, including 503 high-completeness/low-contamination candidates and 2,915 medium-only candidates. External catalogue-unit dRep dereplication yielded 792 99% ANI strain-like representatives and 135 95% ANI species/SGB-like representatives. Panels show candidate attrition, operational quality classes and catalogue-unit dereplication counts for the BASALT-derived candidate pool and dereplicated representative sets.</w:t>
      </w:r>
    </w:p>
    <w:p>
      <w:pPr>
        <w:spacing w:after="120" w:line="259" w:lineRule="auto"/>
        <w:jc w:val="both"/>
      </w:pPr>
      <w:r>
        <w:rPr>
          <w:rFonts w:ascii="Times New Roman" w:hAnsi="Times New Roman"/>
          <w:b/>
          <w:sz w:val="21"/>
        </w:rPr>
        <w:t>Figure 5. GTDB-Tk taxonomic composition of 792 dRep99 representatives.</w:t>
      </w:r>
      <w:r>
        <w:rPr>
          <w:rFonts w:ascii="Times New Roman" w:hAnsi="Times New Roman"/>
          <w:sz w:val="21"/>
        </w:rPr>
        <w:t xml:space="preserve"> Descriptive alluvial summary of GTDB-Tk taxonomy for the 792 externally dereplicated 99% ANI representatives. All representatives were classified as Bacteria, with species labels assigned for 768 representatives and genus labels for 791. Dominant phyla were Bacillota (449), Bacteroidota (120), Actinomycetota (74), Bacillota_I (50), Fusobacteriota (43) and Pseudomonadota (42). Flows show genome counts from phylum to class, order, family and genus; long-tailed ranks are collapsed into rank-specific Other categories where needed, and colours follow the phylum-level assignment.</w:t>
      </w:r>
    </w:p>
    <w:p>
      <w:pPr>
        <w:spacing w:after="120" w:line="259" w:lineRule="auto"/>
        <w:jc w:val="both"/>
      </w:pPr>
      <w:r>
        <w:rPr>
          <w:rFonts w:ascii="Times New Roman" w:hAnsi="Times New Roman"/>
          <w:b/>
          <w:sz w:val="21"/>
        </w:rPr>
        <w:t>Figure 6. DogMAG read recruitment and taxonomic assignment relative to bacterial RefSeq.</w:t>
      </w:r>
      <w:r>
        <w:rPr>
          <w:rFonts w:ascii="Times New Roman" w:hAnsi="Times New Roman"/>
          <w:sz w:val="21"/>
        </w:rPr>
        <w:t xml:space="preserve"> Paired primary-read recruitment and final assigned-read fractions for 23 mixed-kennel source-cohort libraries and 23 independent Waltham canine gut ONT metagenomes analysed against bacterial RefSeq and the 135-member DogMAG 95% ANI representative panel using minitax. Points represent individual libraries and grey lines connect results obtained from the same library against the two reference panels. Large diamonds show cohort medians and thick vertical bars show interquartile ranges. Median values are printed below each reference panel. P values are from two-sided exact binomial sign tests of the paired direction of change after excluding exact ties. In the mixed-kennel source cohort, median recruitment increased from 69.90% to 84.32% and median final assignment increased from 69.08% to 84.09%. In the independent Waltham cohort, median recruitment increased from 51.02% to 75.73% and median final assignment increased from 49.84% to 75.48%.</w:t>
      </w:r>
    </w:p>
    <w:p>
      <w:pPr>
        <w:spacing w:after="120" w:line="259" w:lineRule="auto"/>
        <w:jc w:val="both"/>
      </w:pPr>
      <w:r>
        <w:rPr>
          <w:rFonts w:ascii="Times New Roman" w:hAnsi="Times New Roman"/>
          <w:b/>
          <w:sz w:val="21"/>
        </w:rPr>
        <w:t>Figure 7. Viral and prophage candidate overview.</w:t>
      </w:r>
      <w:r>
        <w:rPr>
          <w:rFonts w:ascii="Times New Roman" w:hAnsi="Times New Roman"/>
          <w:sz w:val="21"/>
        </w:rPr>
        <w:t xml:space="preserve"> Summary of unbinned/free-virus candidates and MAG-associated viral/prophage candidates generated from the final dog-first assembly and BASALT context. geNomad predicted 22,068 viral sequences, of which 3,374 candidate rows passed the final CheckV Complete, High-quality or Medium-quality (CHM) and contamination &lt;= 10% criteria, representing 3,282 unique source-contig MD5s. Viral class-like assignments were dominated by </w:t>
      </w:r>
      <w:r>
        <w:rPr>
          <w:rFonts w:ascii="Times New Roman" w:hAnsi="Times New Roman"/>
          <w:i/>
          <w:sz w:val="21"/>
        </w:rPr>
        <w:t>Caudoviricetes</w:t>
      </w:r>
      <w:r>
        <w:rPr>
          <w:rFonts w:ascii="Times New Roman" w:hAnsi="Times New Roman"/>
          <w:sz w:val="21"/>
        </w:rPr>
        <w:t>. These records are candidate viral or proviral sequences and have not been dereplicated into vOTUs.</w:t>
      </w:r>
    </w:p>
    <w:p>
      <w:pPr>
        <w:pStyle w:val="Heading2"/>
      </w:pPr>
      <w:r>
        <w:t>Supplementary Table Legends</w:t>
      </w:r>
    </w:p>
    <w:p>
      <w:pPr>
        <w:spacing w:after="120" w:line="259" w:lineRule="auto"/>
        <w:jc w:val="both"/>
      </w:pPr>
      <w:r>
        <w:rPr>
          <w:rFonts w:ascii="Times New Roman" w:hAnsi="Times New Roman"/>
          <w:b/>
          <w:sz w:val="21"/>
        </w:rPr>
        <w:t>Supplementary Table 1. Dog-first bin/MAG attrition (20260727).</w:t>
      </w:r>
      <w:r>
        <w:rPr>
          <w:rFonts w:ascii="Times New Roman" w:hAnsi="Times New Roman"/>
          <w:sz w:val="21"/>
        </w:rPr>
        <w:t xml:space="preserve"> BASALT selected bin/version records, candidate versions, reselected medium-quality-or-better MAG candidates, high-completeness/low-contamination candidates, medium-only candidates and final externally dereplicated representatives, with counts removed at each filtering/dereplication step.</w:t>
      </w:r>
    </w:p>
    <w:p>
      <w:pPr>
        <w:spacing w:after="120" w:line="259" w:lineRule="auto"/>
        <w:jc w:val="both"/>
      </w:pPr>
      <w:r>
        <w:rPr>
          <w:rFonts w:ascii="Times New Roman" w:hAnsi="Times New Roman"/>
          <w:b/>
          <w:sz w:val="21"/>
        </w:rPr>
        <w:t>Supplementary Table 2. MAG candidate and representative metadata (20260727).</w:t>
      </w:r>
      <w:r>
        <w:rPr>
          <w:rFonts w:ascii="Times New Roman" w:hAnsi="Times New Roman"/>
          <w:sz w:val="21"/>
        </w:rPr>
        <w:t xml:space="preserve"> Stable candidate and original-bin identifiers; selected and source FASTA names and portable paths; source origin and file checksums; binner or reassembly class; CheckM2 completeness and contamination; genome size, N50 and quality score; operational quality class; candidate counts per original bin group; dRep internal-filter, cluster and representative fields at 99% and 95% ANI; and GTDB-Tk classification fields where available. Blank dRep and GTDB-Tk fields identify the 196 candidates not retained by dRep's internal filtering.</w:t>
      </w:r>
    </w:p>
    <w:p>
      <w:pPr>
        <w:spacing w:after="120" w:line="259" w:lineRule="auto"/>
        <w:jc w:val="both"/>
      </w:pPr>
      <w:r>
        <w:rPr>
          <w:rFonts w:ascii="Times New Roman" w:hAnsi="Times New Roman"/>
          <w:b/>
          <w:sz w:val="21"/>
        </w:rPr>
        <w:t>Supplementary Table 3. Wet-lab provenance and DNA concentration metadata (20260727).</w:t>
      </w:r>
      <w:r>
        <w:rPr>
          <w:rFonts w:ascii="Times New Roman" w:hAnsi="Times New Roman"/>
          <w:sz w:val="21"/>
        </w:rPr>
        <w:t xml:space="preserve"> Source dataset, public sample identifier, sequencing platform, library name, extraction kit, library preparation workflow, DNA concentration, concentration unit and concentration source file for each sequencing library included in DogMAG.</w:t>
      </w:r>
    </w:p>
    <w:p>
      <w:pPr>
        <w:spacing w:after="120" w:line="259" w:lineRule="auto"/>
        <w:jc w:val="both"/>
      </w:pPr>
      <w:r>
        <w:rPr>
          <w:rFonts w:ascii="Times New Roman" w:hAnsi="Times New Roman"/>
          <w:b/>
          <w:sz w:val="21"/>
        </w:rPr>
        <w:t>Supplementary Table 4. DogMAG assembly-to-read provenance manifest (20260727).</w:t>
      </w:r>
      <w:r>
        <w:rPr>
          <w:rFonts w:ascii="Times New Roman" w:hAnsi="Times New Roman"/>
          <w:sz w:val="21"/>
        </w:rPr>
        <w:t xml:space="preserve"> Public-facing table linking final dog-wise BASALT input assemblies to public read/sample identifiers, read role, source manifest, sequencing platform, ENA study accession and checksum fields where available.</w:t>
      </w:r>
    </w:p>
    <w:p>
      <w:pPr>
        <w:spacing w:after="120" w:line="259" w:lineRule="auto"/>
        <w:jc w:val="both"/>
      </w:pPr>
      <w:r>
        <w:rPr>
          <w:rFonts w:ascii="Times New Roman" w:hAnsi="Times New Roman"/>
          <w:b/>
          <w:sz w:val="21"/>
        </w:rPr>
        <w:t>Supplementary Table 5. Viral/prophage candidate metadata (20260727).</w:t>
      </w:r>
      <w:r>
        <w:rPr>
          <w:rFonts w:ascii="Times New Roman" w:hAnsi="Times New Roman"/>
          <w:sz w:val="21"/>
        </w:rPr>
        <w:t xml:space="preserve"> Stable viral candidate identifier, source branch, source contig and assembly context, sequence MD5 where available, BASALT bin/MAG context, geNomad length, topology, score and taxonomy fields, and CheckV quality, completeness and contamination fields. Sequence files are organised by the stable candidate and source-contig identifiers in the associated article data package.</w:t>
      </w:r>
    </w:p>
    <w:p>
      <w:pPr>
        <w:spacing w:after="120" w:line="259" w:lineRule="auto"/>
        <w:jc w:val="both"/>
      </w:pPr>
      <w:r>
        <w:rPr>
          <w:rFonts w:ascii="Times New Roman" w:hAnsi="Times New Roman"/>
          <w:b/>
          <w:sz w:val="21"/>
        </w:rPr>
        <w:t>Supplementary Table 6. Viral/prophage candidate quality summary (20260727).</w:t>
      </w:r>
      <w:r>
        <w:rPr>
          <w:rFonts w:ascii="Times New Roman" w:hAnsi="Times New Roman"/>
          <w:sz w:val="21"/>
        </w:rPr>
        <w:t xml:space="preserve"> Branch-level geNomad viral prediction counts, CheckV Complete/High/Medium counts after contamination filtering, unique source-contig MD5 counts and dominant broad viral taxonomy. These are not vOTU counts because viral dereplication was not performed.</w:t>
      </w:r>
    </w:p>
    <w:p>
      <w:pPr>
        <w:spacing w:after="120" w:line="259" w:lineRule="auto"/>
        <w:jc w:val="both"/>
      </w:pPr>
      <w:r>
        <w:rPr>
          <w:rFonts w:ascii="Times New Roman" w:hAnsi="Times New Roman"/>
          <w:b/>
          <w:sz w:val="21"/>
        </w:rPr>
        <w:t>Supplementary Table 7. Balanced bacterial RefSeq-versus-DogMAG read-recruitment validation (20260727).</w:t>
      </w:r>
      <w:r>
        <w:rPr>
          <w:rFonts w:ascii="Times New Roman" w:hAnsi="Times New Roman"/>
          <w:sz w:val="21"/>
        </w:rPr>
        <w:t xml:space="preserve"> Paired per-library summary for 23 mixed-kennel source-cohort and 23 independent Waltham canine gut ONT metagenomes analysed against bacterial RefSeq and the DogMAG 95% ANI representative panel. Fields comprise validation library identifier, cohort, primary-read count, mapped-read fractions for each panel and their percentage-point difference, and final BestAln assigned-read fractions for each panel and their percentage-point difference. Detailed read-accounting and run-provenance files are included separately in the associated article data package.</w:t>
      </w:r>
    </w:p>
    <w:p>
      <w:pPr>
        <w:spacing w:after="120" w:line="259" w:lineRule="auto"/>
        <w:jc w:val="both"/>
      </w:pPr>
      <w:r>
        <w:rPr>
          <w:rFonts w:ascii="Times New Roman" w:hAnsi="Times New Roman"/>
          <w:sz w:val="21"/>
        </w:rPr>
        <w:t>Supplementary Table 8. Final dog-first assembly metrics (20260806). Assembly-level sequence metrics for the 41 retained BASALT input assemblies, comprising 30 Flye long-read-only and 11 OPERA-MS hybrid assemblies. Fields include stable public assembly identifier, assembly class, assembler, linked FASTQ-record count, total assembly length, contig count, longest and shortest retained contigs, mean and median contig lengths, N50, N90, GC and N percentages, and contig-length counts. All sequence metrics were calculated after the 1,500-bp contig-length filter.</w:t>
      </w:r>
    </w:p>
    <w:p>
      <w:pPr>
        <w:spacing w:after="120" w:line="259" w:lineRule="auto"/>
        <w:jc w:val="both"/>
      </w:pPr>
      <w:r>
        <w:rPr>
          <w:rFonts w:ascii="Times New Roman" w:hAnsi="Times New Roman"/>
          <w:sz w:val="21"/>
        </w:rPr>
        <w:t>Supplementary Table 9. ENA deposition status of the 135 DogMAG ANI95 representatives (20260815). MAG alias, MAG-derived sample and BioSample accessions, NCBI and GTDB taxonomic metadata, source assembly and sample links, FASTA-derived contig count, genome-quality metrics, ERZ assembly-analysis accession where assigned, and assembly-submission status. The table distinguishes 122 submitted multi-contig MAG assemblies from 13 single-contig MAGs pending an ENA assembly-analysis submission route.</w:t>
      </w:r>
    </w:p>
    <w:p>
      <w:pPr>
        <w:pStyle w:val="Heading2"/>
      </w:pPr>
      <w:r>
        <w:t>Data Availability</w:t>
      </w:r>
    </w:p>
    <w:p>
      <w:pPr>
        <w:spacing w:after="120" w:line="259" w:lineRule="auto"/>
        <w:jc w:val="both"/>
      </w:pPr>
      <w:r>
        <w:rPr>
          <w:rFonts w:ascii="Times New Roman" w:hAnsi="Times New Roman"/>
          <w:sz w:val="21"/>
        </w:rPr>
        <w:t>Sample-linked input reads used for DogMAG assembly generation, binning, MAG recovery and validation are available from the European Nucleotide Archive under PRJEB75753 for Dog_M0 input data, PRJEB82125 for DMD input and provenance records, PRJEB85420 for CaniMeta/Serteperti input and provenance records, and PRJEB115259 for DogMAG sample registrations, newly deposited mixed-kennel long-read WGS data and associated DogMAG genome records. The PRJEB115259 FASTQ submission table uses public-coded sample, library and file identifiers rather than dog names. Previously published ENA datasets are cited as input-data and sample-provenance records. The 122 submitted multi-contig representative MAG assemblies are identified by ERZ accessions in Supplementary Table 9; the 13 single-contig representatives remain explicitly marked as pending an ENA assembly-analysis route. Dog-wise assemblies, reselected candidate MAG FASTAs, viral/prophage candidate sequences, metadata tables and detailed workflow outputs are organised in the associated article data package. Its persistent repository identifier and anonymous first-round reviewer link will be added before manuscript submission.</w:t>
      </w:r>
    </w:p>
    <w:p>
      <w:pPr>
        <w:pStyle w:val="Heading2"/>
      </w:pPr>
      <w:r>
        <w:t>Code Availability</w:t>
      </w:r>
    </w:p>
    <w:p>
      <w:pPr>
        <w:spacing w:after="120" w:line="259" w:lineRule="auto"/>
        <w:jc w:val="both"/>
      </w:pPr>
      <w:r>
        <w:rPr>
          <w:rFonts w:ascii="Times New Roman" w:hAnsi="Times New Roman"/>
          <w:sz w:val="21"/>
        </w:rPr>
        <w:t>Project-specific DogMAG scripts used for dog-first assembly generation, assembly collection, assembly preparation, BASALT input construction, read-to-assembly linkage, assembly metrics, final bin/MAG summarisation, viral candidate recovery, metadata generation, candidate re-selection, external dereplication, GTDB-Tk summarisation, reference-panel read-accounting and viral-result packaging are available from the DogMAG repository (https://github.com/Balays/DogMAG).</w:t>
      </w:r>
    </w:p>
    <w:p>
      <w:pPr>
        <w:spacing w:after="120" w:line="259" w:lineRule="auto"/>
        <w:jc w:val="both"/>
      </w:pPr>
      <w:r>
        <w:rPr>
          <w:rFonts w:ascii="Times New Roman" w:hAnsi="Times New Roman"/>
          <w:sz w:val="21"/>
        </w:rPr>
        <w:t>The BASALT code version used for DogMAG is available at https://github.com/Balays/BASALT. BASALT was used as the core bin-comparison and BestBinset selection engine. For reproducibility, the cleaned DogMAG publication snapshot is available at https://github.com/Balays/BASALT/tree/DogMAG-paper-v1.0. The generalized source changes are fixed at commit bdd4106a398db69bee83ea9ad1d331b00c041122 and are documented in LARGE_RUN_PATCHES.md; DogMAG-specific rescue and checkpoint interventions remain documented in the DogMAG project repository.</w:t>
      </w:r>
    </w:p>
    <w:p>
      <w:pPr>
        <w:spacing w:after="120" w:line="259" w:lineRule="auto"/>
        <w:jc w:val="both"/>
      </w:pPr>
      <w:r>
        <w:rPr>
          <w:rFonts w:ascii="Times New Roman" w:hAnsi="Times New Roman"/>
          <w:sz w:val="21"/>
        </w:rPr>
        <w:t>Key DogMAG workflow scripts include:</w:t>
      </w:r>
    </w:p>
    <w:p>
      <w:pPr>
        <w:spacing w:after="120" w:line="259" w:lineRule="auto"/>
        <w:jc w:val="both"/>
      </w:pPr>
      <w:r>
        <w:rPr>
          <w:rFonts w:ascii="Times New Roman" w:hAnsi="Times New Roman"/>
          <w:sz w:val="21"/>
        </w:rPr>
        <w:t>scripts/assembly/run_flye_lr_only_dogfirst.sh</w:t>
      </w:r>
    </w:p>
    <w:p>
      <w:pPr>
        <w:spacing w:after="120" w:line="259" w:lineRule="auto"/>
        <w:jc w:val="both"/>
      </w:pPr>
      <w:r>
        <w:rPr>
          <w:rFonts w:ascii="Times New Roman" w:hAnsi="Times New Roman"/>
          <w:sz w:val="21"/>
        </w:rPr>
        <w:t>scripts/assembly/run_opera_ms_named_lrs_dogs.sh</w:t>
      </w:r>
    </w:p>
    <w:p>
      <w:pPr>
        <w:spacing w:after="120" w:line="259" w:lineRule="auto"/>
        <w:jc w:val="both"/>
      </w:pPr>
      <w:r>
        <w:rPr>
          <w:rFonts w:ascii="Times New Roman" w:hAnsi="Times New Roman"/>
          <w:sz w:val="21"/>
        </w:rPr>
        <w:t>scripts/assembly/collect_flye_lr_only_dogfirst_assemblies.sh</w:t>
      </w:r>
    </w:p>
    <w:p>
      <w:pPr>
        <w:spacing w:after="120" w:line="259" w:lineRule="auto"/>
        <w:jc w:val="both"/>
      </w:pPr>
      <w:r>
        <w:rPr>
          <w:rFonts w:ascii="Times New Roman" w:hAnsi="Times New Roman"/>
          <w:sz w:val="21"/>
        </w:rPr>
        <w:t>scripts/assembly/collect_hybrid_dogfirst_assemblies.sh</w:t>
      </w:r>
    </w:p>
    <w:p>
      <w:pPr>
        <w:spacing w:after="120" w:line="259" w:lineRule="auto"/>
        <w:jc w:val="both"/>
      </w:pPr>
      <w:r>
        <w:rPr>
          <w:rFonts w:ascii="Times New Roman" w:hAnsi="Times New Roman"/>
          <w:sz w:val="21"/>
        </w:rPr>
        <w:t>scripts/assembly/prepare_dogfirst_final_assemblies_for_basalt.sh</w:t>
      </w:r>
    </w:p>
    <w:p>
      <w:pPr>
        <w:spacing w:after="120" w:line="259" w:lineRule="auto"/>
        <w:jc w:val="both"/>
      </w:pPr>
      <w:r>
        <w:rPr>
          <w:rFonts w:ascii="Times New Roman" w:hAnsi="Times New Roman"/>
          <w:sz w:val="21"/>
        </w:rPr>
        <w:t>scripts/assembly/normalize_final_assemblies.py</w:t>
      </w:r>
    </w:p>
    <w:p>
      <w:pPr>
        <w:spacing w:after="120" w:line="259" w:lineRule="auto"/>
        <w:jc w:val="both"/>
      </w:pPr>
      <w:r>
        <w:rPr>
          <w:rFonts w:ascii="Times New Roman" w:hAnsi="Times New Roman"/>
          <w:sz w:val="21"/>
        </w:rPr>
        <w:t>scripts/assembly/link_reads_to_assemblies.py</w:t>
      </w:r>
    </w:p>
    <w:p>
      <w:pPr>
        <w:spacing w:after="120" w:line="259" w:lineRule="auto"/>
        <w:jc w:val="both"/>
      </w:pPr>
      <w:r>
        <w:rPr>
          <w:rFonts w:ascii="Times New Roman" w:hAnsi="Times New Roman"/>
          <w:sz w:val="21"/>
        </w:rPr>
        <w:t>scripts/assembly/assembly_metrics_fast.py</w:t>
      </w:r>
    </w:p>
    <w:p>
      <w:pPr>
        <w:spacing w:after="120" w:line="259" w:lineRule="auto"/>
        <w:jc w:val="both"/>
      </w:pPr>
      <w:r>
        <w:rPr>
          <w:rFonts w:ascii="Times New Roman" w:hAnsi="Times New Roman"/>
          <w:sz w:val="21"/>
        </w:rPr>
        <w:t>scripts/catalogue/summarize_basalt_binset.py</w:t>
      </w:r>
    </w:p>
    <w:p>
      <w:pPr>
        <w:spacing w:after="120" w:line="259" w:lineRule="auto"/>
        <w:jc w:val="both"/>
      </w:pPr>
      <w:r>
        <w:rPr>
          <w:rFonts w:ascii="Times New Roman" w:hAnsi="Times New Roman"/>
          <w:sz w:val="21"/>
        </w:rPr>
        <w:t>scripts/catalogue/run_catalog_unit_dereplication.py</w:t>
      </w:r>
    </w:p>
    <w:p>
      <w:pPr>
        <w:spacing w:after="120" w:line="259" w:lineRule="auto"/>
        <w:jc w:val="both"/>
      </w:pPr>
      <w:r>
        <w:rPr>
          <w:rFonts w:ascii="Times New Roman" w:hAnsi="Times New Roman"/>
          <w:sz w:val="21"/>
        </w:rPr>
        <w:t>scripts/catalogue/build_canmag_depletion_panels.sh</w:t>
      </w:r>
    </w:p>
    <w:p>
      <w:pPr>
        <w:spacing w:after="120" w:line="259" w:lineRule="auto"/>
        <w:jc w:val="both"/>
      </w:pPr>
      <w:r>
        <w:rPr>
          <w:rFonts w:ascii="Times New Roman" w:hAnsi="Times New Roman"/>
          <w:sz w:val="21"/>
        </w:rPr>
        <w:t>scripts/catalogue/package_dogfirst_article_update_files.sh</w:t>
      </w:r>
    </w:p>
    <w:p>
      <w:pPr>
        <w:pStyle w:val="Heading2"/>
      </w:pPr>
      <w:r>
        <w:t>Ethics statement</w:t>
      </w:r>
    </w:p>
    <w:p>
      <w:pPr>
        <w:spacing w:after="120" w:line="259" w:lineRule="auto"/>
        <w:jc w:val="both"/>
      </w:pPr>
      <w:r>
        <w:rPr>
          <w:rFonts w:ascii="Times New Roman" w:hAnsi="Times New Roman"/>
          <w:sz w:val="21"/>
        </w:rPr>
        <w:t>This study was conducted in accordance with applicable ethical and owner-consent requirements for canine faecal sample collection and data publication. Ethical approval was obtained from the Medical Research Council, Budapest, Hungary, under accession number BMEU/725-1/2022/EKU. Written informed consent was obtained from dog owners for sample collection and data publication.</w:t>
      </w:r>
    </w:p>
    <w:p>
      <w:pPr>
        <w:pStyle w:val="Heading2"/>
      </w:pPr>
      <w:r>
        <w:t>Author contributions</w:t>
      </w:r>
    </w:p>
    <w:p>
      <w:pPr>
        <w:spacing w:after="120" w:line="259" w:lineRule="auto"/>
        <w:jc w:val="both"/>
      </w:pPr>
      <w:r>
        <w:rPr>
          <w:rFonts w:ascii="Times New Roman" w:hAnsi="Times New Roman"/>
          <w:sz w:val="21"/>
        </w:rPr>
        <w:t>D.T. and Z.B. conceived and supervised the study. B.K. designed and implemented the computational workflow, dog-first assembly integration, BASALT analysis and manuscript data restructuring. N.J.Y., A.D. and T.J. contributed to sample processing, sequencing-library preparation, sequencing and source metadata curation. B.K. generated dog-wise assemblies, BASALT inputs, workflow provenance tables and downstream candidate-resource summaries. B.K. and D.T. drafted the manuscript. All authors reviewed and approved the final manuscript.</w:t>
      </w:r>
    </w:p>
    <w:p>
      <w:pPr>
        <w:pStyle w:val="Heading2"/>
      </w:pPr>
      <w:r>
        <w:t>Competing interests</w:t>
      </w:r>
    </w:p>
    <w:p>
      <w:pPr>
        <w:spacing w:after="120" w:line="259" w:lineRule="auto"/>
        <w:jc w:val="both"/>
      </w:pPr>
      <w:r>
        <w:rPr>
          <w:rFonts w:ascii="Times New Roman" w:hAnsi="Times New Roman"/>
          <w:sz w:val="21"/>
        </w:rPr>
        <w:t>The authors declare no competing interests.</w:t>
      </w:r>
    </w:p>
    <w:p>
      <w:pPr>
        <w:pStyle w:val="Heading2"/>
      </w:pPr>
      <w:r>
        <w:t>Funding</w:t>
      </w:r>
    </w:p>
    <w:p>
      <w:pPr>
        <w:spacing w:after="120" w:line="259" w:lineRule="auto"/>
        <w:jc w:val="both"/>
      </w:pPr>
      <w:r>
        <w:rPr>
          <w:rFonts w:ascii="Times New Roman" w:hAnsi="Times New Roman"/>
          <w:sz w:val="21"/>
        </w:rPr>
        <w:t>This study was supported by the Lendület I (Momentum I) Programme of the Hungarian Academy of Sciences (LP2020-8/2020) to D.T. and by the National Research, Development and Innovation Office (NKFIH OTKA FK 142676) to D.T. and (NKFIH OTKA K 142674) to Z.B.</w:t>
      </w:r>
    </w:p>
    <w:p>
      <w:pPr>
        <w:pStyle w:val="Heading2"/>
      </w:pPr>
      <w:r>
        <w:t>Acknowledgements</w:t>
      </w:r>
    </w:p>
    <w:p>
      <w:pPr>
        <w:spacing w:after="120" w:line="259" w:lineRule="auto"/>
        <w:jc w:val="both"/>
      </w:pPr>
      <w:r>
        <w:rPr>
          <w:rFonts w:ascii="Times New Roman" w:hAnsi="Times New Roman"/>
          <w:sz w:val="21"/>
        </w:rPr>
        <w:t>We thank the dog owners, kennels and collaborators who provided canine faecal samples and source metadata for this resource. We thank the owners of the Dog_M0/Toti donor dog for their support in sample collection, Gabriella Kassai for providing samples from the Serteperti cohort, and Melinda Takacsne Horvath for providing Hanga's sample.</w:t>
      </w:r>
    </w:p>
    <w:p>
      <w:pPr>
        <w:pStyle w:val="Heading2"/>
      </w:pPr>
      <w:r>
        <w:t>References</w:t>
      </w:r>
    </w:p>
    <w:p>
      <w:pPr>
        <w:spacing w:after="60" w:line="240" w:lineRule="auto"/>
        <w:jc w:val="both"/>
      </w:pPr>
      <w:r>
        <w:rPr>
          <w:rFonts w:ascii="Times New Roman" w:hAnsi="Times New Roman"/>
          <w:sz w:val="19"/>
        </w:rPr>
        <w:t>[1] Knight, R., Vrbanac, A., Taylor, B. C. et al. Best practices for analysing microbiomes. Nat Rev Microbiol 16, 410-422 (2018). https://doi.org/10.1038/s41579-018-0029-9</w:t>
      </w:r>
    </w:p>
    <w:p>
      <w:pPr>
        <w:spacing w:after="60" w:line="240" w:lineRule="auto"/>
        <w:jc w:val="both"/>
      </w:pPr>
      <w:r>
        <w:rPr>
          <w:rFonts w:ascii="Times New Roman" w:hAnsi="Times New Roman"/>
          <w:sz w:val="19"/>
        </w:rPr>
        <w:t>[2] Quince, C., Walker, A. W., Simpson, J. T. et al. Shotgun metagenomics, from sampling to analysis. Nat Biotechnol 35, 833-844 (2017). https://doi.org/10.1038/nbt.3935</w:t>
      </w:r>
    </w:p>
    <w:p>
      <w:pPr>
        <w:spacing w:after="60" w:line="240" w:lineRule="auto"/>
        <w:jc w:val="both"/>
      </w:pPr>
      <w:r>
        <w:rPr>
          <w:rFonts w:ascii="Times New Roman" w:hAnsi="Times New Roman"/>
          <w:sz w:val="19"/>
        </w:rPr>
        <w:t>[3] Coelho, L. P., Kultima, J. R., Costea, P. I. et al. Similarity of the dog and human gut microbiomes in gene content and response to diet. Microbiome 6, 72 (2018). https://doi.org/10.1186/s40168-018-0450-3</w:t>
      </w:r>
    </w:p>
    <w:p>
      <w:pPr>
        <w:spacing w:after="60" w:line="240" w:lineRule="auto"/>
        <w:jc w:val="both"/>
      </w:pPr>
      <w:r>
        <w:rPr>
          <w:rFonts w:ascii="Times New Roman" w:hAnsi="Times New Roman"/>
          <w:sz w:val="19"/>
        </w:rPr>
        <w:t>[4] Gulyas, G., Kakuk, B., Dormo, A. et al. Cross-comparison of gut metagenomic profiling strategies. Commun Biol 7, 1445 (2024). https://doi.org/10.1038/s42003-024-07158-6</w:t>
      </w:r>
    </w:p>
    <w:p>
      <w:pPr>
        <w:spacing w:after="60" w:line="240" w:lineRule="auto"/>
        <w:jc w:val="both"/>
      </w:pPr>
      <w:r>
        <w:rPr>
          <w:rFonts w:ascii="Times New Roman" w:hAnsi="Times New Roman"/>
          <w:sz w:val="19"/>
        </w:rPr>
        <w:t>[5] Cusco, A., Perez, D., Vines, J., Fabregas, N. &amp; Francino, O. Long-read metagenomics retrieves complete single-contig bacterial genomes from canine feces. BMC Genomics 22, 330 (2021). https://doi.org/10.1186/s12864-021-07607-0</w:t>
      </w:r>
    </w:p>
    <w:p>
      <w:pPr>
        <w:spacing w:after="60" w:line="240" w:lineRule="auto"/>
        <w:jc w:val="both"/>
      </w:pPr>
      <w:r>
        <w:rPr>
          <w:rFonts w:ascii="Times New Roman" w:hAnsi="Times New Roman"/>
          <w:sz w:val="19"/>
        </w:rPr>
        <w:t>[6] Cusco, A., Perez, D., Vines, J., Fabregas, N. &amp; Francino, O. Novel canine high-quality metagenome-assembled genomes, prophages and host-associated plasmids provided by long-read metagenomics together with Hi-C proximity ligation. Microb Genom 8, 000802 (2022). https://doi.org/10.1099/mgen.0.000802</w:t>
      </w:r>
    </w:p>
    <w:p>
      <w:pPr>
        <w:spacing w:after="60" w:line="240" w:lineRule="auto"/>
        <w:jc w:val="both"/>
      </w:pPr>
      <w:r>
        <w:rPr>
          <w:rFonts w:ascii="Times New Roman" w:hAnsi="Times New Roman"/>
          <w:sz w:val="19"/>
        </w:rPr>
        <w:t>[7] Branck, T. et al. Comprehensive profile of the companion animal gut microbiome integrating reference-based and reference-free methods. ISME J 18, wrae201 (2024). https://doi.org/10.1093/ismejo/wrae201</w:t>
      </w:r>
    </w:p>
    <w:p>
      <w:pPr>
        <w:spacing w:after="60" w:line="240" w:lineRule="auto"/>
        <w:jc w:val="both"/>
      </w:pPr>
      <w:r>
        <w:rPr>
          <w:rFonts w:ascii="Times New Roman" w:hAnsi="Times New Roman"/>
          <w:sz w:val="19"/>
        </w:rPr>
        <w:t>[8] Castillo-Fernandez, J., Gilroy, R., Jones, R. B. et al. Waltham catalogue for the canine gut microbiome: a complete taxonomic and functional catalogue of the canine gut microbiome through novel metagenomic based genome discovery. Microbiome 14, 25 (2026). https://doi.org/10.1186/s40168-025-02265-w</w:t>
      </w:r>
    </w:p>
    <w:p>
      <w:pPr>
        <w:spacing w:after="60" w:line="240" w:lineRule="auto"/>
        <w:jc w:val="both"/>
      </w:pPr>
      <w:r>
        <w:rPr>
          <w:rFonts w:ascii="Times New Roman" w:hAnsi="Times New Roman"/>
          <w:sz w:val="19"/>
        </w:rPr>
        <w:t>[9] Kolmogorov, M., Yuan, J., Lin, Y. et al. Assembly of long, error-prone reads using repeat graphs. Nat Biotechnol 37, 540-546 (2019). https://doi.org/10.1038/s41587-019-0072-8</w:t>
      </w:r>
    </w:p>
    <w:p>
      <w:pPr>
        <w:spacing w:after="60" w:line="240" w:lineRule="auto"/>
        <w:jc w:val="both"/>
      </w:pPr>
      <w:r>
        <w:rPr>
          <w:rFonts w:ascii="Times New Roman" w:hAnsi="Times New Roman"/>
          <w:sz w:val="19"/>
        </w:rPr>
        <w:t>[10] Bertrand, D., Shaw, J., Narayan, M. et al. Hybrid metagenomic assembly enables high-resolution analysis of resistance determinants and mobile elements in human microbiomes. Nat Biotechnol 37, 937-944 (2019). https://doi.org/10.1038/s41587-019-0191-2</w:t>
      </w:r>
    </w:p>
    <w:p>
      <w:pPr>
        <w:spacing w:after="60" w:line="240" w:lineRule="auto"/>
        <w:jc w:val="both"/>
      </w:pPr>
      <w:r>
        <w:rPr>
          <w:rFonts w:ascii="Times New Roman" w:hAnsi="Times New Roman"/>
          <w:sz w:val="19"/>
        </w:rPr>
        <w:t>[11] Qiu, Z., Yuan, L., Lian, C. A. et al. BASALT refines binning from metagenomic data and increases resolution of genome-resolved metagenomic analysis. Nat Commun 15, 2179 (2024). https://doi.org/10.1038/s41467-024-46539-7</w:t>
      </w:r>
    </w:p>
    <w:p>
      <w:pPr>
        <w:spacing w:after="60" w:line="240" w:lineRule="auto"/>
        <w:jc w:val="both"/>
      </w:pPr>
      <w:r>
        <w:rPr>
          <w:rFonts w:ascii="Times New Roman" w:hAnsi="Times New Roman"/>
          <w:sz w:val="19"/>
        </w:rPr>
        <w:t>[12] Kang, D. D., Li, F., Kirton, E. et al. MetaBAT 2: an adaptive binning algorithm for robust and efficient genome reconstruction from metagenome assemblies. PeerJ 7, e7359 (2019). https://doi.org/10.7717/peerj.7359</w:t>
      </w:r>
    </w:p>
    <w:p>
      <w:pPr>
        <w:spacing w:after="60" w:line="240" w:lineRule="auto"/>
        <w:jc w:val="both"/>
      </w:pPr>
      <w:r>
        <w:rPr>
          <w:rFonts w:ascii="Times New Roman" w:hAnsi="Times New Roman"/>
          <w:sz w:val="19"/>
        </w:rPr>
        <w:t>[13] Wu, Y.-W., Simmons, B. A. &amp; Singer, S. W. MaxBin 2.0: an automated binning algorithm to recover genomes from multiple metagenomic datasets. Bioinformatics 32, 605-607 (2016). https://doi.org/10.1093/bioinformatics/btv638</w:t>
      </w:r>
    </w:p>
    <w:p>
      <w:pPr>
        <w:spacing w:after="60" w:line="240" w:lineRule="auto"/>
        <w:jc w:val="both"/>
      </w:pPr>
      <w:r>
        <w:rPr>
          <w:rFonts w:ascii="Times New Roman" w:hAnsi="Times New Roman"/>
          <w:sz w:val="19"/>
        </w:rPr>
        <w:t>[14] Alneberg, J., Bjarnason, B. S., de Bruijn, I. et al. Binning metagenomic contigs by coverage and composition. Nat Methods 11, 1144-1146 (2014). https://doi.org/10.1038/nmeth.3103</w:t>
      </w:r>
    </w:p>
    <w:p>
      <w:pPr>
        <w:spacing w:after="60" w:line="240" w:lineRule="auto"/>
        <w:jc w:val="both"/>
      </w:pPr>
      <w:r>
        <w:rPr>
          <w:rFonts w:ascii="Times New Roman" w:hAnsi="Times New Roman"/>
          <w:sz w:val="19"/>
        </w:rPr>
        <w:t>[15] Pan, S., Zhu, C., Zhao, X.-M. &amp; Coelho, L. P. A deep siamese neural network improves metagenome-assembled genomes in microbiome datasets across different environments. Nat Commun 13, 2326 (2022). https://doi.org/10.1038/s41467-022-29843-y</w:t>
      </w:r>
    </w:p>
    <w:p>
      <w:pPr>
        <w:spacing w:after="60" w:line="240" w:lineRule="auto"/>
        <w:jc w:val="both"/>
      </w:pPr>
      <w:r>
        <w:rPr>
          <w:rFonts w:ascii="Times New Roman" w:hAnsi="Times New Roman"/>
          <w:sz w:val="19"/>
        </w:rPr>
        <w:t>[16] Chklovski, A., Parks, D. H., Woodcroft, B. J. et al. CheckM2: a rapid, scalable and accurate tool for assessing microbial genome quality using machine learning. Nat Methods 20, 1203-1212 (2023). https://doi.org/10.1038/s41592-023-01940-w</w:t>
      </w:r>
    </w:p>
    <w:p>
      <w:pPr>
        <w:spacing w:after="60" w:line="240" w:lineRule="auto"/>
        <w:jc w:val="both"/>
      </w:pPr>
      <w:r>
        <w:rPr>
          <w:rFonts w:ascii="Times New Roman" w:hAnsi="Times New Roman"/>
          <w:sz w:val="19"/>
        </w:rPr>
        <w:t>[17] Olm, M. R., Brown, C. T., Brooks, B. et al. dRep: a tool for fast and accurate genomic comparisons that enables improved genome recovery from metagenomes through de-replication. ISME J 11, 2864-2868 (2017). https://doi.org/10.1038/ismej.2017.126</w:t>
      </w:r>
    </w:p>
    <w:p>
      <w:pPr>
        <w:spacing w:after="60" w:line="240" w:lineRule="auto"/>
        <w:jc w:val="both"/>
      </w:pPr>
      <w:r>
        <w:rPr>
          <w:rFonts w:ascii="Times New Roman" w:hAnsi="Times New Roman"/>
          <w:sz w:val="19"/>
        </w:rPr>
        <w:t>[18] Jain, C., Rodriguez-R, L. M., Phillippy, A. M. et al. High throughput ANI analysis of 90K prokaryotic genomes reveals clear species boundaries. Nat Commun 9, 5114 (2018). https://doi.org/10.1038/s41467-018-07641-9</w:t>
      </w:r>
    </w:p>
    <w:p>
      <w:pPr>
        <w:spacing w:after="60" w:line="240" w:lineRule="auto"/>
        <w:jc w:val="both"/>
      </w:pPr>
      <w:r>
        <w:rPr>
          <w:rFonts w:ascii="Times New Roman" w:hAnsi="Times New Roman"/>
          <w:sz w:val="19"/>
        </w:rPr>
        <w:t>[19] Ondov, B. D., Treangen, T. J., Melsted, P. et al. Mash: fast genome and metagenome distance estimation using MinHash. Genome Biol 17, 132 (2016). https://doi.org/10.1186/s13059-016-0997-x</w:t>
      </w:r>
    </w:p>
    <w:p>
      <w:pPr>
        <w:spacing w:after="60" w:line="240" w:lineRule="auto"/>
        <w:jc w:val="both"/>
      </w:pPr>
      <w:r>
        <w:rPr>
          <w:rFonts w:ascii="Times New Roman" w:hAnsi="Times New Roman"/>
          <w:sz w:val="19"/>
        </w:rPr>
        <w:t>[20] Bowers, R. M., Kyrpides, N. C., Stepanauskas, R. et al. Minimum information about a single amplified genome (MISAG) and a metagenome-assembled genome (MIMAG) of bacteria and archaea. Nat Biotechnol 35, 725-731 (2017). https://doi.org/10.1038/nbt.3893</w:t>
      </w:r>
    </w:p>
    <w:p>
      <w:pPr>
        <w:spacing w:after="60" w:line="240" w:lineRule="auto"/>
        <w:jc w:val="both"/>
      </w:pPr>
      <w:r>
        <w:rPr>
          <w:rFonts w:ascii="Times New Roman" w:hAnsi="Times New Roman"/>
          <w:sz w:val="19"/>
        </w:rPr>
        <w:t>[21] Chaumeil, P.-A., Mussig, A. J., Hugenholtz, P. &amp; Parks, D. H. GTDB-Tk: a toolkit to classify genomes with the Genome Taxonomy Database. Bioinformatics 36, 1925-1927 (2020). https://doi.org/10.1093/bioinformatics/btz848</w:t>
      </w:r>
    </w:p>
    <w:p>
      <w:pPr>
        <w:spacing w:after="60" w:line="240" w:lineRule="auto"/>
        <w:jc w:val="both"/>
      </w:pPr>
      <w:r>
        <w:rPr>
          <w:rFonts w:ascii="Times New Roman" w:hAnsi="Times New Roman"/>
          <w:sz w:val="19"/>
        </w:rPr>
        <w:t>[22] Camargo, A. P., Roux, S., Schulz, F. et al. Identification of mobile genetic elements with geNomad. Nat Biotechnol 42, 1303-1312 (2024). https://doi.org/10.1038/s41587-023-01953-y</w:t>
      </w:r>
    </w:p>
    <w:p>
      <w:pPr>
        <w:spacing w:after="60" w:line="240" w:lineRule="auto"/>
        <w:jc w:val="both"/>
      </w:pPr>
      <w:r>
        <w:rPr>
          <w:rFonts w:ascii="Times New Roman" w:hAnsi="Times New Roman"/>
          <w:sz w:val="19"/>
        </w:rPr>
        <w:t>[23] Nayfach, S., Camargo, A. P., Schulz, F. et al. CheckV assesses the quality and completeness of metagenome-assembled viral genomes. Nat Biotechnol 39, 578-585 (2021). https://doi.org/10.1038/s41587-020-00774-7</w:t>
      </w:r>
    </w:p>
    <w:p>
      <w:pPr>
        <w:spacing w:after="60" w:line="240" w:lineRule="auto"/>
        <w:jc w:val="both"/>
      </w:pPr>
      <w:r>
        <w:rPr>
          <w:rFonts w:ascii="Times New Roman" w:hAnsi="Times New Roman"/>
          <w:sz w:val="19"/>
        </w:rPr>
        <w:t>[24] Kakuk, B., Dormo, A., Taifi, A. et al. Canine Fecal Microbiome Dataset: Ultra-deep Multi-platform Sequencing Across Extraction and Library Protocols. Sci Data (2026). https://doi.org/10.1038/s41597-026-07594-5</w:t>
      </w:r>
    </w:p>
    <w:sectPr w:rsidR="00FC693F" w:rsidRPr="0006063C" w:rsidSect="00034616">
      <w:pgSz w:w="12240" w:h="15840"/>
      <w:pgMar w:top="1134" w:right="964" w:bottom="113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mbria" w:hAnsi="Cambria"/>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mbria" w:hAnsi="Cambria"/>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