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41574050"/>
        <w:docPartObj>
          <w:docPartGallery w:val="Cover Pages"/>
          <w:docPartUnique/>
        </w:docPartObj>
      </w:sdtPr>
      <w:sdtEndPr>
        <w:rPr>
          <w:rFonts w:ascii="Times New Roman" w:hAnsi="Times New Roman"/>
        </w:rPr>
      </w:sdtEndPr>
      <w:sdtContent>
        <w:p w14:paraId="65AE5004" w14:textId="57A09303" w:rsidR="00A2297C" w:rsidRDefault="00A2297C" w:rsidP="00A2297C">
          <w:pPr>
            <w:jc w:val="center"/>
            <w:rPr>
              <w:rFonts w:ascii="Times New Roman" w:hAnsi="Times New Roman"/>
              <w:sz w:val="28"/>
              <w:szCs w:val="28"/>
            </w:rPr>
          </w:pPr>
          <w:r w:rsidRPr="00A2297C">
            <w:rPr>
              <w:rFonts w:ascii="Times New Roman" w:hAnsi="Times New Roman"/>
              <w:sz w:val="28"/>
              <w:szCs w:val="28"/>
            </w:rPr>
            <w:t xml:space="preserve"> Affinity Chromatography Methods for Monoclonal Antibody Purification in Downstream</w:t>
          </w:r>
          <w:r>
            <w:rPr>
              <w:sz w:val="28"/>
              <w:szCs w:val="28"/>
            </w:rPr>
            <w:t xml:space="preserve"> </w:t>
          </w:r>
          <w:r w:rsidRPr="00A2297C">
            <w:rPr>
              <w:rFonts w:ascii="Times New Roman" w:hAnsi="Times New Roman"/>
              <w:sz w:val="28"/>
              <w:szCs w:val="28"/>
            </w:rPr>
            <w:t>Processing</w:t>
          </w:r>
        </w:p>
        <w:p w14:paraId="5837C6F0" w14:textId="77777777" w:rsidR="00CD4F80" w:rsidRDefault="00CD4F80" w:rsidP="00A2297C">
          <w:pPr>
            <w:jc w:val="center"/>
            <w:rPr>
              <w:rFonts w:ascii="Times New Roman" w:hAnsi="Times New Roman"/>
              <w:sz w:val="28"/>
              <w:szCs w:val="28"/>
            </w:rPr>
          </w:pPr>
        </w:p>
        <w:p w14:paraId="6782ED4C" w14:textId="77777777" w:rsidR="00CD4F80" w:rsidRDefault="00CD4F80" w:rsidP="00A2297C">
          <w:pPr>
            <w:jc w:val="center"/>
            <w:rPr>
              <w:rFonts w:ascii="Times New Roman" w:hAnsi="Times New Roman"/>
              <w:sz w:val="28"/>
              <w:szCs w:val="28"/>
            </w:rPr>
          </w:pPr>
        </w:p>
        <w:p w14:paraId="504EADF6" w14:textId="77777777" w:rsidR="00CD4F80" w:rsidRDefault="00CD4F80" w:rsidP="00A2297C">
          <w:pPr>
            <w:jc w:val="center"/>
            <w:rPr>
              <w:rFonts w:ascii="Times New Roman" w:hAnsi="Times New Roman"/>
              <w:sz w:val="28"/>
              <w:szCs w:val="28"/>
            </w:rPr>
          </w:pPr>
        </w:p>
        <w:p w14:paraId="393770B4" w14:textId="77777777" w:rsidR="00D279E1" w:rsidRDefault="00D279E1" w:rsidP="00A2297C">
          <w:pPr>
            <w:jc w:val="center"/>
            <w:rPr>
              <w:rFonts w:ascii="Times New Roman" w:hAnsi="Times New Roman"/>
              <w:sz w:val="28"/>
              <w:szCs w:val="28"/>
            </w:rPr>
          </w:pPr>
        </w:p>
        <w:p w14:paraId="23DABF60" w14:textId="77777777" w:rsidR="007253AE" w:rsidRDefault="007253AE" w:rsidP="00A2297C">
          <w:pPr>
            <w:jc w:val="center"/>
            <w:rPr>
              <w:rFonts w:ascii="Times New Roman" w:hAnsi="Times New Roman"/>
              <w:sz w:val="28"/>
              <w:szCs w:val="28"/>
            </w:rPr>
          </w:pPr>
        </w:p>
        <w:p w14:paraId="23427D7A" w14:textId="77777777" w:rsidR="007253AE" w:rsidRDefault="007253AE" w:rsidP="00A2297C">
          <w:pPr>
            <w:jc w:val="center"/>
            <w:rPr>
              <w:rFonts w:ascii="Times New Roman" w:hAnsi="Times New Roman"/>
              <w:sz w:val="28"/>
              <w:szCs w:val="28"/>
            </w:rPr>
          </w:pPr>
        </w:p>
        <w:p w14:paraId="16A73214" w14:textId="77777777" w:rsidR="00CD4F80" w:rsidRPr="00CD4F80" w:rsidRDefault="00CD4F80" w:rsidP="00A2297C">
          <w:pPr>
            <w:jc w:val="center"/>
            <w:rPr>
              <w:rFonts w:ascii="Times New Roman" w:hAnsi="Times New Roman"/>
              <w:sz w:val="28"/>
              <w:szCs w:val="28"/>
            </w:rPr>
          </w:pPr>
        </w:p>
        <w:p w14:paraId="54004FAC" w14:textId="77777777" w:rsidR="00CD4F80" w:rsidRPr="00D279E1" w:rsidRDefault="00CD4F80" w:rsidP="00CD4F80">
          <w:pPr>
            <w:jc w:val="center"/>
            <w:rPr>
              <w:rFonts w:ascii="Times New Roman" w:hAnsi="Times New Roman"/>
            </w:rPr>
          </w:pPr>
          <w:r w:rsidRPr="00D279E1">
            <w:rPr>
              <w:rFonts w:ascii="Times New Roman" w:hAnsi="Times New Roman"/>
            </w:rPr>
            <w:t>By</w:t>
          </w:r>
        </w:p>
        <w:p w14:paraId="2AFD5546" w14:textId="77777777" w:rsidR="00CD4F80" w:rsidRPr="00D279E1" w:rsidRDefault="00CD4F80" w:rsidP="00CD4F80">
          <w:pPr>
            <w:jc w:val="center"/>
            <w:rPr>
              <w:rFonts w:ascii="Times New Roman" w:hAnsi="Times New Roman"/>
            </w:rPr>
          </w:pPr>
          <w:r w:rsidRPr="00D279E1">
            <w:rPr>
              <w:rFonts w:ascii="Times New Roman" w:hAnsi="Times New Roman"/>
            </w:rPr>
            <w:t>Justyna Skiba</w:t>
          </w:r>
        </w:p>
        <w:p w14:paraId="53BD2576" w14:textId="77777777" w:rsidR="00CD4F80" w:rsidRPr="00D279E1" w:rsidRDefault="00CD4F80" w:rsidP="00CD4F80">
          <w:pPr>
            <w:jc w:val="center"/>
            <w:rPr>
              <w:rFonts w:ascii="Times New Roman" w:hAnsi="Times New Roman"/>
            </w:rPr>
          </w:pPr>
          <w:r w:rsidRPr="00D279E1">
            <w:rPr>
              <w:rFonts w:ascii="Times New Roman" w:hAnsi="Times New Roman"/>
            </w:rPr>
            <w:t>S00274779 Student of Cert in Biopharmaceutical Sci (SG_SBIOP_E08)</w:t>
          </w:r>
        </w:p>
        <w:p w14:paraId="1A530134" w14:textId="77777777" w:rsidR="00CD4F80" w:rsidRPr="00D279E1" w:rsidRDefault="00CD4F80" w:rsidP="00CD4F80">
          <w:pPr>
            <w:jc w:val="center"/>
            <w:rPr>
              <w:rFonts w:ascii="Times New Roman" w:hAnsi="Times New Roman"/>
            </w:rPr>
          </w:pPr>
        </w:p>
        <w:p w14:paraId="7D61D97D" w14:textId="77777777" w:rsidR="00CD4F80" w:rsidRPr="00D279E1" w:rsidRDefault="00CD4F80" w:rsidP="00CD4F80">
          <w:pPr>
            <w:jc w:val="center"/>
            <w:rPr>
              <w:rFonts w:ascii="Times New Roman" w:hAnsi="Times New Roman"/>
            </w:rPr>
          </w:pPr>
        </w:p>
        <w:p w14:paraId="2DE19A0E" w14:textId="77777777" w:rsidR="00CD4F80" w:rsidRPr="00D279E1" w:rsidRDefault="00CD4F80" w:rsidP="00CD4F80">
          <w:pPr>
            <w:jc w:val="center"/>
            <w:rPr>
              <w:rFonts w:ascii="Times New Roman" w:hAnsi="Times New Roman"/>
            </w:rPr>
          </w:pPr>
          <w:r w:rsidRPr="00D279E1">
            <w:rPr>
              <w:rFonts w:ascii="Times New Roman" w:hAnsi="Times New Roman"/>
            </w:rPr>
            <w:t>Academic Supervisor:</w:t>
          </w:r>
        </w:p>
        <w:p w14:paraId="19E0518B" w14:textId="763C2335" w:rsidR="00D279E1" w:rsidRPr="00D279E1" w:rsidRDefault="00D279E1" w:rsidP="00CD4F80">
          <w:pPr>
            <w:jc w:val="center"/>
            <w:rPr>
              <w:rFonts w:ascii="Times New Roman" w:hAnsi="Times New Roman"/>
            </w:rPr>
          </w:pPr>
          <w:r w:rsidRPr="00D279E1">
            <w:rPr>
              <w:rFonts w:ascii="Times New Roman" w:hAnsi="Times New Roman"/>
            </w:rPr>
            <w:t>Robert Byrne</w:t>
          </w:r>
        </w:p>
        <w:p w14:paraId="42DFD87D" w14:textId="41E8A316" w:rsidR="00CD4F80" w:rsidRPr="00D279E1" w:rsidRDefault="00CD4F80" w:rsidP="00CD4F80">
          <w:pPr>
            <w:jc w:val="center"/>
            <w:rPr>
              <w:rFonts w:ascii="Times New Roman" w:hAnsi="Times New Roman"/>
            </w:rPr>
          </w:pPr>
        </w:p>
        <w:p w14:paraId="2080FF3D" w14:textId="77777777" w:rsidR="00CD4F80" w:rsidRPr="00D279E1" w:rsidRDefault="00CD4F80" w:rsidP="00CD4F80">
          <w:pPr>
            <w:jc w:val="center"/>
            <w:rPr>
              <w:rFonts w:ascii="Times New Roman" w:hAnsi="Times New Roman"/>
            </w:rPr>
          </w:pPr>
        </w:p>
        <w:p w14:paraId="79EBF3CF" w14:textId="4A49FE93" w:rsidR="00FF52A7" w:rsidRPr="00D279E1" w:rsidRDefault="00CD4F80" w:rsidP="00FF52A7">
          <w:pPr>
            <w:jc w:val="center"/>
            <w:rPr>
              <w:rFonts w:ascii="Times New Roman" w:hAnsi="Times New Roman"/>
              <w:b/>
              <w:bCs/>
            </w:rPr>
          </w:pPr>
          <w:r w:rsidRPr="00D279E1">
            <w:rPr>
              <w:rFonts w:ascii="Times New Roman" w:hAnsi="Times New Roman"/>
            </w:rPr>
            <w:t>L8</w:t>
          </w:r>
          <w:r w:rsidR="00D279E1" w:rsidRPr="00D279E1">
            <w:t xml:space="preserve"> </w:t>
          </w:r>
          <w:r w:rsidR="00D279E1" w:rsidRPr="00D279E1">
            <w:rPr>
              <w:rFonts w:ascii="Times New Roman" w:hAnsi="Times New Roman"/>
            </w:rPr>
            <w:t>Protein Purification</w:t>
          </w:r>
          <w:r w:rsidRPr="00D279E1">
            <w:rPr>
              <w:rFonts w:ascii="Times New Roman" w:hAnsi="Times New Roman"/>
            </w:rPr>
            <w:t xml:space="preserve"> </w:t>
          </w:r>
          <w:r w:rsidR="00FF52A7" w:rsidRPr="00D279E1">
            <w:rPr>
              <w:rFonts w:ascii="Times New Roman" w:hAnsi="Times New Roman"/>
            </w:rPr>
            <w:t>(BIO08044)</w:t>
          </w:r>
        </w:p>
        <w:p w14:paraId="4F840823" w14:textId="6BF53638" w:rsidR="00CD4F80" w:rsidRPr="00D279E1" w:rsidRDefault="00CD4F80" w:rsidP="00CD4F80">
          <w:pPr>
            <w:jc w:val="center"/>
            <w:rPr>
              <w:rFonts w:ascii="Times New Roman" w:hAnsi="Times New Roman"/>
            </w:rPr>
          </w:pPr>
          <w:r w:rsidRPr="00D279E1">
            <w:rPr>
              <w:rFonts w:ascii="Times New Roman" w:hAnsi="Times New Roman"/>
            </w:rPr>
            <w:t>2025</w:t>
          </w:r>
        </w:p>
        <w:p w14:paraId="7905EF4A" w14:textId="77777777" w:rsidR="007253AE" w:rsidRDefault="00777A30" w:rsidP="007253AE">
          <w:pPr>
            <w:suppressAutoHyphens w:val="0"/>
            <w:rPr>
              <w:rFonts w:ascii="Times New Roman" w:hAnsi="Times New Roman"/>
            </w:rPr>
          </w:pPr>
          <w:r w:rsidRPr="00A2297C">
            <w:rPr>
              <w:rFonts w:ascii="Times New Roman" w:hAnsi="Times New Roman"/>
            </w:rPr>
            <w:br w:type="page"/>
          </w:r>
        </w:p>
      </w:sdtContent>
    </w:sdt>
    <w:p w14:paraId="49B27FFB" w14:textId="389CF8EA" w:rsidR="00B21488" w:rsidRPr="007253AE" w:rsidRDefault="00B21488" w:rsidP="007253AE">
      <w:pPr>
        <w:suppressAutoHyphens w:val="0"/>
      </w:pPr>
      <w:r w:rsidRPr="00E76E82">
        <w:rPr>
          <w:rFonts w:ascii="Times New Roman" w:hAnsi="Times New Roman"/>
          <w:b/>
          <w:bCs/>
        </w:rPr>
        <w:lastRenderedPageBreak/>
        <w:t>Abstract</w:t>
      </w:r>
    </w:p>
    <w:p w14:paraId="37AEE353" w14:textId="2C2C04A9" w:rsidR="00BE71B1" w:rsidRDefault="00B21488" w:rsidP="00E76E82">
      <w:pPr>
        <w:spacing w:after="0" w:line="360" w:lineRule="auto"/>
        <w:jc w:val="both"/>
        <w:rPr>
          <w:rFonts w:ascii="Times New Roman" w:hAnsi="Times New Roman"/>
        </w:rPr>
      </w:pPr>
      <w:r w:rsidRPr="00E76E82">
        <w:rPr>
          <w:rFonts w:ascii="Times New Roman" w:hAnsi="Times New Roman"/>
        </w:rPr>
        <w:t>This paper reviews the critical role of affinity chromatography in the downstream processing of monoclonal antibodies, highlighting its high selectivity for efficient capture and impurity removal. Predominantly using Protein A, this initial purification step is crucial, followed by polishing methods to meet regulatory standards. Recent advancements include novel ligands and resin technologies, such as nanofiber adsorbents, alongside the development of continuous and automated bioprocessing approaches. Despite its effectiveness in achieving high purity and yield, challenges persist regarding resin cost, scalability, and lifetime. The review concludes that affinity chromatography remains a vital technique for mAb purification, with ongoing research focused on innovative ligands, reduced non-specific binding, improved resin performance, and enhanced process integration to further optimise its application in biopharmaceutical manufacturing.</w:t>
      </w:r>
    </w:p>
    <w:p w14:paraId="35638F24" w14:textId="77777777" w:rsidR="003B122D" w:rsidRPr="00E76E82" w:rsidRDefault="003B122D" w:rsidP="00E76E82">
      <w:pPr>
        <w:spacing w:after="0" w:line="360" w:lineRule="auto"/>
        <w:jc w:val="both"/>
        <w:rPr>
          <w:rFonts w:ascii="Times New Roman" w:hAnsi="Times New Roman"/>
        </w:rPr>
      </w:pPr>
    </w:p>
    <w:p w14:paraId="1D15D826" w14:textId="78D850CD" w:rsidR="00B354B0" w:rsidRPr="003B122D" w:rsidRDefault="003B122D" w:rsidP="003B122D">
      <w:pPr>
        <w:spacing w:after="0" w:line="360" w:lineRule="auto"/>
        <w:jc w:val="both"/>
        <w:rPr>
          <w:rFonts w:ascii="Times New Roman" w:hAnsi="Times New Roman"/>
          <w:b/>
          <w:bCs/>
        </w:rPr>
      </w:pPr>
      <w:r>
        <w:rPr>
          <w:rFonts w:ascii="Times New Roman" w:hAnsi="Times New Roman"/>
          <w:b/>
          <w:bCs/>
        </w:rPr>
        <w:t xml:space="preserve">1. </w:t>
      </w:r>
      <w:r w:rsidR="00BE71B1" w:rsidRPr="003B122D">
        <w:rPr>
          <w:rFonts w:ascii="Times New Roman" w:hAnsi="Times New Roman"/>
          <w:b/>
          <w:bCs/>
        </w:rPr>
        <w:t>Introduction</w:t>
      </w:r>
    </w:p>
    <w:p w14:paraId="0D7E5EB9" w14:textId="661D3109" w:rsidR="00E63E05" w:rsidRDefault="00693D16" w:rsidP="00E76E82">
      <w:pPr>
        <w:spacing w:after="0" w:line="360" w:lineRule="auto"/>
        <w:ind w:firstLine="720"/>
        <w:jc w:val="both"/>
        <w:rPr>
          <w:rFonts w:ascii="Times New Roman" w:hAnsi="Times New Roman"/>
        </w:rPr>
      </w:pPr>
      <w:r w:rsidRPr="00E76E82">
        <w:rPr>
          <w:rFonts w:ascii="Times New Roman" w:hAnsi="Times New Roman"/>
        </w:rPr>
        <w:t>Monoclonal antibodies (mAbs) have become a cornerstone of modern biopharmaceutical development, revolutionising the treatment of a wide array of diseases. These engineered proteins are designed to specifically target a single epitope on an antigen, offering a high degree of precision in their therapeutic action</w:t>
      </w:r>
      <w:r w:rsidR="00697C4D" w:rsidRPr="00E76E82">
        <w:rPr>
          <w:rFonts w:ascii="Times New Roman" w:hAnsi="Times New Roman"/>
        </w:rPr>
        <w:t xml:space="preserve">. </w:t>
      </w:r>
      <w:r w:rsidRPr="00E76E82">
        <w:rPr>
          <w:rFonts w:ascii="Times New Roman" w:hAnsi="Times New Roman"/>
        </w:rPr>
        <w:t>Unlike traditional small molecule drugs, mAbs are large, complex molecules produced in living cell systems</w:t>
      </w:r>
      <w:r w:rsidR="00697C4D" w:rsidRPr="00E76E82">
        <w:rPr>
          <w:rFonts w:ascii="Times New Roman" w:hAnsi="Times New Roman"/>
        </w:rPr>
        <w:t>.</w:t>
      </w:r>
      <w:r w:rsidR="004C3DEC" w:rsidRPr="00E76E82">
        <w:rPr>
          <w:rFonts w:ascii="Times New Roman" w:hAnsi="Times New Roman"/>
        </w:rPr>
        <w:t xml:space="preserve"> </w:t>
      </w:r>
      <w:r w:rsidRPr="00E76E82">
        <w:rPr>
          <w:rFonts w:ascii="Times New Roman" w:hAnsi="Times New Roman"/>
        </w:rPr>
        <w:t>The production of mAbs typically involves culturing genetically engineered cells, such as mammalian cell lines, which are designed to secrete the desired antibody</w:t>
      </w:r>
      <w:r w:rsidR="00697C4D" w:rsidRPr="00E76E82">
        <w:rPr>
          <w:rFonts w:ascii="Times New Roman" w:hAnsi="Times New Roman"/>
        </w:rPr>
        <w:t xml:space="preserve">. </w:t>
      </w:r>
      <w:r w:rsidRPr="00E76E82">
        <w:rPr>
          <w:rFonts w:ascii="Times New Roman" w:hAnsi="Times New Roman"/>
        </w:rPr>
        <w:t>These cellular expression systems are crucial for producing the large quantities of mAbs required for therapeutic applications</w:t>
      </w:r>
      <w:r w:rsidR="00D253DF" w:rsidRPr="00E76E82">
        <w:rPr>
          <w:rFonts w:ascii="Times New Roman" w:hAnsi="Times New Roman"/>
        </w:rPr>
        <w:t xml:space="preserve"> (Bouvarel et al., 2022)</w:t>
      </w:r>
      <w:r w:rsidR="00EF0107" w:rsidRPr="00E76E82">
        <w:rPr>
          <w:rFonts w:ascii="Times New Roman" w:hAnsi="Times New Roman"/>
        </w:rPr>
        <w:t>.</w:t>
      </w:r>
      <w:r w:rsidR="004C3DEC" w:rsidRPr="00E76E82">
        <w:rPr>
          <w:rFonts w:ascii="Times New Roman" w:hAnsi="Times New Roman"/>
        </w:rPr>
        <w:t xml:space="preserve"> </w:t>
      </w:r>
      <w:r w:rsidRPr="00E76E82">
        <w:rPr>
          <w:rFonts w:ascii="Times New Roman" w:hAnsi="Times New Roman"/>
        </w:rPr>
        <w:t>The significance of mAbs in biopharmaceuticals stems from their unique properties. Their high target specificity allows them to selectively interact with disease-related molecules or cells, minimising off-target effects and improving therapeutic outcomes</w:t>
      </w:r>
      <w:r w:rsidR="00D253DF" w:rsidRPr="00E76E82">
        <w:rPr>
          <w:rFonts w:ascii="Times New Roman" w:hAnsi="Times New Roman"/>
        </w:rPr>
        <w:t xml:space="preserve"> (Bouvarel et al., 2022)</w:t>
      </w:r>
      <w:r w:rsidRPr="00E76E82">
        <w:rPr>
          <w:rFonts w:ascii="Times New Roman" w:hAnsi="Times New Roman"/>
        </w:rPr>
        <w:t>. Furthermore, mAbs possess distinct pharmacokinetic (PK) and pharmacodynamic (PD) properties, influencing how they are absorbed, distributed, metabolised, and excreted by the body, as well as their mechanism of action</w:t>
      </w:r>
      <w:r w:rsidR="00EF0107" w:rsidRPr="00E76E82">
        <w:rPr>
          <w:rFonts w:ascii="Times New Roman" w:hAnsi="Times New Roman"/>
        </w:rPr>
        <w:t xml:space="preserve"> </w:t>
      </w:r>
      <w:r w:rsidR="004B3FD6" w:rsidRPr="00E76E82">
        <w:rPr>
          <w:rFonts w:ascii="Times New Roman" w:hAnsi="Times New Roman"/>
        </w:rPr>
        <w:t xml:space="preserve">(Tran et al., 2024). </w:t>
      </w:r>
      <w:r w:rsidRPr="00E76E82">
        <w:rPr>
          <w:rFonts w:ascii="Times New Roman" w:hAnsi="Times New Roman"/>
        </w:rPr>
        <w:t>The Fc region of the mAb, for instance, plays a key role in mediating effector functions and influencing their PK/PD profile through interactions with Fc receptors</w:t>
      </w:r>
      <w:r w:rsidR="00D253DF" w:rsidRPr="00E76E82">
        <w:rPr>
          <w:rFonts w:ascii="Times New Roman" w:hAnsi="Times New Roman"/>
        </w:rPr>
        <w:t xml:space="preserve"> </w:t>
      </w:r>
      <w:r w:rsidR="00E63E05">
        <w:rPr>
          <w:rFonts w:ascii="Times New Roman" w:hAnsi="Times New Roman"/>
        </w:rPr>
        <w:t xml:space="preserve">(Figure 1), </w:t>
      </w:r>
      <w:r w:rsidR="00D253DF" w:rsidRPr="00E76E82">
        <w:rPr>
          <w:rFonts w:ascii="Times New Roman" w:hAnsi="Times New Roman"/>
        </w:rPr>
        <w:t>(Bouvarel et al., 2022)</w:t>
      </w:r>
      <w:r w:rsidRPr="00E76E82">
        <w:rPr>
          <w:rFonts w:ascii="Times New Roman" w:hAnsi="Times New Roman"/>
        </w:rPr>
        <w:t>. This allows for the development of mAbs with tailored properties, such as extended serum half-life</w:t>
      </w:r>
      <w:r w:rsidR="00C304EE" w:rsidRPr="00E76E82">
        <w:rPr>
          <w:rFonts w:ascii="Times New Roman" w:hAnsi="Times New Roman"/>
        </w:rPr>
        <w:t xml:space="preserve"> (Cotham et al., 2023)</w:t>
      </w:r>
      <w:r w:rsidRPr="00E76E82">
        <w:rPr>
          <w:rFonts w:ascii="Times New Roman" w:hAnsi="Times New Roman"/>
        </w:rPr>
        <w:t>.</w:t>
      </w:r>
      <w:r w:rsidR="004B3FD6" w:rsidRPr="00E76E82">
        <w:rPr>
          <w:rFonts w:ascii="Times New Roman" w:hAnsi="Times New Roman"/>
        </w:rPr>
        <w:t xml:space="preserve"> In </w:t>
      </w:r>
      <w:r w:rsidR="00852DCB" w:rsidRPr="00E76E82">
        <w:rPr>
          <w:rFonts w:ascii="Times New Roman" w:hAnsi="Times New Roman"/>
        </w:rPr>
        <w:t>essence</w:t>
      </w:r>
      <w:r w:rsidR="004B3FD6" w:rsidRPr="00E76E82">
        <w:rPr>
          <w:rFonts w:ascii="Times New Roman" w:hAnsi="Times New Roman"/>
        </w:rPr>
        <w:t xml:space="preserve">, monoclonal antibodies represent a vital class of biopharmaceutical agents due to their high specificity, tailored PK/PD properties, and broad </w:t>
      </w:r>
      <w:r w:rsidR="004B3FD6" w:rsidRPr="00E76E82">
        <w:rPr>
          <w:rFonts w:ascii="Times New Roman" w:hAnsi="Times New Roman"/>
        </w:rPr>
        <w:lastRenderedPageBreak/>
        <w:t>therapeutic potential across diseases such as cancer, autoimmune disorders, and infectious diseases (Tran et al., 2024).</w:t>
      </w:r>
      <w:r w:rsidR="004C3DEC" w:rsidRPr="00E76E82">
        <w:rPr>
          <w:rFonts w:ascii="Times New Roman" w:hAnsi="Times New Roman"/>
        </w:rPr>
        <w:t xml:space="preserve"> </w:t>
      </w:r>
    </w:p>
    <w:p w14:paraId="013975B2" w14:textId="28B9D3C6" w:rsidR="00E63E05" w:rsidRDefault="00A93B18" w:rsidP="00A93B18">
      <w:pPr>
        <w:spacing w:after="0" w:line="360" w:lineRule="auto"/>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59264" behindDoc="0" locked="0" layoutInCell="1" allowOverlap="1" wp14:anchorId="7BFE1995" wp14:editId="3B592003">
                <wp:simplePos x="0" y="0"/>
                <wp:positionH relativeFrom="column">
                  <wp:posOffset>1162050</wp:posOffset>
                </wp:positionH>
                <wp:positionV relativeFrom="paragraph">
                  <wp:posOffset>198120</wp:posOffset>
                </wp:positionV>
                <wp:extent cx="196850" cy="158750"/>
                <wp:effectExtent l="0" t="0" r="0" b="0"/>
                <wp:wrapNone/>
                <wp:docPr id="1843076411" name="Oval 1"/>
                <wp:cNvGraphicFramePr/>
                <a:graphic xmlns:a="http://schemas.openxmlformats.org/drawingml/2006/main">
                  <a:graphicData uri="http://schemas.microsoft.com/office/word/2010/wordprocessingShape">
                    <wps:wsp>
                      <wps:cNvSpPr/>
                      <wps:spPr>
                        <a:xfrm>
                          <a:off x="0" y="0"/>
                          <a:ext cx="196850" cy="15875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208A55" id="Oval 1" o:spid="_x0000_s1026" style="position:absolute;margin-left:91.5pt;margin-top:15.6pt;width:15.5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" fillcolor="white [3212]" stroked="f" strokeweight="1pt">
                <v:stroke joinstyle="miter"/>
              </v:oval>
            </w:pict>
          </mc:Fallback>
        </mc:AlternateContent>
      </w:r>
      <w:r w:rsidR="00E63E05" w:rsidRPr="00E63E05">
        <w:rPr>
          <w:rFonts w:ascii="Times New Roman" w:hAnsi="Times New Roman"/>
          <w:noProof/>
        </w:rPr>
        <w:drawing>
          <wp:inline distT="0" distB="0" distL="0" distR="0" wp14:anchorId="0A4785EA" wp14:editId="1DBBCCD2">
            <wp:extent cx="3556000" cy="3028470"/>
            <wp:effectExtent l="0" t="0" r="6350" b="635"/>
            <wp:docPr id="862066044" name="Picture 1" descr="A diagram of a prote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6044" name="Picture 1" descr="A diagram of a protein&#10;&#10;AI-generated content may be incorrect."/>
                    <pic:cNvPicPr/>
                  </pic:nvPicPr>
                  <pic:blipFill>
                    <a:blip r:embed="rId8"/>
                    <a:stretch>
                      <a:fillRect/>
                    </a:stretch>
                  </pic:blipFill>
                  <pic:spPr>
                    <a:xfrm>
                      <a:off x="0" y="0"/>
                      <a:ext cx="3566574" cy="3037475"/>
                    </a:xfrm>
                    <a:prstGeom prst="rect">
                      <a:avLst/>
                    </a:prstGeom>
                  </pic:spPr>
                </pic:pic>
              </a:graphicData>
            </a:graphic>
          </wp:inline>
        </w:drawing>
      </w:r>
    </w:p>
    <w:p w14:paraId="0EB47E4D" w14:textId="427AD2D4" w:rsidR="00A93B18" w:rsidRDefault="006E5FE0" w:rsidP="00A93B18">
      <w:pPr>
        <w:spacing w:after="0" w:line="240" w:lineRule="auto"/>
        <w:rPr>
          <w:rFonts w:ascii="Times New Roman" w:hAnsi="Times New Roman"/>
        </w:rPr>
      </w:pPr>
      <w:r w:rsidRPr="00A93B18">
        <w:rPr>
          <w:rFonts w:ascii="Times New Roman" w:hAnsi="Times New Roman"/>
          <w:sz w:val="20"/>
          <w:szCs w:val="20"/>
        </w:rPr>
        <w:t>Figure 1.</w:t>
      </w:r>
      <w:r w:rsidR="00A93B18" w:rsidRPr="00A93B18">
        <w:rPr>
          <w:b/>
          <w:bCs/>
        </w:rPr>
        <w:t xml:space="preserve"> </w:t>
      </w:r>
      <w:r w:rsidR="00A93B18" w:rsidRPr="00A93B18">
        <w:rPr>
          <w:rFonts w:ascii="Times New Roman" w:hAnsi="Times New Roman"/>
          <w:sz w:val="20"/>
          <w:szCs w:val="20"/>
        </w:rPr>
        <w:t>Structural representation of a monoclonal antibody (mAb):</w:t>
      </w:r>
      <w:r w:rsidR="00A93B18" w:rsidRPr="00A93B18">
        <w:rPr>
          <w:rFonts w:ascii="Times New Roman" w:hAnsi="Times New Roman"/>
          <w:sz w:val="20"/>
          <w:szCs w:val="20"/>
        </w:rPr>
        <w:br/>
        <w:t>The antigen-binding sites, known as complementarity-determining regions (CDRs), are located within the Fab region and are responsible for binding specific targets, leading to either inhibition or activation of signalling pathways. The Fc region comprises the hinge segment and the constant domains of the heavy chain (CH2 and CH3), and it plays roles in immune effector functions, such as interacting with Fc receptors and activating the complement system</w:t>
      </w:r>
      <w:r w:rsidR="00B812CD" w:rsidRPr="00B812CD">
        <w:t xml:space="preserve"> </w:t>
      </w:r>
      <w:r w:rsidR="00B812CD" w:rsidRPr="00B812CD">
        <w:rPr>
          <w:rFonts w:ascii="Times New Roman" w:hAnsi="Times New Roman"/>
          <w:sz w:val="20"/>
          <w:szCs w:val="20"/>
        </w:rPr>
        <w:t>(</w:t>
      </w:r>
      <w:proofErr w:type="spellStart"/>
      <w:r w:rsidR="00B812CD" w:rsidRPr="00B812CD">
        <w:rPr>
          <w:rFonts w:ascii="Times New Roman" w:hAnsi="Times New Roman"/>
          <w:sz w:val="20"/>
          <w:szCs w:val="20"/>
        </w:rPr>
        <w:t>Aranez</w:t>
      </w:r>
      <w:proofErr w:type="spellEnd"/>
      <w:r w:rsidR="00B812CD" w:rsidRPr="00B812CD">
        <w:rPr>
          <w:rFonts w:ascii="Times New Roman" w:hAnsi="Times New Roman"/>
          <w:sz w:val="20"/>
          <w:szCs w:val="20"/>
        </w:rPr>
        <w:t xml:space="preserve"> and Ambrus, 2019)</w:t>
      </w:r>
      <w:r w:rsidRPr="00A93B18">
        <w:rPr>
          <w:rFonts w:ascii="Times New Roman" w:hAnsi="Times New Roman"/>
          <w:sz w:val="20"/>
          <w:szCs w:val="20"/>
        </w:rPr>
        <w:t>.</w:t>
      </w:r>
    </w:p>
    <w:p w14:paraId="7BD6427E" w14:textId="75C481CD" w:rsidR="00E63E05" w:rsidRDefault="006E5FE0" w:rsidP="00A93B18">
      <w:pPr>
        <w:spacing w:after="0" w:line="360" w:lineRule="auto"/>
        <w:jc w:val="both"/>
        <w:rPr>
          <w:rFonts w:ascii="Times New Roman" w:hAnsi="Times New Roman"/>
        </w:rPr>
      </w:pPr>
      <w:r w:rsidRPr="006E5FE0">
        <w:rPr>
          <w:rFonts w:ascii="Times New Roman" w:hAnsi="Times New Roman"/>
        </w:rPr>
        <w:t xml:space="preserve"> </w:t>
      </w:r>
    </w:p>
    <w:p w14:paraId="7460F578" w14:textId="1464D89A" w:rsidR="00DE3CC8" w:rsidRPr="00E76E82" w:rsidRDefault="00693D16" w:rsidP="00E76E82">
      <w:pPr>
        <w:spacing w:after="0" w:line="360" w:lineRule="auto"/>
        <w:ind w:firstLine="720"/>
        <w:jc w:val="both"/>
        <w:rPr>
          <w:rFonts w:ascii="Times New Roman" w:hAnsi="Times New Roman"/>
        </w:rPr>
      </w:pPr>
      <w:r w:rsidRPr="00E76E82">
        <w:rPr>
          <w:rFonts w:ascii="Times New Roman" w:hAnsi="Times New Roman"/>
        </w:rPr>
        <w:t>However, the production of mAbs is a complex process. As they are produced in biological systems, they are susceptible to various enzymatic and chemical post-translational modifications (PTMs) that can potentially alter their structure, stability, and function</w:t>
      </w:r>
      <w:r w:rsidR="00034DBD" w:rsidRPr="00E76E82">
        <w:rPr>
          <w:rFonts w:ascii="Times New Roman" w:hAnsi="Times New Roman"/>
        </w:rPr>
        <w:t xml:space="preserve"> (Bouvarel et al., 2022).</w:t>
      </w:r>
      <w:r w:rsidRPr="00E76E82">
        <w:rPr>
          <w:rFonts w:ascii="Times New Roman" w:hAnsi="Times New Roman"/>
        </w:rPr>
        <w:t xml:space="preserve"> These modifications can include glycosylation, oxidation, and deamidation, highlighting the importance of robust analytical techniques for their characterisation</w:t>
      </w:r>
      <w:r w:rsidR="008D2998" w:rsidRPr="00E76E82">
        <w:rPr>
          <w:rFonts w:ascii="Times New Roman" w:hAnsi="Times New Roman"/>
        </w:rPr>
        <w:t xml:space="preserve"> (Cotham et al., 2023)</w:t>
      </w:r>
      <w:r w:rsidRPr="00E76E82">
        <w:rPr>
          <w:rFonts w:ascii="Times New Roman" w:hAnsi="Times New Roman"/>
        </w:rPr>
        <w:t>.</w:t>
      </w:r>
      <w:r w:rsidR="00DE3CC8" w:rsidRPr="00E76E82">
        <w:rPr>
          <w:rFonts w:ascii="Times New Roman" w:hAnsi="Times New Roman"/>
        </w:rPr>
        <w:t xml:space="preserve"> </w:t>
      </w:r>
      <w:r w:rsidRPr="00E76E82">
        <w:rPr>
          <w:rFonts w:ascii="Times New Roman" w:hAnsi="Times New Roman"/>
        </w:rPr>
        <w:t>Their continued development and application underscore their enduring significance in the landscape of modern medicine</w:t>
      </w:r>
      <w:r w:rsidR="00122721" w:rsidRPr="00E76E82">
        <w:rPr>
          <w:rFonts w:ascii="Times New Roman" w:hAnsi="Times New Roman"/>
        </w:rPr>
        <w:t xml:space="preserve"> (Sachio et al., 2024).</w:t>
      </w:r>
    </w:p>
    <w:p w14:paraId="216882B3" w14:textId="139F617C" w:rsidR="00D253DF" w:rsidRDefault="00CE587A" w:rsidP="00E76E82">
      <w:pPr>
        <w:spacing w:after="0" w:line="360" w:lineRule="auto"/>
        <w:ind w:firstLine="720"/>
        <w:jc w:val="both"/>
        <w:rPr>
          <w:rFonts w:ascii="Times New Roman" w:hAnsi="Times New Roman"/>
        </w:rPr>
      </w:pPr>
      <w:r w:rsidRPr="00E76E82">
        <w:rPr>
          <w:rFonts w:ascii="Times New Roman" w:hAnsi="Times New Roman"/>
        </w:rPr>
        <w:t>Downstream processing (DSP) plays a crucial role in the production of mAbs, as it is responsible for the isolation and purification of the target molecule from the complex mixture of the cell culture</w:t>
      </w:r>
      <w:r w:rsidR="00B11960">
        <w:rPr>
          <w:rFonts w:ascii="Times New Roman" w:hAnsi="Times New Roman"/>
        </w:rPr>
        <w:t>,</w:t>
      </w:r>
      <w:r w:rsidR="004B7DB7">
        <w:rPr>
          <w:rFonts w:ascii="Times New Roman" w:hAnsi="Times New Roman"/>
        </w:rPr>
        <w:t xml:space="preserve"> </w:t>
      </w:r>
      <w:r w:rsidRPr="00E76E82">
        <w:rPr>
          <w:rFonts w:ascii="Times New Roman" w:hAnsi="Times New Roman"/>
        </w:rPr>
        <w:t>following upstream processing (USP)</w:t>
      </w:r>
      <w:r w:rsidR="00FB7601" w:rsidRPr="00E76E82">
        <w:rPr>
          <w:rFonts w:ascii="Times New Roman" w:hAnsi="Times New Roman"/>
        </w:rPr>
        <w:t xml:space="preserve"> (Sachio et al., 2024)</w:t>
      </w:r>
      <w:r w:rsidR="00B11960">
        <w:rPr>
          <w:rFonts w:ascii="Times New Roman" w:hAnsi="Times New Roman"/>
        </w:rPr>
        <w:t xml:space="preserve"> (Figure2)</w:t>
      </w:r>
      <w:r w:rsidRPr="00E76E82">
        <w:rPr>
          <w:rFonts w:ascii="Times New Roman" w:hAnsi="Times New Roman"/>
        </w:rPr>
        <w:t>. This purification is essential to remove a variety of process- and product-related impurities, including host cell proteins (HCPs), DNA, endotoxins, and potential aggregates, which can compromise the safety and efficacy of the final therapeutic product</w:t>
      </w:r>
      <w:r w:rsidR="002D7699" w:rsidRPr="00E76E82">
        <w:rPr>
          <w:rFonts w:ascii="Times New Roman" w:hAnsi="Times New Roman"/>
        </w:rPr>
        <w:t xml:space="preserve"> (Zollner et al., 2024)</w:t>
      </w:r>
      <w:r w:rsidRPr="00E76E82">
        <w:rPr>
          <w:rFonts w:ascii="Times New Roman" w:hAnsi="Times New Roman"/>
        </w:rPr>
        <w:t>. Furthermore, DSP can account for a significant portion, potentially up to 80%, of the total manufacturing costs, highlighting its economic importance in mAb production</w:t>
      </w:r>
      <w:r w:rsidR="00A56FBF" w:rsidRPr="00E76E82">
        <w:rPr>
          <w:rFonts w:ascii="Times New Roman" w:hAnsi="Times New Roman"/>
        </w:rPr>
        <w:t xml:space="preserve"> (Sachio et al., </w:t>
      </w:r>
      <w:r w:rsidR="00A56FBF" w:rsidRPr="00E76E82">
        <w:rPr>
          <w:rFonts w:ascii="Times New Roman" w:hAnsi="Times New Roman"/>
        </w:rPr>
        <w:lastRenderedPageBreak/>
        <w:t>2024)</w:t>
      </w:r>
      <w:r w:rsidRPr="00E76E82">
        <w:rPr>
          <w:rFonts w:ascii="Times New Roman" w:hAnsi="Times New Roman"/>
        </w:rPr>
        <w:t>. Efficient DSP strategies are therefore vital for achieving the required levels of product purity and quality mandated by regulatory authorities, ultimately ensuring the delivery of safe and effective mAb-based therapies to patients</w:t>
      </w:r>
      <w:r w:rsidR="00852DCB" w:rsidRPr="00E76E82">
        <w:rPr>
          <w:rFonts w:ascii="Times New Roman" w:hAnsi="Times New Roman"/>
        </w:rPr>
        <w:t xml:space="preserve"> (Sachio et al., 2024).</w:t>
      </w:r>
      <w:r w:rsidRPr="00E76E82">
        <w:rPr>
          <w:rFonts w:ascii="Times New Roman" w:hAnsi="Times New Roman"/>
        </w:rPr>
        <w:t xml:space="preserve"> Moreover, the development and optimisation of DSP techniques are critical for the scalability of mAb manufacturing processes to meet increasing demands</w:t>
      </w:r>
      <w:r w:rsidR="00852DCB" w:rsidRPr="00E76E82">
        <w:rPr>
          <w:rFonts w:ascii="Times New Roman" w:hAnsi="Times New Roman"/>
        </w:rPr>
        <w:t xml:space="preserve"> (Sachio et al., 2024).</w:t>
      </w:r>
    </w:p>
    <w:p w14:paraId="520A75B0" w14:textId="77777777" w:rsidR="004B7DB7" w:rsidRDefault="004B7DB7" w:rsidP="00E76E82">
      <w:pPr>
        <w:spacing w:after="0" w:line="360" w:lineRule="auto"/>
        <w:ind w:firstLine="720"/>
        <w:jc w:val="both"/>
        <w:rPr>
          <w:rFonts w:ascii="Times New Roman" w:hAnsi="Times New Roman"/>
        </w:rPr>
      </w:pPr>
    </w:p>
    <w:p w14:paraId="36D0A8FA" w14:textId="404E957C" w:rsidR="004B7DB7" w:rsidRDefault="004B7DB7" w:rsidP="004B7DB7">
      <w:pPr>
        <w:spacing w:after="0" w:line="360" w:lineRule="auto"/>
        <w:jc w:val="center"/>
        <w:rPr>
          <w:rFonts w:ascii="Times New Roman" w:hAnsi="Times New Roman"/>
        </w:rPr>
      </w:pPr>
      <w:r w:rsidRPr="004B7DB7">
        <w:rPr>
          <w:rFonts w:ascii="Times New Roman" w:hAnsi="Times New Roman"/>
          <w:noProof/>
        </w:rPr>
        <w:drawing>
          <wp:inline distT="0" distB="0" distL="0" distR="0" wp14:anchorId="21C98E64" wp14:editId="44BD6232">
            <wp:extent cx="5731510" cy="2142490"/>
            <wp:effectExtent l="0" t="0" r="2540" b="0"/>
            <wp:docPr id="823408111" name="Picture 1" descr="A diagram of a baby be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8111" name="Picture 1" descr="A diagram of a baby bed&#10;&#10;AI-generated content may be incorrect."/>
                    <pic:cNvPicPr/>
                  </pic:nvPicPr>
                  <pic:blipFill>
                    <a:blip r:embed="rId9"/>
                    <a:stretch>
                      <a:fillRect/>
                    </a:stretch>
                  </pic:blipFill>
                  <pic:spPr>
                    <a:xfrm>
                      <a:off x="0" y="0"/>
                      <a:ext cx="5731510" cy="2142490"/>
                    </a:xfrm>
                    <a:prstGeom prst="rect">
                      <a:avLst/>
                    </a:prstGeom>
                  </pic:spPr>
                </pic:pic>
              </a:graphicData>
            </a:graphic>
          </wp:inline>
        </w:drawing>
      </w:r>
    </w:p>
    <w:p w14:paraId="603C0EA2" w14:textId="0D6B6453" w:rsidR="004B7DB7" w:rsidRDefault="004B7DB7" w:rsidP="00D05DDE">
      <w:pPr>
        <w:spacing w:after="0" w:line="240" w:lineRule="auto"/>
        <w:rPr>
          <w:rFonts w:ascii="Times New Roman" w:hAnsi="Times New Roman"/>
          <w:sz w:val="20"/>
          <w:szCs w:val="20"/>
        </w:rPr>
      </w:pPr>
      <w:r w:rsidRPr="00D05DDE">
        <w:rPr>
          <w:rFonts w:ascii="Times New Roman" w:hAnsi="Times New Roman"/>
          <w:sz w:val="20"/>
          <w:szCs w:val="20"/>
        </w:rPr>
        <w:t>Figure</w:t>
      </w:r>
      <w:r w:rsidR="00D05DDE" w:rsidRPr="00D05DDE">
        <w:rPr>
          <w:rFonts w:ascii="Times New Roman" w:hAnsi="Times New Roman"/>
          <w:sz w:val="20"/>
          <w:szCs w:val="20"/>
        </w:rPr>
        <w:t xml:space="preserve"> 2</w:t>
      </w:r>
      <w:r w:rsidRPr="00D05DDE">
        <w:rPr>
          <w:rFonts w:ascii="Times New Roman" w:hAnsi="Times New Roman"/>
          <w:sz w:val="20"/>
          <w:szCs w:val="20"/>
        </w:rPr>
        <w:t xml:space="preserve">. </w:t>
      </w:r>
      <w:r w:rsidR="00835E1E" w:rsidRPr="00D05DDE">
        <w:rPr>
          <w:rFonts w:ascii="Times New Roman" w:hAnsi="Times New Roman"/>
          <w:sz w:val="20"/>
          <w:szCs w:val="20"/>
        </w:rPr>
        <w:t xml:space="preserve">Schematic representation of </w:t>
      </w:r>
      <w:r w:rsidR="00D05DDE" w:rsidRPr="00D05DDE">
        <w:rPr>
          <w:rFonts w:ascii="Times New Roman" w:hAnsi="Times New Roman"/>
          <w:sz w:val="20"/>
          <w:szCs w:val="20"/>
        </w:rPr>
        <w:t>upstream processing (USP) and downstream processing (DSP) in the production of mAbs</w:t>
      </w:r>
      <w:r w:rsidR="002C7639">
        <w:rPr>
          <w:rFonts w:ascii="Times New Roman" w:hAnsi="Times New Roman"/>
          <w:sz w:val="20"/>
          <w:szCs w:val="20"/>
        </w:rPr>
        <w:t xml:space="preserve"> </w:t>
      </w:r>
      <w:r w:rsidR="002C7639" w:rsidRPr="002C7639">
        <w:rPr>
          <w:rFonts w:ascii="Times New Roman" w:hAnsi="Times New Roman"/>
          <w:sz w:val="20"/>
          <w:szCs w:val="20"/>
        </w:rPr>
        <w:t>(Tischler, 2022)</w:t>
      </w:r>
      <w:r w:rsidR="00D05DDE" w:rsidRPr="00D05DDE">
        <w:rPr>
          <w:rFonts w:ascii="Times New Roman" w:hAnsi="Times New Roman"/>
          <w:sz w:val="20"/>
          <w:szCs w:val="20"/>
        </w:rPr>
        <w:t>.</w:t>
      </w:r>
    </w:p>
    <w:p w14:paraId="123424E0" w14:textId="77777777" w:rsidR="00D05DDE" w:rsidRDefault="00D05DDE" w:rsidP="00D05DDE">
      <w:pPr>
        <w:spacing w:after="0" w:line="240" w:lineRule="auto"/>
        <w:rPr>
          <w:rFonts w:ascii="Times New Roman" w:hAnsi="Times New Roman"/>
          <w:sz w:val="20"/>
          <w:szCs w:val="20"/>
        </w:rPr>
      </w:pPr>
    </w:p>
    <w:p w14:paraId="7632E109" w14:textId="77777777" w:rsidR="00F7071A" w:rsidRPr="00D05DDE" w:rsidRDefault="00F7071A" w:rsidP="00D05DDE">
      <w:pPr>
        <w:spacing w:after="0" w:line="240" w:lineRule="auto"/>
        <w:rPr>
          <w:rFonts w:ascii="Times New Roman" w:hAnsi="Times New Roman"/>
          <w:sz w:val="20"/>
          <w:szCs w:val="20"/>
        </w:rPr>
      </w:pPr>
    </w:p>
    <w:p w14:paraId="1C6160D0" w14:textId="788D57A2" w:rsidR="00031904" w:rsidRDefault="006D35C0" w:rsidP="00E76E82">
      <w:pPr>
        <w:spacing w:after="0" w:line="360" w:lineRule="auto"/>
        <w:ind w:firstLine="720"/>
        <w:jc w:val="both"/>
        <w:rPr>
          <w:rFonts w:ascii="Times New Roman" w:hAnsi="Times New Roman"/>
        </w:rPr>
      </w:pPr>
      <w:r w:rsidRPr="00E76E82">
        <w:rPr>
          <w:rFonts w:ascii="Times New Roman" w:hAnsi="Times New Roman"/>
        </w:rPr>
        <w:t>Chromatography constitutes a critical and frequently indispensable step in the purification of mAbs, serving as a versatile suite of techniques essential for achieving the requisite levels of product quality</w:t>
      </w:r>
      <w:r w:rsidR="007A45D0" w:rsidRPr="00E76E82">
        <w:rPr>
          <w:rFonts w:ascii="Times New Roman" w:hAnsi="Times New Roman"/>
        </w:rPr>
        <w:t xml:space="preserve"> (Tran et al., 2024).</w:t>
      </w:r>
      <w:r w:rsidRPr="00E76E82">
        <w:rPr>
          <w:rFonts w:ascii="Times New Roman" w:hAnsi="Times New Roman"/>
        </w:rPr>
        <w:t xml:space="preserve"> Given the inherent complexity of biopharmaceutical production, which yields mAbs within a milieu of host cell components and other potential contaminants, chromatographic methods enable the selective separation of the target antibody based on its distinct physicochemical properties</w:t>
      </w:r>
      <w:r w:rsidR="00301D83" w:rsidRPr="00E76E82">
        <w:rPr>
          <w:rFonts w:ascii="Times New Roman" w:hAnsi="Times New Roman"/>
        </w:rPr>
        <w:t xml:space="preserve"> (Cytiva, n.d.)</w:t>
      </w:r>
      <w:r w:rsidRPr="00E76E82">
        <w:rPr>
          <w:rFonts w:ascii="Times New Roman" w:hAnsi="Times New Roman"/>
        </w:rPr>
        <w:t>. Affinity chromatography, particularly utilising Protein A</w:t>
      </w:r>
      <w:r w:rsidR="00706066">
        <w:rPr>
          <w:rFonts w:ascii="Times New Roman" w:hAnsi="Times New Roman"/>
        </w:rPr>
        <w:t xml:space="preserve"> (</w:t>
      </w:r>
      <w:r w:rsidR="00706066" w:rsidRPr="00706066">
        <w:rPr>
          <w:rFonts w:ascii="Times New Roman" w:hAnsi="Times New Roman"/>
        </w:rPr>
        <w:t>a surface protein of the Staphylococcus aureus cell wall</w:t>
      </w:r>
      <w:r w:rsidR="00706066">
        <w:rPr>
          <w:rFonts w:ascii="Times New Roman" w:hAnsi="Times New Roman"/>
        </w:rPr>
        <w:t>)</w:t>
      </w:r>
      <w:r w:rsidRPr="00E76E82">
        <w:rPr>
          <w:rFonts w:ascii="Times New Roman" w:hAnsi="Times New Roman"/>
        </w:rPr>
        <w:t>, is commonly employed as an initial capture step, leveraging the specific binding interaction between the Fc region of the mAb and the immobilised ligand</w:t>
      </w:r>
      <w:r w:rsidR="00031904">
        <w:rPr>
          <w:rFonts w:ascii="Times New Roman" w:hAnsi="Times New Roman"/>
        </w:rPr>
        <w:t xml:space="preserve"> (Figure 3),</w:t>
      </w:r>
      <w:r w:rsidRPr="00E76E82">
        <w:rPr>
          <w:rFonts w:ascii="Times New Roman" w:hAnsi="Times New Roman"/>
        </w:rPr>
        <w:t xml:space="preserve"> to achieve significant enrichment and impurity removal</w:t>
      </w:r>
      <w:r w:rsidR="0091533A" w:rsidRPr="00E76E82">
        <w:rPr>
          <w:rFonts w:ascii="Times New Roman" w:hAnsi="Times New Roman"/>
        </w:rPr>
        <w:t xml:space="preserve"> (Tran et al., 2024). </w:t>
      </w:r>
      <w:r w:rsidR="00770F75" w:rsidRPr="00E76E82">
        <w:rPr>
          <w:rFonts w:ascii="Times New Roman" w:hAnsi="Times New Roman"/>
        </w:rPr>
        <w:t>Subsequent polishing steps, often employing ion exchange, hydrophobic interaction, or size exclusion chromatography, are then implemented to further eliminate remaining contaminants, aggregates, and product-related variants (Tran et al., 2024).  Moreover, the coupling of affinity chromatography with native mass spectrometry has emerged as a powerful analytical tool, providing orthogonal means to study mAb attributes and their biological relevance (Cotham et al., 2023).</w:t>
      </w:r>
    </w:p>
    <w:p w14:paraId="4A1EEC49" w14:textId="0F20182A" w:rsidR="00031904" w:rsidRDefault="00770F75" w:rsidP="00770F75">
      <w:pPr>
        <w:spacing w:after="0" w:line="360" w:lineRule="auto"/>
        <w:ind w:firstLine="720"/>
        <w:jc w:val="center"/>
        <w:rPr>
          <w:rFonts w:ascii="Times New Roman" w:hAnsi="Times New Roman"/>
        </w:rPr>
      </w:pPr>
      <w:r>
        <w:rPr>
          <w:rFonts w:ascii="Times New Roman" w:hAnsi="Times New Roman"/>
          <w:noProof/>
        </w:rPr>
        <w:lastRenderedPageBreak/>
        <w:drawing>
          <wp:inline distT="0" distB="0" distL="0" distR="0" wp14:anchorId="3057F6F7" wp14:editId="46404493">
            <wp:extent cx="3058160" cy="2170322"/>
            <wp:effectExtent l="0" t="0" r="0" b="1905"/>
            <wp:docPr id="147010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9046" cy="2185145"/>
                    </a:xfrm>
                    <a:prstGeom prst="rect">
                      <a:avLst/>
                    </a:prstGeom>
                    <a:noFill/>
                  </pic:spPr>
                </pic:pic>
              </a:graphicData>
            </a:graphic>
          </wp:inline>
        </w:drawing>
      </w:r>
    </w:p>
    <w:p w14:paraId="3F11827D" w14:textId="55DD5D73" w:rsidR="00770F75" w:rsidRDefault="00417C79" w:rsidP="002474BB">
      <w:pPr>
        <w:spacing w:after="0" w:line="240" w:lineRule="auto"/>
        <w:rPr>
          <w:rFonts w:ascii="Times New Roman" w:hAnsi="Times New Roman"/>
        </w:rPr>
      </w:pPr>
      <w:r w:rsidRPr="002474BB">
        <w:rPr>
          <w:rFonts w:ascii="Times New Roman" w:hAnsi="Times New Roman"/>
          <w:sz w:val="20"/>
          <w:szCs w:val="20"/>
        </w:rPr>
        <w:t xml:space="preserve">Figure 3. A visual representation of </w:t>
      </w:r>
      <w:r w:rsidR="00AB0866" w:rsidRPr="002474BB">
        <w:rPr>
          <w:rFonts w:ascii="Times New Roman" w:hAnsi="Times New Roman"/>
          <w:sz w:val="20"/>
          <w:szCs w:val="20"/>
        </w:rPr>
        <w:t xml:space="preserve">utilizing Protein A binding interaction between the Fc region of the mAb in </w:t>
      </w:r>
      <w:r w:rsidR="002474BB" w:rsidRPr="002474BB">
        <w:rPr>
          <w:rFonts w:ascii="Times New Roman" w:hAnsi="Times New Roman"/>
          <w:sz w:val="20"/>
          <w:szCs w:val="20"/>
        </w:rPr>
        <w:t>affinity chromatography</w:t>
      </w:r>
      <w:r w:rsidR="007722BF" w:rsidRPr="00C62641">
        <w:rPr>
          <w:rFonts w:ascii="Times New Roman" w:hAnsi="Times New Roman"/>
          <w:sz w:val="20"/>
          <w:szCs w:val="20"/>
        </w:rPr>
        <w:t xml:space="preserve">. The target mAb </w:t>
      </w:r>
      <w:r w:rsidR="00C62641" w:rsidRPr="00C62641">
        <w:rPr>
          <w:rFonts w:ascii="Times New Roman" w:hAnsi="Times New Roman"/>
          <w:sz w:val="20"/>
          <w:szCs w:val="20"/>
        </w:rPr>
        <w:t xml:space="preserve">is captured and then </w:t>
      </w:r>
      <w:r w:rsidR="007722BF" w:rsidRPr="00C62641">
        <w:rPr>
          <w:rFonts w:ascii="Times New Roman" w:hAnsi="Times New Roman"/>
          <w:sz w:val="20"/>
          <w:szCs w:val="20"/>
        </w:rPr>
        <w:t>eluted by altering buffer conditions, such as pH</w:t>
      </w:r>
      <w:r w:rsidR="0085437D">
        <w:rPr>
          <w:rFonts w:ascii="Times New Roman" w:hAnsi="Times New Roman"/>
          <w:sz w:val="20"/>
          <w:szCs w:val="20"/>
        </w:rPr>
        <w:t xml:space="preserve"> </w:t>
      </w:r>
      <w:r w:rsidR="0085437D" w:rsidRPr="0085437D">
        <w:rPr>
          <w:rFonts w:ascii="Times New Roman" w:hAnsi="Times New Roman"/>
          <w:sz w:val="20"/>
          <w:szCs w:val="20"/>
        </w:rPr>
        <w:t>(Neuromics.com, 2023)</w:t>
      </w:r>
      <w:r w:rsidR="002474BB">
        <w:rPr>
          <w:rFonts w:ascii="Times New Roman" w:hAnsi="Times New Roman"/>
        </w:rPr>
        <w:t>.</w:t>
      </w:r>
    </w:p>
    <w:p w14:paraId="1466C76F" w14:textId="77777777" w:rsidR="00770F75" w:rsidRDefault="00770F75" w:rsidP="00770F75">
      <w:pPr>
        <w:spacing w:after="0" w:line="360" w:lineRule="auto"/>
        <w:ind w:firstLine="720"/>
        <w:jc w:val="center"/>
        <w:rPr>
          <w:rFonts w:ascii="Times New Roman" w:hAnsi="Times New Roman"/>
        </w:rPr>
      </w:pPr>
    </w:p>
    <w:p w14:paraId="44E492BD" w14:textId="3866C6A2" w:rsidR="006D35C0" w:rsidRPr="00E76E82" w:rsidRDefault="006D35C0" w:rsidP="00E76E82">
      <w:pPr>
        <w:spacing w:after="0" w:line="360" w:lineRule="auto"/>
        <w:ind w:firstLine="720"/>
        <w:jc w:val="both"/>
        <w:rPr>
          <w:rFonts w:ascii="Times New Roman" w:hAnsi="Times New Roman"/>
        </w:rPr>
      </w:pPr>
      <w:r w:rsidRPr="00E76E82">
        <w:rPr>
          <w:rFonts w:ascii="Times New Roman" w:hAnsi="Times New Roman"/>
        </w:rPr>
        <w:t>Thus, chromatography underpins the entire mAb purification process, from initial capture to final polishing and comprehensive characterisation, ensuring the safety and efficacy of therapeutic antibody products</w:t>
      </w:r>
      <w:r w:rsidR="00575929">
        <w:rPr>
          <w:rFonts w:ascii="Times New Roman" w:hAnsi="Times New Roman"/>
        </w:rPr>
        <w:t>.</w:t>
      </w:r>
    </w:p>
    <w:p w14:paraId="61717168" w14:textId="79ECC082" w:rsidR="006D35C0" w:rsidRPr="00E76E82" w:rsidRDefault="004C3DEC" w:rsidP="00E76E82">
      <w:pPr>
        <w:spacing w:after="0" w:line="360" w:lineRule="auto"/>
        <w:ind w:firstLine="720"/>
        <w:jc w:val="both"/>
        <w:rPr>
          <w:rFonts w:ascii="Times New Roman" w:hAnsi="Times New Roman"/>
        </w:rPr>
      </w:pPr>
      <w:r w:rsidRPr="00E76E82">
        <w:rPr>
          <w:rFonts w:ascii="Times New Roman" w:hAnsi="Times New Roman"/>
        </w:rPr>
        <w:t>This essay aims to critically evaluate the role of affinity chromatography in the downstream processing of monoclonal antibodies, a</w:t>
      </w:r>
      <w:r w:rsidR="00513525">
        <w:rPr>
          <w:rFonts w:ascii="Times New Roman" w:hAnsi="Times New Roman"/>
        </w:rPr>
        <w:t>s</w:t>
      </w:r>
      <w:r w:rsidRPr="00E76E82">
        <w:rPr>
          <w:rFonts w:ascii="Times New Roman" w:hAnsi="Times New Roman"/>
        </w:rPr>
        <w:t xml:space="preserve"> crucial step in biopharmaceutical production. The scope includes an in-depth analysis of the fundamental principles of affinity chromatography, its integration into large-scale mAb purification, and a review of recent advancements in ligand development, resin technology, and process optimization over the past five years. The objectives are to assess the effectiveness, challenges, and limitations of affinity chromatography in manufacturing-scale DSP, compare it with alternative purification techniques, and highlight case studies showcasing industrial applications. Furthermore, the essay will explore emerging trends, regulatory considerations, and potential future innovations that can enhance the efficiency and sustainability of affinity chromatography in mAb purification.</w:t>
      </w:r>
    </w:p>
    <w:p w14:paraId="3BA76A1C" w14:textId="77777777" w:rsidR="004C3DEC" w:rsidRPr="00E76E82" w:rsidRDefault="004C3DEC" w:rsidP="00E76E82">
      <w:pPr>
        <w:spacing w:after="0" w:line="360" w:lineRule="auto"/>
        <w:jc w:val="both"/>
        <w:rPr>
          <w:rFonts w:ascii="Times New Roman" w:hAnsi="Times New Roman"/>
        </w:rPr>
      </w:pPr>
    </w:p>
    <w:p w14:paraId="1A3FF11C" w14:textId="4F6BB9F3" w:rsidR="00DE3CC8" w:rsidRPr="00E76E82" w:rsidRDefault="005D4E04" w:rsidP="00E76E82">
      <w:pPr>
        <w:spacing w:after="0" w:line="360" w:lineRule="auto"/>
        <w:jc w:val="both"/>
        <w:rPr>
          <w:rFonts w:ascii="Times New Roman" w:hAnsi="Times New Roman"/>
        </w:rPr>
      </w:pPr>
      <w:r w:rsidRPr="00E76E82">
        <w:rPr>
          <w:rFonts w:ascii="Times New Roman" w:hAnsi="Times New Roman"/>
          <w:b/>
          <w:bCs/>
        </w:rPr>
        <w:t>2.</w:t>
      </w:r>
      <w:r w:rsidR="003B122D">
        <w:rPr>
          <w:rFonts w:ascii="Times New Roman" w:hAnsi="Times New Roman"/>
          <w:b/>
          <w:bCs/>
        </w:rPr>
        <w:t xml:space="preserve"> </w:t>
      </w:r>
      <w:r w:rsidRPr="00E76E82">
        <w:rPr>
          <w:rFonts w:ascii="Times New Roman" w:hAnsi="Times New Roman"/>
          <w:b/>
          <w:bCs/>
        </w:rPr>
        <w:t>Basis of Affinity Chromatography in Manufacturing-Scale DSP</w:t>
      </w:r>
    </w:p>
    <w:p w14:paraId="0F0EADCC" w14:textId="26A91856" w:rsidR="00832D65" w:rsidRPr="00E76E82" w:rsidRDefault="00832D65" w:rsidP="00E76E82">
      <w:pPr>
        <w:spacing w:after="0" w:line="360" w:lineRule="auto"/>
        <w:jc w:val="both"/>
        <w:rPr>
          <w:rFonts w:ascii="Times New Roman" w:hAnsi="Times New Roman"/>
        </w:rPr>
      </w:pPr>
      <w:r w:rsidRPr="00E76E82">
        <w:rPr>
          <w:rFonts w:ascii="Times New Roman" w:hAnsi="Times New Roman"/>
          <w:b/>
          <w:bCs/>
        </w:rPr>
        <w:t>2.a. Fundamentals of Affinity Chromatography</w:t>
      </w:r>
      <w:r w:rsidRPr="00E76E82">
        <w:rPr>
          <w:rFonts w:ascii="Times New Roman" w:hAnsi="Times New Roman"/>
        </w:rPr>
        <w:t xml:space="preserve"> </w:t>
      </w:r>
    </w:p>
    <w:p w14:paraId="5DF7BD84" w14:textId="5433B1F9" w:rsidR="00ED32C2" w:rsidRDefault="00D72CD4" w:rsidP="00E76E82">
      <w:pPr>
        <w:spacing w:after="0" w:line="360" w:lineRule="auto"/>
        <w:ind w:firstLine="720"/>
        <w:jc w:val="both"/>
        <w:rPr>
          <w:rFonts w:ascii="Times New Roman" w:hAnsi="Times New Roman"/>
        </w:rPr>
      </w:pPr>
      <w:r w:rsidRPr="00E76E82">
        <w:rPr>
          <w:rFonts w:ascii="Times New Roman" w:hAnsi="Times New Roman"/>
        </w:rPr>
        <w:t>Affinity chromatography achieves selective binding of a target molecule, such as a monoclonal antibody by using an immobilised ligand that exhibits highly specific interactions with the target</w:t>
      </w:r>
      <w:r w:rsidR="00A20321" w:rsidRPr="00E76E82">
        <w:rPr>
          <w:rFonts w:ascii="Times New Roman" w:hAnsi="Times New Roman"/>
        </w:rPr>
        <w:t xml:space="preserve"> (Cotham et al., 2023)</w:t>
      </w:r>
      <w:r w:rsidRPr="00E76E82">
        <w:rPr>
          <w:rFonts w:ascii="Times New Roman" w:hAnsi="Times New Roman"/>
        </w:rPr>
        <w:t>. This technique takes advantage of the inherent biological affinities between mAbs and ligands like Protein A or Protein G, Fc receptors</w:t>
      </w:r>
      <w:r w:rsidR="00836BB8" w:rsidRPr="00E76E82">
        <w:rPr>
          <w:rFonts w:ascii="Times New Roman" w:hAnsi="Times New Roman"/>
        </w:rPr>
        <w:t xml:space="preserve"> (Narges et al., 2022)</w:t>
      </w:r>
      <w:r w:rsidRPr="00E76E82">
        <w:rPr>
          <w:rFonts w:ascii="Times New Roman" w:hAnsi="Times New Roman"/>
        </w:rPr>
        <w:t>, or antibody fragments like nanobodies</w:t>
      </w:r>
      <w:r w:rsidR="005F3D83" w:rsidRPr="00E76E82">
        <w:rPr>
          <w:rFonts w:ascii="Times New Roman" w:hAnsi="Times New Roman"/>
        </w:rPr>
        <w:t xml:space="preserve"> (Rezvani and Aspelund, 2024)</w:t>
      </w:r>
      <w:r w:rsidRPr="00E76E82">
        <w:rPr>
          <w:rFonts w:ascii="Times New Roman" w:hAnsi="Times New Roman"/>
        </w:rPr>
        <w:t xml:space="preserve">. The selectivity </w:t>
      </w:r>
      <w:r w:rsidRPr="00E76E82">
        <w:rPr>
          <w:rFonts w:ascii="Times New Roman" w:hAnsi="Times New Roman"/>
        </w:rPr>
        <w:lastRenderedPageBreak/>
        <w:t>of this separation method arises directly from the unique affinity of the mAb for the chosen ligand, enabling preferential binding while other sample components show minimal interaction</w:t>
      </w:r>
      <w:r w:rsidR="007C0AE2" w:rsidRPr="00E76E82">
        <w:rPr>
          <w:rFonts w:ascii="Times New Roman" w:hAnsi="Times New Roman"/>
        </w:rPr>
        <w:t xml:space="preserve"> (Stern et al., 2024)</w:t>
      </w:r>
      <w:r w:rsidRPr="00E76E82">
        <w:rPr>
          <w:rFonts w:ascii="Times New Roman" w:hAnsi="Times New Roman"/>
        </w:rPr>
        <w:t>. Following the binding, non-specifically bound impurities are removed through washing steps</w:t>
      </w:r>
      <w:r w:rsidR="005A5CC5" w:rsidRPr="00E76E82">
        <w:rPr>
          <w:rFonts w:ascii="Times New Roman" w:hAnsi="Times New Roman"/>
        </w:rPr>
        <w:t xml:space="preserve">, </w:t>
      </w:r>
      <w:r w:rsidRPr="00E76E82">
        <w:rPr>
          <w:rFonts w:ascii="Times New Roman" w:hAnsi="Times New Roman"/>
        </w:rPr>
        <w:t>and the target mAb is then eluted by altering buffer conditions, such as pH or ionic strength, to disrupt the specific interaction between the mAb and the ligand</w:t>
      </w:r>
      <w:r w:rsidR="005A5CC5" w:rsidRPr="00E76E82">
        <w:rPr>
          <w:rFonts w:ascii="Times New Roman" w:hAnsi="Times New Roman"/>
        </w:rPr>
        <w:t xml:space="preserve"> (Leibiger et al., 2024)</w:t>
      </w:r>
      <w:r w:rsidR="00257F39">
        <w:rPr>
          <w:rFonts w:ascii="Times New Roman" w:hAnsi="Times New Roman"/>
        </w:rPr>
        <w:t>, (Figure 4).</w:t>
      </w:r>
    </w:p>
    <w:p w14:paraId="03592CFC" w14:textId="11F0115E" w:rsidR="00ED32C2" w:rsidRDefault="00ED32C2" w:rsidP="00ED32C2">
      <w:pPr>
        <w:spacing w:after="0" w:line="360" w:lineRule="auto"/>
        <w:ind w:firstLine="720"/>
        <w:jc w:val="center"/>
        <w:rPr>
          <w:rFonts w:ascii="Times New Roman" w:hAnsi="Times New Roman"/>
        </w:rPr>
      </w:pPr>
      <w:r w:rsidRPr="00ED32C2">
        <w:rPr>
          <w:rFonts w:ascii="Times New Roman" w:hAnsi="Times New Roman"/>
          <w:noProof/>
        </w:rPr>
        <w:drawing>
          <wp:inline distT="0" distB="0" distL="0" distR="0" wp14:anchorId="41D6F666" wp14:editId="24694E42">
            <wp:extent cx="3531624" cy="4102100"/>
            <wp:effectExtent l="0" t="0" r="0" b="0"/>
            <wp:docPr id="1338812550" name="Picture 1"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2550" name="Picture 1" descr="A diagram of a molecule&#10;&#10;AI-generated content may be incorrect."/>
                    <pic:cNvPicPr/>
                  </pic:nvPicPr>
                  <pic:blipFill>
                    <a:blip r:embed="rId11"/>
                    <a:stretch>
                      <a:fillRect/>
                    </a:stretch>
                  </pic:blipFill>
                  <pic:spPr>
                    <a:xfrm>
                      <a:off x="0" y="0"/>
                      <a:ext cx="3539578" cy="4111339"/>
                    </a:xfrm>
                    <a:prstGeom prst="rect">
                      <a:avLst/>
                    </a:prstGeom>
                  </pic:spPr>
                </pic:pic>
              </a:graphicData>
            </a:graphic>
          </wp:inline>
        </w:drawing>
      </w:r>
    </w:p>
    <w:p w14:paraId="5654520A" w14:textId="696AC28D" w:rsidR="00ED32C2" w:rsidRPr="00C67DF9" w:rsidRDefault="003D54A1" w:rsidP="00C67DF9">
      <w:pPr>
        <w:spacing w:after="0" w:line="240" w:lineRule="auto"/>
        <w:rPr>
          <w:rFonts w:ascii="Times New Roman" w:hAnsi="Times New Roman"/>
          <w:sz w:val="20"/>
          <w:szCs w:val="20"/>
        </w:rPr>
      </w:pPr>
      <w:r w:rsidRPr="00C67DF9">
        <w:rPr>
          <w:rFonts w:ascii="Times New Roman" w:hAnsi="Times New Roman"/>
          <w:sz w:val="20"/>
          <w:szCs w:val="20"/>
        </w:rPr>
        <w:t xml:space="preserve">Figure 4. </w:t>
      </w:r>
      <w:r w:rsidR="0044076E" w:rsidRPr="00C67DF9">
        <w:rPr>
          <w:rFonts w:ascii="Times New Roman" w:hAnsi="Times New Roman"/>
          <w:sz w:val="20"/>
          <w:szCs w:val="20"/>
        </w:rPr>
        <w:t xml:space="preserve"> A visual representation of </w:t>
      </w:r>
      <w:r w:rsidR="00D96FAC" w:rsidRPr="00C67DF9">
        <w:rPr>
          <w:rFonts w:ascii="Times New Roman" w:hAnsi="Times New Roman"/>
          <w:sz w:val="20"/>
          <w:szCs w:val="20"/>
        </w:rPr>
        <w:t xml:space="preserve">binding and elution of target molecule </w:t>
      </w:r>
      <w:r w:rsidR="00B03B1A">
        <w:rPr>
          <w:rFonts w:ascii="Times New Roman" w:hAnsi="Times New Roman"/>
          <w:sz w:val="20"/>
          <w:szCs w:val="20"/>
        </w:rPr>
        <w:t>(</w:t>
      </w:r>
      <w:r w:rsidR="00C67DF9" w:rsidRPr="00C67DF9">
        <w:rPr>
          <w:rFonts w:ascii="Times New Roman" w:hAnsi="Times New Roman"/>
          <w:sz w:val="20"/>
          <w:szCs w:val="20"/>
        </w:rPr>
        <w:t>step 1-6</w:t>
      </w:r>
      <w:r w:rsidR="00B03B1A">
        <w:rPr>
          <w:rFonts w:ascii="Times New Roman" w:hAnsi="Times New Roman"/>
          <w:sz w:val="20"/>
          <w:szCs w:val="20"/>
        </w:rPr>
        <w:t>)</w:t>
      </w:r>
      <w:r w:rsidR="00C67DF9" w:rsidRPr="00C67DF9">
        <w:rPr>
          <w:rFonts w:ascii="Times New Roman" w:hAnsi="Times New Roman"/>
          <w:sz w:val="20"/>
          <w:szCs w:val="20"/>
        </w:rPr>
        <w:t xml:space="preserve"> in affinity chromatography</w:t>
      </w:r>
      <w:r w:rsidR="001179BF">
        <w:rPr>
          <w:rFonts w:ascii="Times New Roman" w:hAnsi="Times New Roman"/>
          <w:sz w:val="20"/>
          <w:szCs w:val="20"/>
        </w:rPr>
        <w:t xml:space="preserve"> </w:t>
      </w:r>
      <w:r w:rsidR="001179BF" w:rsidRPr="001179BF">
        <w:rPr>
          <w:rFonts w:ascii="Times New Roman" w:hAnsi="Times New Roman"/>
          <w:sz w:val="20"/>
          <w:szCs w:val="20"/>
        </w:rPr>
        <w:t>(SinoBiological, n.d.)</w:t>
      </w:r>
      <w:r w:rsidR="00C67DF9" w:rsidRPr="00C67DF9">
        <w:rPr>
          <w:rFonts w:ascii="Times New Roman" w:hAnsi="Times New Roman"/>
          <w:sz w:val="20"/>
          <w:szCs w:val="20"/>
        </w:rPr>
        <w:t>.</w:t>
      </w:r>
    </w:p>
    <w:p w14:paraId="4B9F38B5" w14:textId="77777777" w:rsidR="00ED32C2" w:rsidRDefault="00ED32C2" w:rsidP="00ED32C2">
      <w:pPr>
        <w:spacing w:after="0" w:line="360" w:lineRule="auto"/>
        <w:ind w:firstLine="720"/>
        <w:jc w:val="center"/>
        <w:rPr>
          <w:rFonts w:ascii="Times New Roman" w:hAnsi="Times New Roman"/>
        </w:rPr>
      </w:pPr>
    </w:p>
    <w:p w14:paraId="48FCE5C9" w14:textId="042E6805" w:rsidR="00FD0473" w:rsidRDefault="00D72CD4" w:rsidP="00E76E82">
      <w:pPr>
        <w:spacing w:after="0" w:line="360" w:lineRule="auto"/>
        <w:ind w:firstLine="720"/>
        <w:jc w:val="both"/>
        <w:rPr>
          <w:rFonts w:ascii="Times New Roman" w:hAnsi="Times New Roman"/>
        </w:rPr>
      </w:pPr>
      <w:r w:rsidRPr="00E76E82">
        <w:rPr>
          <w:rFonts w:ascii="Times New Roman" w:hAnsi="Times New Roman"/>
        </w:rPr>
        <w:t>The choice of ligand determines the region or property of the mAb targeted for binding; for example, Protein A typically interacts with the Fc region of antibodies</w:t>
      </w:r>
      <w:r w:rsidR="001A7D71" w:rsidRPr="00E76E82">
        <w:rPr>
          <w:rFonts w:ascii="Times New Roman" w:hAnsi="Times New Roman"/>
        </w:rPr>
        <w:t xml:space="preserve"> (Narges et al., 2022). </w:t>
      </w:r>
      <w:r w:rsidR="00832D65" w:rsidRPr="00E76E82">
        <w:rPr>
          <w:rFonts w:ascii="Times New Roman" w:hAnsi="Times New Roman"/>
        </w:rPr>
        <w:t>In essence, affinity chromatography leverages the molecular recognition capabilities between a specific ligand and the target mAb. By carefully controlling the binding and elution conditions, the technique provides a highly effective means of selectively capturing and purifying mAbs from complex biological samples. The strength and specificity of the affinity interaction directly determine the efficiency and resolution of the separation process.</w:t>
      </w:r>
    </w:p>
    <w:p w14:paraId="19A7C6B4" w14:textId="77777777" w:rsidR="003B122D" w:rsidRDefault="003B122D" w:rsidP="00E76E82">
      <w:pPr>
        <w:spacing w:after="0" w:line="360" w:lineRule="auto"/>
        <w:ind w:firstLine="720"/>
        <w:jc w:val="both"/>
        <w:rPr>
          <w:rFonts w:ascii="Times New Roman" w:hAnsi="Times New Roman"/>
        </w:rPr>
      </w:pPr>
    </w:p>
    <w:p w14:paraId="3502312E" w14:textId="77777777" w:rsidR="003B5CAC" w:rsidRDefault="003B5CAC" w:rsidP="00E76E82">
      <w:pPr>
        <w:spacing w:after="0" w:line="360" w:lineRule="auto"/>
        <w:ind w:firstLine="720"/>
        <w:jc w:val="both"/>
        <w:rPr>
          <w:rFonts w:ascii="Times New Roman" w:hAnsi="Times New Roman"/>
        </w:rPr>
      </w:pPr>
    </w:p>
    <w:p w14:paraId="43A0EAC1" w14:textId="77777777" w:rsidR="003B5CAC" w:rsidRPr="00E76E82" w:rsidRDefault="003B5CAC" w:rsidP="00E76E82">
      <w:pPr>
        <w:spacing w:after="0" w:line="360" w:lineRule="auto"/>
        <w:ind w:firstLine="720"/>
        <w:jc w:val="both"/>
        <w:rPr>
          <w:rFonts w:ascii="Times New Roman" w:hAnsi="Times New Roman"/>
        </w:rPr>
      </w:pPr>
    </w:p>
    <w:p w14:paraId="09DBA2F6" w14:textId="0468210A" w:rsidR="00864A82" w:rsidRPr="00E76E82" w:rsidRDefault="00052BA1" w:rsidP="00E76E82">
      <w:pPr>
        <w:spacing w:after="0" w:line="360" w:lineRule="auto"/>
        <w:jc w:val="both"/>
        <w:rPr>
          <w:rFonts w:ascii="Times New Roman" w:hAnsi="Times New Roman"/>
        </w:rPr>
      </w:pPr>
      <w:r w:rsidRPr="00E76E82">
        <w:rPr>
          <w:rFonts w:ascii="Times New Roman" w:hAnsi="Times New Roman"/>
          <w:b/>
          <w:bCs/>
        </w:rPr>
        <w:lastRenderedPageBreak/>
        <w:t>2.b. Affinity Ligands</w:t>
      </w:r>
    </w:p>
    <w:p w14:paraId="7E9E89D8" w14:textId="1AA1DDAF" w:rsidR="000A3E1E" w:rsidRDefault="000A3E1E" w:rsidP="00E76E82">
      <w:pPr>
        <w:spacing w:after="0" w:line="360" w:lineRule="auto"/>
        <w:ind w:firstLine="720"/>
        <w:jc w:val="both"/>
        <w:rPr>
          <w:rFonts w:ascii="Times New Roman" w:hAnsi="Times New Roman"/>
        </w:rPr>
      </w:pPr>
      <w:r w:rsidRPr="00E76E82">
        <w:rPr>
          <w:rFonts w:ascii="Times New Roman" w:hAnsi="Times New Roman"/>
        </w:rPr>
        <w:t xml:space="preserve">Protein A and Protein G </w:t>
      </w:r>
      <w:r>
        <w:rPr>
          <w:rFonts w:ascii="Times New Roman" w:hAnsi="Times New Roman"/>
        </w:rPr>
        <w:t xml:space="preserve">(Figure 5) </w:t>
      </w:r>
      <w:r w:rsidR="003B0EAA" w:rsidRPr="00E76E82">
        <w:rPr>
          <w:rFonts w:ascii="Times New Roman" w:hAnsi="Times New Roman"/>
        </w:rPr>
        <w:t>are well-established affinity ligands widely used for purifying antibodies and antibody fragments</w:t>
      </w:r>
      <w:r w:rsidR="00A15311" w:rsidRPr="00E76E82">
        <w:rPr>
          <w:rFonts w:ascii="Times New Roman" w:hAnsi="Times New Roman"/>
        </w:rPr>
        <w:t xml:space="preserve"> (Narges et al., 2022). </w:t>
      </w:r>
      <w:r w:rsidR="003B0EAA" w:rsidRPr="00E76E82">
        <w:rPr>
          <w:rFonts w:ascii="Times New Roman" w:hAnsi="Times New Roman"/>
        </w:rPr>
        <w:t xml:space="preserve"> Protein A exhibits a strong affinity for the Fc region of many </w:t>
      </w:r>
      <w:r w:rsidR="00FE460B" w:rsidRPr="00E76E82">
        <w:rPr>
          <w:rFonts w:ascii="Times New Roman" w:hAnsi="Times New Roman"/>
        </w:rPr>
        <w:t>immunoglobulins</w:t>
      </w:r>
      <w:r w:rsidR="003B0EAA" w:rsidRPr="00E76E82">
        <w:rPr>
          <w:rFonts w:ascii="Times New Roman" w:hAnsi="Times New Roman"/>
        </w:rPr>
        <w:t xml:space="preserve"> G (IgG) antibodies from various species, making it a crucial tool in mAb purification</w:t>
      </w:r>
      <w:r w:rsidR="00A15311" w:rsidRPr="00E76E82">
        <w:rPr>
          <w:rFonts w:ascii="Times New Roman" w:hAnsi="Times New Roman"/>
        </w:rPr>
        <w:t xml:space="preserve"> (Narges et al., 2022)</w:t>
      </w:r>
      <w:r w:rsidR="003B0EAA" w:rsidRPr="00E76E82">
        <w:rPr>
          <w:rFonts w:ascii="Times New Roman" w:hAnsi="Times New Roman"/>
        </w:rPr>
        <w:t>. Similarly, Protein G also interacts with the Fc region of IgGs, but it demonstrates a broader binding affinity across different species and can also bind to certain antibody fragments, including Fab fragments</w:t>
      </w:r>
      <w:r w:rsidR="00FE460B" w:rsidRPr="00E76E82">
        <w:rPr>
          <w:rFonts w:ascii="Times New Roman" w:hAnsi="Times New Roman"/>
        </w:rPr>
        <w:t xml:space="preserve"> (Stern et al., 2024)</w:t>
      </w:r>
      <w:r w:rsidR="003B0EAA" w:rsidRPr="00E76E82">
        <w:rPr>
          <w:rFonts w:ascii="Times New Roman" w:hAnsi="Times New Roman"/>
        </w:rPr>
        <w:t xml:space="preserve">. </w:t>
      </w:r>
    </w:p>
    <w:p w14:paraId="6076EEC9" w14:textId="60180626" w:rsidR="000A3E1E" w:rsidRDefault="000A3E1E" w:rsidP="00F00BA9">
      <w:pPr>
        <w:spacing w:after="0" w:line="360" w:lineRule="auto"/>
        <w:jc w:val="center"/>
        <w:rPr>
          <w:rFonts w:ascii="Times New Roman" w:hAnsi="Times New Roman"/>
        </w:rPr>
      </w:pPr>
      <w:r w:rsidRPr="000A3E1E">
        <w:rPr>
          <w:rFonts w:ascii="Times New Roman" w:hAnsi="Times New Roman"/>
          <w:noProof/>
        </w:rPr>
        <w:drawing>
          <wp:inline distT="0" distB="0" distL="0" distR="0" wp14:anchorId="14B0C1BD" wp14:editId="236829EA">
            <wp:extent cx="5731510" cy="2992120"/>
            <wp:effectExtent l="0" t="0" r="2540" b="0"/>
            <wp:docPr id="2144657639" name="Picture 1" descr="A close-up of several structu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57639" name="Picture 1" descr="A close-up of several structures&#10;&#10;AI-generated content may be incorrect."/>
                    <pic:cNvPicPr/>
                  </pic:nvPicPr>
                  <pic:blipFill>
                    <a:blip r:embed="rId12"/>
                    <a:stretch>
                      <a:fillRect/>
                    </a:stretch>
                  </pic:blipFill>
                  <pic:spPr>
                    <a:xfrm>
                      <a:off x="0" y="0"/>
                      <a:ext cx="5731510" cy="2992120"/>
                    </a:xfrm>
                    <a:prstGeom prst="rect">
                      <a:avLst/>
                    </a:prstGeom>
                  </pic:spPr>
                </pic:pic>
              </a:graphicData>
            </a:graphic>
          </wp:inline>
        </w:drawing>
      </w:r>
    </w:p>
    <w:p w14:paraId="7FA32D55" w14:textId="77777777" w:rsidR="00F00BA9" w:rsidRDefault="00F00BA9" w:rsidP="00F00BA9">
      <w:pPr>
        <w:spacing w:after="0" w:line="360" w:lineRule="auto"/>
        <w:jc w:val="both"/>
        <w:rPr>
          <w:rFonts w:ascii="Times New Roman" w:hAnsi="Times New Roman"/>
        </w:rPr>
      </w:pPr>
    </w:p>
    <w:p w14:paraId="5DB2BF4D" w14:textId="0A524D68" w:rsidR="000A3E1E" w:rsidRPr="00F00BA9" w:rsidRDefault="00F00BA9" w:rsidP="00F00BA9">
      <w:pPr>
        <w:spacing w:after="0" w:line="240" w:lineRule="auto"/>
        <w:jc w:val="both"/>
        <w:rPr>
          <w:rFonts w:ascii="Times New Roman" w:hAnsi="Times New Roman"/>
          <w:sz w:val="20"/>
          <w:szCs w:val="20"/>
        </w:rPr>
      </w:pPr>
      <w:r w:rsidRPr="00F00BA9">
        <w:rPr>
          <w:rFonts w:ascii="Times New Roman" w:hAnsi="Times New Roman"/>
          <w:sz w:val="20"/>
          <w:szCs w:val="20"/>
        </w:rPr>
        <w:t>Fig</w:t>
      </w:r>
      <w:r>
        <w:rPr>
          <w:rFonts w:ascii="Times New Roman" w:hAnsi="Times New Roman"/>
          <w:sz w:val="20"/>
          <w:szCs w:val="20"/>
        </w:rPr>
        <w:t>u</w:t>
      </w:r>
      <w:r w:rsidRPr="00F00BA9">
        <w:rPr>
          <w:rFonts w:ascii="Times New Roman" w:hAnsi="Times New Roman"/>
          <w:sz w:val="20"/>
          <w:szCs w:val="20"/>
        </w:rPr>
        <w:t>re</w:t>
      </w:r>
      <w:r>
        <w:rPr>
          <w:rFonts w:ascii="Times New Roman" w:hAnsi="Times New Roman"/>
          <w:sz w:val="20"/>
          <w:szCs w:val="20"/>
        </w:rPr>
        <w:t xml:space="preserve"> </w:t>
      </w:r>
      <w:r w:rsidRPr="00F00BA9">
        <w:rPr>
          <w:rFonts w:ascii="Times New Roman" w:hAnsi="Times New Roman"/>
          <w:sz w:val="20"/>
          <w:szCs w:val="20"/>
        </w:rPr>
        <w:t>5. A three-dimensional structural model depicting the crystalline complex formed between the Fc region of immunoglobulin G (IgG) and either protein A (a) or protein G (b). The ligands, staphylococcal protein A (</w:t>
      </w:r>
      <w:proofErr w:type="spellStart"/>
      <w:r w:rsidRPr="00F00BA9">
        <w:rPr>
          <w:rFonts w:ascii="Times New Roman" w:hAnsi="Times New Roman"/>
          <w:sz w:val="20"/>
          <w:szCs w:val="20"/>
        </w:rPr>
        <w:t>spA</w:t>
      </w:r>
      <w:proofErr w:type="spellEnd"/>
      <w:r w:rsidRPr="00F00BA9">
        <w:rPr>
          <w:rFonts w:ascii="Times New Roman" w:hAnsi="Times New Roman"/>
          <w:sz w:val="20"/>
          <w:szCs w:val="20"/>
        </w:rPr>
        <w:t>) and streptococcal protein G (</w:t>
      </w:r>
      <w:proofErr w:type="spellStart"/>
      <w:r w:rsidRPr="00F00BA9">
        <w:rPr>
          <w:rFonts w:ascii="Times New Roman" w:hAnsi="Times New Roman"/>
          <w:sz w:val="20"/>
          <w:szCs w:val="20"/>
        </w:rPr>
        <w:t>spG</w:t>
      </w:r>
      <w:proofErr w:type="spellEnd"/>
      <w:r w:rsidRPr="00F00BA9">
        <w:rPr>
          <w:rFonts w:ascii="Times New Roman" w:hAnsi="Times New Roman"/>
          <w:sz w:val="20"/>
          <w:szCs w:val="20"/>
        </w:rPr>
        <w:t>), are illustrated using orange and yellow ribbon representations, respectively. The two heavy chains comprising the IgG Fc region are represented by green and cyan ribbons</w:t>
      </w:r>
      <w:r w:rsidR="002B64B5">
        <w:rPr>
          <w:rFonts w:ascii="Times New Roman" w:hAnsi="Times New Roman"/>
          <w:sz w:val="20"/>
          <w:szCs w:val="20"/>
        </w:rPr>
        <w:t xml:space="preserve"> </w:t>
      </w:r>
      <w:r w:rsidR="002B64B5" w:rsidRPr="002B64B5">
        <w:rPr>
          <w:rFonts w:ascii="Times New Roman" w:hAnsi="Times New Roman"/>
          <w:sz w:val="20"/>
          <w:szCs w:val="20"/>
        </w:rPr>
        <w:t>(Lee</w:t>
      </w:r>
      <w:r w:rsidR="002B64B5">
        <w:rPr>
          <w:rFonts w:ascii="Times New Roman" w:hAnsi="Times New Roman"/>
          <w:sz w:val="20"/>
          <w:szCs w:val="20"/>
        </w:rPr>
        <w:t xml:space="preserve"> </w:t>
      </w:r>
      <w:r w:rsidR="002B64B5" w:rsidRPr="00E76E82">
        <w:rPr>
          <w:rFonts w:ascii="Times New Roman" w:hAnsi="Times New Roman"/>
        </w:rPr>
        <w:t xml:space="preserve">et al., </w:t>
      </w:r>
      <w:r w:rsidR="002B64B5" w:rsidRPr="002B64B5">
        <w:rPr>
          <w:rFonts w:ascii="Times New Roman" w:hAnsi="Times New Roman"/>
          <w:sz w:val="20"/>
          <w:szCs w:val="20"/>
        </w:rPr>
        <w:t>2021)</w:t>
      </w:r>
    </w:p>
    <w:p w14:paraId="1EFD3E3B" w14:textId="77777777" w:rsidR="000A3E1E" w:rsidRDefault="000A3E1E" w:rsidP="00E76E82">
      <w:pPr>
        <w:spacing w:after="0" w:line="360" w:lineRule="auto"/>
        <w:ind w:firstLine="720"/>
        <w:jc w:val="both"/>
        <w:rPr>
          <w:rFonts w:ascii="Times New Roman" w:hAnsi="Times New Roman"/>
        </w:rPr>
      </w:pPr>
    </w:p>
    <w:p w14:paraId="4AF3CAD4" w14:textId="26808B87" w:rsidR="0082339C" w:rsidRDefault="003B0EAA" w:rsidP="00E76E82">
      <w:pPr>
        <w:spacing w:after="0" w:line="360" w:lineRule="auto"/>
        <w:ind w:firstLine="720"/>
        <w:jc w:val="both"/>
        <w:rPr>
          <w:rFonts w:ascii="Times New Roman" w:hAnsi="Times New Roman"/>
        </w:rPr>
      </w:pPr>
      <w:r w:rsidRPr="00E76E82">
        <w:rPr>
          <w:rFonts w:ascii="Times New Roman" w:hAnsi="Times New Roman"/>
        </w:rPr>
        <w:t xml:space="preserve">Beyond these naturally derived ligands, various alternative synthetic and engineered ligands have been developed to broaden the scope of affinity chromatography. These include </w:t>
      </w:r>
      <w:r w:rsidR="00CD6A28" w:rsidRPr="00CD6A28">
        <w:rPr>
          <w:rFonts w:ascii="Times New Roman" w:hAnsi="Times New Roman"/>
        </w:rPr>
        <w:t>immobilised metal ion affinity chromatography (IMAC)</w:t>
      </w:r>
      <w:r w:rsidR="00CD6A28">
        <w:rPr>
          <w:rFonts w:ascii="Times New Roman" w:hAnsi="Times New Roman"/>
        </w:rPr>
        <w:t>,</w:t>
      </w:r>
      <w:r w:rsidR="00A26B58">
        <w:rPr>
          <w:rFonts w:ascii="Times New Roman" w:hAnsi="Times New Roman"/>
        </w:rPr>
        <w:t xml:space="preserve"> </w:t>
      </w:r>
      <w:r w:rsidR="00A26B58" w:rsidRPr="00CD6A28">
        <w:rPr>
          <w:rFonts w:ascii="Times New Roman" w:hAnsi="Times New Roman"/>
        </w:rPr>
        <w:t>targets histidine-tagged proteins</w:t>
      </w:r>
      <w:r w:rsidR="00E72DDE">
        <w:rPr>
          <w:rFonts w:ascii="Times New Roman" w:hAnsi="Times New Roman"/>
        </w:rPr>
        <w:t xml:space="preserve"> (Figure 6),</w:t>
      </w:r>
      <w:r w:rsidR="00A26B58" w:rsidRPr="00CD6A28">
        <w:rPr>
          <w:rFonts w:ascii="Times New Roman" w:hAnsi="Times New Roman"/>
        </w:rPr>
        <w:t xml:space="preserve"> using</w:t>
      </w:r>
      <w:r w:rsidR="00E72DDE">
        <w:rPr>
          <w:rFonts w:ascii="Times New Roman" w:hAnsi="Times New Roman"/>
        </w:rPr>
        <w:t xml:space="preserve"> </w:t>
      </w:r>
      <w:r w:rsidR="00A26B58" w:rsidRPr="00CD6A28">
        <w:rPr>
          <w:rFonts w:ascii="Times New Roman" w:hAnsi="Times New Roman"/>
        </w:rPr>
        <w:t>nickel or other metal ions</w:t>
      </w:r>
      <w:r w:rsidR="00E72DDE">
        <w:rPr>
          <w:rFonts w:ascii="Times New Roman" w:hAnsi="Times New Roman"/>
        </w:rPr>
        <w:t xml:space="preserve"> </w:t>
      </w:r>
      <w:r w:rsidR="00947CED" w:rsidRPr="00E76E82">
        <w:rPr>
          <w:rFonts w:ascii="Times New Roman" w:hAnsi="Times New Roman"/>
        </w:rPr>
        <w:t>(Cytiva, n.d.)</w:t>
      </w:r>
      <w:r w:rsidR="00B56570">
        <w:rPr>
          <w:rFonts w:ascii="Times New Roman" w:hAnsi="Times New Roman"/>
        </w:rPr>
        <w:t>.</w:t>
      </w:r>
      <w:r w:rsidR="00BD6775">
        <w:rPr>
          <w:rFonts w:ascii="Times New Roman" w:hAnsi="Times New Roman"/>
        </w:rPr>
        <w:t xml:space="preserve"> Another </w:t>
      </w:r>
      <w:r w:rsidR="00A96EAC">
        <w:rPr>
          <w:rFonts w:ascii="Times New Roman" w:hAnsi="Times New Roman"/>
        </w:rPr>
        <w:t>example are</w:t>
      </w:r>
      <w:r w:rsidRPr="00E76E82">
        <w:rPr>
          <w:rFonts w:ascii="Times New Roman" w:hAnsi="Times New Roman"/>
        </w:rPr>
        <w:t xml:space="preserve"> </w:t>
      </w:r>
      <w:r w:rsidR="00A96EAC">
        <w:rPr>
          <w:rFonts w:ascii="Times New Roman" w:hAnsi="Times New Roman"/>
        </w:rPr>
        <w:t>s</w:t>
      </w:r>
      <w:r w:rsidRPr="00E76E82">
        <w:rPr>
          <w:rFonts w:ascii="Times New Roman" w:hAnsi="Times New Roman"/>
        </w:rPr>
        <w:t>trep-tags interacting with streptavidin or its variants</w:t>
      </w:r>
      <w:r w:rsidR="00A96EAC">
        <w:rPr>
          <w:rFonts w:ascii="Times New Roman" w:hAnsi="Times New Roman"/>
        </w:rPr>
        <w:t>;</w:t>
      </w:r>
      <w:r w:rsidRPr="00E76E82">
        <w:rPr>
          <w:rFonts w:ascii="Times New Roman" w:hAnsi="Times New Roman"/>
        </w:rPr>
        <w:t xml:space="preserve"> heparin-binding tags </w:t>
      </w:r>
      <w:r w:rsidR="00A96EAC" w:rsidRPr="00E76E82">
        <w:rPr>
          <w:rFonts w:ascii="Times New Roman" w:hAnsi="Times New Roman"/>
        </w:rPr>
        <w:t>utilis</w:t>
      </w:r>
      <w:r w:rsidR="00A96EAC">
        <w:rPr>
          <w:rFonts w:ascii="Times New Roman" w:hAnsi="Times New Roman"/>
        </w:rPr>
        <w:t xml:space="preserve">ing </w:t>
      </w:r>
      <w:r w:rsidRPr="00E76E82">
        <w:rPr>
          <w:rFonts w:ascii="Times New Roman" w:hAnsi="Times New Roman"/>
        </w:rPr>
        <w:t>electrostatic interactions with heparin matrices</w:t>
      </w:r>
      <w:r w:rsidR="00A10DD8" w:rsidRPr="00E76E82">
        <w:rPr>
          <w:rFonts w:ascii="Times New Roman" w:hAnsi="Times New Roman"/>
        </w:rPr>
        <w:t xml:space="preserve"> (Prabhala and Wood, 2024)</w:t>
      </w:r>
      <w:r w:rsidRPr="00E76E82">
        <w:rPr>
          <w:rFonts w:ascii="Times New Roman" w:hAnsi="Times New Roman"/>
        </w:rPr>
        <w:t xml:space="preserve">. </w:t>
      </w:r>
      <w:r w:rsidR="00A96EAC">
        <w:rPr>
          <w:rFonts w:ascii="Times New Roman" w:hAnsi="Times New Roman"/>
        </w:rPr>
        <w:t xml:space="preserve"> For </w:t>
      </w:r>
      <w:r w:rsidR="00663FF8">
        <w:rPr>
          <w:rFonts w:ascii="Times New Roman" w:hAnsi="Times New Roman"/>
        </w:rPr>
        <w:t>instance,</w:t>
      </w:r>
      <w:r w:rsidR="00B56570" w:rsidRPr="00B56570">
        <w:rPr>
          <w:rFonts w:ascii="Times New Roman" w:hAnsi="Times New Roman"/>
        </w:rPr>
        <w:t xml:space="preserve"> heparin affinity with core-shell flow-through chromatography allows direct step-to-step loading for virus-like particle purification (Zollner et al., 2024).</w:t>
      </w:r>
    </w:p>
    <w:p w14:paraId="281B2337" w14:textId="69355D06" w:rsidR="0082339C" w:rsidRDefault="0082339C" w:rsidP="0082339C">
      <w:pPr>
        <w:spacing w:after="0" w:line="360" w:lineRule="auto"/>
        <w:ind w:firstLine="720"/>
        <w:jc w:val="center"/>
        <w:rPr>
          <w:rFonts w:ascii="Times New Roman" w:hAnsi="Times New Roman"/>
        </w:rPr>
      </w:pPr>
      <w:r w:rsidRPr="0082339C">
        <w:rPr>
          <w:rFonts w:ascii="Times New Roman" w:hAnsi="Times New Roman"/>
          <w:noProof/>
        </w:rPr>
        <w:lastRenderedPageBreak/>
        <w:drawing>
          <wp:inline distT="0" distB="0" distL="0" distR="0" wp14:anchorId="3F3E9349" wp14:editId="0A500867">
            <wp:extent cx="2190303" cy="2036453"/>
            <wp:effectExtent l="0" t="0" r="635" b="1905"/>
            <wp:docPr id="688475772" name="Picture 1" descr="A diagram of a molec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75772" name="Picture 1" descr="A diagram of a molecule&#10;&#10;AI-generated content may be incorrect."/>
                    <pic:cNvPicPr/>
                  </pic:nvPicPr>
                  <pic:blipFill>
                    <a:blip r:embed="rId13"/>
                    <a:stretch>
                      <a:fillRect/>
                    </a:stretch>
                  </pic:blipFill>
                  <pic:spPr>
                    <a:xfrm>
                      <a:off x="0" y="0"/>
                      <a:ext cx="2208687" cy="2053545"/>
                    </a:xfrm>
                    <a:prstGeom prst="rect">
                      <a:avLst/>
                    </a:prstGeom>
                  </pic:spPr>
                </pic:pic>
              </a:graphicData>
            </a:graphic>
          </wp:inline>
        </w:drawing>
      </w:r>
    </w:p>
    <w:p w14:paraId="64FAD972" w14:textId="04C045BC" w:rsidR="00924FAF" w:rsidRDefault="003E0CAE" w:rsidP="003E0CAE">
      <w:pPr>
        <w:spacing w:after="0" w:line="240" w:lineRule="auto"/>
        <w:rPr>
          <w:rFonts w:ascii="Times New Roman" w:hAnsi="Times New Roman"/>
          <w:sz w:val="20"/>
          <w:szCs w:val="20"/>
        </w:rPr>
      </w:pPr>
      <w:r w:rsidRPr="003E0CAE">
        <w:rPr>
          <w:rFonts w:ascii="Times New Roman" w:hAnsi="Times New Roman"/>
          <w:sz w:val="20"/>
          <w:szCs w:val="20"/>
        </w:rPr>
        <w:t xml:space="preserve">Figure </w:t>
      </w:r>
      <w:r w:rsidR="002B64B5">
        <w:rPr>
          <w:rFonts w:ascii="Times New Roman" w:hAnsi="Times New Roman"/>
          <w:sz w:val="20"/>
          <w:szCs w:val="20"/>
        </w:rPr>
        <w:t>6</w:t>
      </w:r>
      <w:r w:rsidRPr="003E0CAE">
        <w:rPr>
          <w:rFonts w:ascii="Times New Roman" w:hAnsi="Times New Roman"/>
          <w:sz w:val="20"/>
          <w:szCs w:val="20"/>
        </w:rPr>
        <w:t>. Illustration of a chelator complex involving NTA and Ni²⁺:</w:t>
      </w:r>
      <w:r w:rsidRPr="003E0CAE">
        <w:rPr>
          <w:rFonts w:ascii="Times New Roman" w:hAnsi="Times New Roman"/>
          <w:sz w:val="20"/>
          <w:szCs w:val="20"/>
        </w:rPr>
        <w:br/>
        <w:t>The complex consists of nitrilotriacetic acid (NTA) coordinating a nickel ion (Ni²⁺), which in turn interacts with two imidazole side chains from a histidine tag (His-tag) that has been genetically engineered onto a protein. This specific binding enables the purification of His-tagged proteins, as the histidine residues form stable interactions with the Ni²⁺ ion held in place by the NTA</w:t>
      </w:r>
      <w:r w:rsidR="00E97C03">
        <w:rPr>
          <w:rFonts w:ascii="Times New Roman" w:hAnsi="Times New Roman"/>
          <w:sz w:val="20"/>
          <w:szCs w:val="20"/>
        </w:rPr>
        <w:t xml:space="preserve"> </w:t>
      </w:r>
      <w:r w:rsidR="00E97C03" w:rsidRPr="00E97C03">
        <w:rPr>
          <w:rFonts w:ascii="Times New Roman" w:hAnsi="Times New Roman"/>
          <w:sz w:val="20"/>
          <w:szCs w:val="20"/>
        </w:rPr>
        <w:t>(Cube Biotech, 2017)</w:t>
      </w:r>
    </w:p>
    <w:p w14:paraId="13964AC1" w14:textId="77777777" w:rsidR="003E0CAE" w:rsidRPr="003E0CAE" w:rsidRDefault="003E0CAE" w:rsidP="003E0CAE">
      <w:pPr>
        <w:spacing w:after="0" w:line="240" w:lineRule="auto"/>
        <w:rPr>
          <w:rFonts w:ascii="Times New Roman" w:hAnsi="Times New Roman"/>
          <w:sz w:val="20"/>
          <w:szCs w:val="20"/>
        </w:rPr>
      </w:pPr>
    </w:p>
    <w:p w14:paraId="19044AB8" w14:textId="4FD065F9" w:rsidR="004C3AB8" w:rsidRDefault="003B0EAA" w:rsidP="00E76E82">
      <w:pPr>
        <w:spacing w:after="0" w:line="360" w:lineRule="auto"/>
        <w:ind w:firstLine="720"/>
        <w:jc w:val="both"/>
        <w:rPr>
          <w:rFonts w:ascii="Times New Roman" w:hAnsi="Times New Roman"/>
        </w:rPr>
      </w:pPr>
      <w:r w:rsidRPr="00E76E82">
        <w:rPr>
          <w:rFonts w:ascii="Times New Roman" w:hAnsi="Times New Roman"/>
        </w:rPr>
        <w:t>Additionally, camelid-derived affinity ligands, like nanobodies</w:t>
      </w:r>
      <w:r w:rsidR="00B238C4">
        <w:rPr>
          <w:rFonts w:ascii="Times New Roman" w:hAnsi="Times New Roman"/>
        </w:rPr>
        <w:t xml:space="preserve"> (Figure</w:t>
      </w:r>
      <w:r w:rsidR="0082339C">
        <w:rPr>
          <w:rFonts w:ascii="Times New Roman" w:hAnsi="Times New Roman"/>
        </w:rPr>
        <w:t xml:space="preserve"> </w:t>
      </w:r>
      <w:r w:rsidR="002B64B5">
        <w:rPr>
          <w:rFonts w:ascii="Times New Roman" w:hAnsi="Times New Roman"/>
        </w:rPr>
        <w:t>7</w:t>
      </w:r>
      <w:r w:rsidR="00B238C4">
        <w:rPr>
          <w:rFonts w:ascii="Times New Roman" w:hAnsi="Times New Roman"/>
        </w:rPr>
        <w:t>)</w:t>
      </w:r>
      <w:r w:rsidRPr="00E76E82">
        <w:rPr>
          <w:rFonts w:ascii="Times New Roman" w:hAnsi="Times New Roman"/>
        </w:rPr>
        <w:t>, offer high specificity and stability for isolating various biomolecules, including biopharmaceuticals</w:t>
      </w:r>
      <w:r w:rsidR="004C395E" w:rsidRPr="00E76E82">
        <w:rPr>
          <w:rFonts w:ascii="Times New Roman" w:hAnsi="Times New Roman"/>
        </w:rPr>
        <w:t xml:space="preserve"> (Rezvani and Aspelund, 2024)</w:t>
      </w:r>
      <w:r w:rsidRPr="00E76E82">
        <w:rPr>
          <w:rFonts w:ascii="Times New Roman" w:hAnsi="Times New Roman"/>
        </w:rPr>
        <w:t xml:space="preserve">. </w:t>
      </w:r>
    </w:p>
    <w:p w14:paraId="7735CDEF" w14:textId="5945B0F2" w:rsidR="004C3AB8" w:rsidRDefault="004C3AB8" w:rsidP="00E76E82">
      <w:pPr>
        <w:spacing w:after="0" w:line="360" w:lineRule="auto"/>
        <w:ind w:firstLine="720"/>
        <w:jc w:val="both"/>
        <w:rPr>
          <w:rFonts w:ascii="Times New Roman" w:hAnsi="Times New Roman"/>
        </w:rPr>
      </w:pPr>
      <w:r w:rsidRPr="004C3AB8">
        <w:rPr>
          <w:rFonts w:ascii="Times New Roman" w:hAnsi="Times New Roman"/>
          <w:noProof/>
        </w:rPr>
        <w:drawing>
          <wp:inline distT="0" distB="0" distL="0" distR="0" wp14:anchorId="61A206C8" wp14:editId="1B4B88F0">
            <wp:extent cx="4749800" cy="1817090"/>
            <wp:effectExtent l="0" t="0" r="0" b="0"/>
            <wp:docPr id="636482831" name="Picture 1" descr="A diagram of a light and heavy 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82831" name="Picture 1" descr="A diagram of a light and heavy chain&#10;&#10;AI-generated content may be incorrect."/>
                    <pic:cNvPicPr/>
                  </pic:nvPicPr>
                  <pic:blipFill>
                    <a:blip r:embed="rId14"/>
                    <a:stretch>
                      <a:fillRect/>
                    </a:stretch>
                  </pic:blipFill>
                  <pic:spPr>
                    <a:xfrm>
                      <a:off x="0" y="0"/>
                      <a:ext cx="4769071" cy="1824462"/>
                    </a:xfrm>
                    <a:prstGeom prst="rect">
                      <a:avLst/>
                    </a:prstGeom>
                  </pic:spPr>
                </pic:pic>
              </a:graphicData>
            </a:graphic>
          </wp:inline>
        </w:drawing>
      </w:r>
    </w:p>
    <w:p w14:paraId="6626A0B5" w14:textId="5B3E010D" w:rsidR="008169DD" w:rsidRDefault="00B238C4" w:rsidP="00B238C4">
      <w:pPr>
        <w:spacing w:after="0" w:line="240" w:lineRule="auto"/>
        <w:jc w:val="both"/>
        <w:rPr>
          <w:rFonts w:ascii="Times New Roman" w:hAnsi="Times New Roman"/>
          <w:sz w:val="20"/>
          <w:szCs w:val="20"/>
        </w:rPr>
      </w:pPr>
      <w:r>
        <w:rPr>
          <w:rFonts w:ascii="Times New Roman" w:hAnsi="Times New Roman"/>
          <w:sz w:val="20"/>
          <w:szCs w:val="20"/>
        </w:rPr>
        <w:t xml:space="preserve">Figure </w:t>
      </w:r>
      <w:r w:rsidR="002B64B5">
        <w:rPr>
          <w:rFonts w:ascii="Times New Roman" w:hAnsi="Times New Roman"/>
          <w:sz w:val="20"/>
          <w:szCs w:val="20"/>
        </w:rPr>
        <w:t>7</w:t>
      </w:r>
      <w:r>
        <w:rPr>
          <w:rFonts w:ascii="Times New Roman" w:hAnsi="Times New Roman"/>
          <w:sz w:val="20"/>
          <w:szCs w:val="20"/>
        </w:rPr>
        <w:t xml:space="preserve">. </w:t>
      </w:r>
      <w:r w:rsidRPr="00B238C4">
        <w:rPr>
          <w:rFonts w:ascii="Times New Roman" w:hAnsi="Times New Roman"/>
          <w:sz w:val="20"/>
          <w:szCs w:val="20"/>
        </w:rPr>
        <w:t>Alpacas</w:t>
      </w:r>
      <w:r w:rsidR="00896463">
        <w:rPr>
          <w:rFonts w:ascii="Times New Roman" w:hAnsi="Times New Roman"/>
          <w:sz w:val="20"/>
          <w:szCs w:val="20"/>
        </w:rPr>
        <w:t xml:space="preserve"> </w:t>
      </w:r>
      <w:r w:rsidR="00896463" w:rsidRPr="00896463">
        <w:rPr>
          <w:rFonts w:ascii="Times New Roman" w:hAnsi="Times New Roman"/>
          <w:sz w:val="20"/>
          <w:szCs w:val="20"/>
        </w:rPr>
        <w:t>(camelid</w:t>
      </w:r>
      <w:r w:rsidR="00896463">
        <w:rPr>
          <w:rFonts w:ascii="Times New Roman" w:hAnsi="Times New Roman"/>
          <w:sz w:val="20"/>
          <w:szCs w:val="20"/>
        </w:rPr>
        <w:t>)</w:t>
      </w:r>
      <w:r w:rsidRPr="00B238C4">
        <w:rPr>
          <w:rFonts w:ascii="Times New Roman" w:hAnsi="Times New Roman"/>
          <w:sz w:val="20"/>
          <w:szCs w:val="20"/>
        </w:rPr>
        <w:t xml:space="preserve"> produce three distinct subclasses of immunoglobulin G (IgG) as part of their immune response. The IgG1 subclass consists of both heavy and light chains, </w:t>
      </w:r>
      <w:r w:rsidR="00B14BE5" w:rsidRPr="00B238C4">
        <w:rPr>
          <w:rFonts w:ascii="Times New Roman" w:hAnsi="Times New Roman"/>
          <w:sz w:val="20"/>
          <w:szCs w:val="20"/>
        </w:rPr>
        <w:t>like</w:t>
      </w:r>
      <w:r w:rsidRPr="00B238C4">
        <w:rPr>
          <w:rFonts w:ascii="Times New Roman" w:hAnsi="Times New Roman"/>
          <w:sz w:val="20"/>
          <w:szCs w:val="20"/>
        </w:rPr>
        <w:t xml:space="preserve"> conventional antibodies. In contrast, IgG2 and IgG3 are classified as heavy-chain-only antibodies (</w:t>
      </w:r>
      <w:proofErr w:type="spellStart"/>
      <w:r w:rsidRPr="00B238C4">
        <w:rPr>
          <w:rFonts w:ascii="Times New Roman" w:hAnsi="Times New Roman"/>
          <w:sz w:val="20"/>
          <w:szCs w:val="20"/>
        </w:rPr>
        <w:t>HCAbs</w:t>
      </w:r>
      <w:proofErr w:type="spellEnd"/>
      <w:r w:rsidRPr="00B238C4">
        <w:rPr>
          <w:rFonts w:ascii="Times New Roman" w:hAnsi="Times New Roman"/>
          <w:sz w:val="20"/>
          <w:szCs w:val="20"/>
        </w:rPr>
        <w:t xml:space="preserve">), which lack both the light chains and the CH1 domain of the heavy chain. The variable region of these </w:t>
      </w:r>
      <w:proofErr w:type="spellStart"/>
      <w:r w:rsidRPr="00B238C4">
        <w:rPr>
          <w:rFonts w:ascii="Times New Roman" w:hAnsi="Times New Roman"/>
          <w:sz w:val="20"/>
          <w:szCs w:val="20"/>
        </w:rPr>
        <w:t>HCAbs</w:t>
      </w:r>
      <w:proofErr w:type="spellEnd"/>
      <w:r w:rsidRPr="00B238C4">
        <w:rPr>
          <w:rFonts w:ascii="Times New Roman" w:hAnsi="Times New Roman"/>
          <w:sz w:val="20"/>
          <w:szCs w:val="20"/>
        </w:rPr>
        <w:t>, known as VHH, can also exist independently in recombinant form, where it is commonly referred to as a nanobody</w:t>
      </w:r>
      <w:r w:rsidR="0045492C">
        <w:rPr>
          <w:rFonts w:ascii="Times New Roman" w:hAnsi="Times New Roman"/>
          <w:sz w:val="20"/>
          <w:szCs w:val="20"/>
        </w:rPr>
        <w:t xml:space="preserve"> </w:t>
      </w:r>
      <w:r w:rsidR="0045492C" w:rsidRPr="0045492C">
        <w:rPr>
          <w:rFonts w:ascii="Times New Roman" w:hAnsi="Times New Roman"/>
          <w:sz w:val="20"/>
          <w:szCs w:val="20"/>
        </w:rPr>
        <w:t>(Ptglab.com, 2024)</w:t>
      </w:r>
      <w:r w:rsidR="0045492C">
        <w:rPr>
          <w:rFonts w:ascii="Times New Roman" w:hAnsi="Times New Roman"/>
          <w:sz w:val="20"/>
          <w:szCs w:val="20"/>
        </w:rPr>
        <w:t>.</w:t>
      </w:r>
    </w:p>
    <w:p w14:paraId="0C52015B" w14:textId="77777777" w:rsidR="00B238C4" w:rsidRDefault="00B238C4" w:rsidP="00B238C4">
      <w:pPr>
        <w:spacing w:after="0" w:line="240" w:lineRule="auto"/>
        <w:jc w:val="both"/>
        <w:rPr>
          <w:rFonts w:ascii="Times New Roman" w:hAnsi="Times New Roman"/>
          <w:sz w:val="20"/>
          <w:szCs w:val="20"/>
        </w:rPr>
      </w:pPr>
    </w:p>
    <w:p w14:paraId="71D18A99" w14:textId="77777777" w:rsidR="00B37733" w:rsidRDefault="00B37733" w:rsidP="00B238C4">
      <w:pPr>
        <w:spacing w:after="0" w:line="240" w:lineRule="auto"/>
        <w:jc w:val="both"/>
        <w:rPr>
          <w:rFonts w:ascii="Times New Roman" w:hAnsi="Times New Roman"/>
          <w:sz w:val="20"/>
          <w:szCs w:val="20"/>
        </w:rPr>
      </w:pPr>
    </w:p>
    <w:p w14:paraId="3436C3CC" w14:textId="09AB75C9" w:rsidR="00B37733" w:rsidRPr="007A4DBF" w:rsidRDefault="00B37733" w:rsidP="00B37733">
      <w:pPr>
        <w:spacing w:after="0" w:line="360" w:lineRule="auto"/>
        <w:ind w:firstLine="720"/>
        <w:jc w:val="both"/>
        <w:rPr>
          <w:rFonts w:ascii="Times New Roman" w:hAnsi="Times New Roman"/>
        </w:rPr>
      </w:pPr>
      <w:r w:rsidRPr="007A4DBF">
        <w:rPr>
          <w:rFonts w:ascii="Times New Roman" w:hAnsi="Times New Roman"/>
        </w:rPr>
        <w:t xml:space="preserve">CaptureSelect AAVX ligands demonstrate broad serotype compatibility for </w:t>
      </w:r>
      <w:r w:rsidR="00584D64" w:rsidRPr="00584D64">
        <w:rPr>
          <w:rFonts w:ascii="Times New Roman" w:hAnsi="Times New Roman"/>
        </w:rPr>
        <w:t xml:space="preserve">Adeno-Associated Virus </w:t>
      </w:r>
      <w:r w:rsidR="00584D64">
        <w:rPr>
          <w:rFonts w:ascii="Times New Roman" w:hAnsi="Times New Roman"/>
        </w:rPr>
        <w:t>(</w:t>
      </w:r>
      <w:r w:rsidRPr="007A4DBF">
        <w:rPr>
          <w:rFonts w:ascii="Times New Roman" w:hAnsi="Times New Roman"/>
        </w:rPr>
        <w:t>AAV</w:t>
      </w:r>
      <w:r w:rsidR="00584D64">
        <w:rPr>
          <w:rFonts w:ascii="Times New Roman" w:hAnsi="Times New Roman"/>
        </w:rPr>
        <w:t>)</w:t>
      </w:r>
      <w:r w:rsidRPr="007A4DBF">
        <w:rPr>
          <w:rFonts w:ascii="Times New Roman" w:hAnsi="Times New Roman"/>
        </w:rPr>
        <w:t xml:space="preserve"> purification (Florea et al., 2023). Titanium dioxide affinity chromatography (TDAC) has been applied to purify small molecules like siderophores based on their iron-chelating groups (Egbers et al., 2022).</w:t>
      </w:r>
    </w:p>
    <w:p w14:paraId="032B06D3" w14:textId="036BA390" w:rsidR="00D21330" w:rsidRPr="00D21330" w:rsidRDefault="003B0EAA" w:rsidP="00D21330">
      <w:pPr>
        <w:spacing w:after="0" w:line="360" w:lineRule="auto"/>
        <w:ind w:firstLine="720"/>
        <w:jc w:val="both"/>
        <w:rPr>
          <w:rFonts w:ascii="Times New Roman" w:hAnsi="Times New Roman"/>
        </w:rPr>
      </w:pPr>
      <w:r w:rsidRPr="00E76E82">
        <w:rPr>
          <w:rFonts w:ascii="Times New Roman" w:hAnsi="Times New Roman"/>
        </w:rPr>
        <w:t>These alternative ligands provide versatile options for purifying a wide range of recombinant proteins, antibody formats, and other biological entities, often allowing purification based on specific engineered tags or by exploiting pseudo-affinity interactions</w:t>
      </w:r>
      <w:r w:rsidR="002544EF" w:rsidRPr="00E76E82">
        <w:rPr>
          <w:rFonts w:ascii="Times New Roman" w:hAnsi="Times New Roman"/>
        </w:rPr>
        <w:t xml:space="preserve"> (Kadoi et al., 2025)</w:t>
      </w:r>
      <w:r w:rsidR="004C395E" w:rsidRPr="00E76E82">
        <w:rPr>
          <w:rFonts w:ascii="Times New Roman" w:hAnsi="Times New Roman"/>
        </w:rPr>
        <w:t>.</w:t>
      </w:r>
    </w:p>
    <w:p w14:paraId="765B8154" w14:textId="51614F8A" w:rsidR="00EE3B37" w:rsidRPr="00E76E82" w:rsidRDefault="00DE5266" w:rsidP="00E76E82">
      <w:pPr>
        <w:spacing w:after="0" w:line="360" w:lineRule="auto"/>
        <w:jc w:val="both"/>
        <w:rPr>
          <w:rFonts w:ascii="Times New Roman" w:hAnsi="Times New Roman"/>
        </w:rPr>
      </w:pPr>
      <w:r w:rsidRPr="00E76E82">
        <w:rPr>
          <w:rFonts w:ascii="Times New Roman" w:hAnsi="Times New Roman"/>
          <w:b/>
          <w:bCs/>
        </w:rPr>
        <w:lastRenderedPageBreak/>
        <w:t xml:space="preserve">2.c. </w:t>
      </w:r>
      <w:r w:rsidR="00EE3B37" w:rsidRPr="00E76E82">
        <w:rPr>
          <w:rFonts w:ascii="Times New Roman" w:hAnsi="Times New Roman"/>
          <w:b/>
          <w:bCs/>
        </w:rPr>
        <w:t>Integration into DSP</w:t>
      </w:r>
      <w:r w:rsidR="00EE3B37" w:rsidRPr="00E76E82">
        <w:rPr>
          <w:rFonts w:ascii="Times New Roman" w:hAnsi="Times New Roman"/>
        </w:rPr>
        <w:t xml:space="preserve"> </w:t>
      </w:r>
    </w:p>
    <w:p w14:paraId="7FAE859C" w14:textId="37D6A2DD" w:rsidR="00D063F3" w:rsidRPr="00E76E82" w:rsidRDefault="00D6745C" w:rsidP="00E76E82">
      <w:pPr>
        <w:spacing w:after="0" w:line="360" w:lineRule="auto"/>
        <w:ind w:firstLine="720"/>
        <w:jc w:val="both"/>
        <w:rPr>
          <w:rFonts w:ascii="Times New Roman" w:hAnsi="Times New Roman"/>
        </w:rPr>
      </w:pPr>
      <w:r>
        <w:rPr>
          <w:rFonts w:ascii="Times New Roman" w:hAnsi="Times New Roman"/>
        </w:rPr>
        <w:t>As previously mentioned, a</w:t>
      </w:r>
      <w:r w:rsidR="00D063F3" w:rsidRPr="00E76E82">
        <w:rPr>
          <w:rFonts w:ascii="Times New Roman" w:hAnsi="Times New Roman"/>
        </w:rPr>
        <w:t xml:space="preserve">ffinity chromatography, particularly using Protein </w:t>
      </w:r>
      <w:r w:rsidR="009A4417" w:rsidRPr="00E76E82">
        <w:rPr>
          <w:rFonts w:ascii="Times New Roman" w:hAnsi="Times New Roman"/>
        </w:rPr>
        <w:t>A,</w:t>
      </w:r>
      <w:r w:rsidR="00D063F3" w:rsidRPr="00E76E82">
        <w:rPr>
          <w:rFonts w:ascii="Times New Roman" w:hAnsi="Times New Roman"/>
        </w:rPr>
        <w:t xml:space="preserve"> is often employed as the primary capture step in the purification workflow of monoclonal antibodies</w:t>
      </w:r>
      <w:r w:rsidR="007542D2">
        <w:rPr>
          <w:rFonts w:ascii="Times New Roman" w:hAnsi="Times New Roman"/>
        </w:rPr>
        <w:t xml:space="preserve"> d</w:t>
      </w:r>
      <w:r w:rsidR="00D063F3" w:rsidRPr="00E76E82">
        <w:rPr>
          <w:rFonts w:ascii="Times New Roman" w:hAnsi="Times New Roman"/>
        </w:rPr>
        <w:t>ue to its high selectivity for the Fc region of IgGs</w:t>
      </w:r>
      <w:r w:rsidR="00307F3C" w:rsidRPr="00E76E82">
        <w:rPr>
          <w:rFonts w:ascii="Times New Roman" w:hAnsi="Times New Roman"/>
        </w:rPr>
        <w:t xml:space="preserve"> (Tran et al., 2024).</w:t>
      </w:r>
      <w:r w:rsidR="00D063F3" w:rsidRPr="00E76E82">
        <w:rPr>
          <w:rFonts w:ascii="Times New Roman" w:hAnsi="Times New Roman"/>
        </w:rPr>
        <w:t xml:space="preserve"> This initial step allows for the efficient separation of mAbs from a complex mixture of host cell proteins, DNA, and other contaminants present in the clarified cell culture supernatant</w:t>
      </w:r>
      <w:r w:rsidR="00307F3C" w:rsidRPr="00E76E82">
        <w:rPr>
          <w:rFonts w:ascii="Times New Roman" w:hAnsi="Times New Roman"/>
        </w:rPr>
        <w:t xml:space="preserve"> (Tran et al., 2024). </w:t>
      </w:r>
      <w:r w:rsidR="00D063F3" w:rsidRPr="00E76E82">
        <w:rPr>
          <w:rFonts w:ascii="Times New Roman" w:hAnsi="Times New Roman"/>
        </w:rPr>
        <w:t xml:space="preserve"> The high specificity of the interaction between the immobilized ligand (e.g., Protein A) and the target mAb leads to significant enrichment and concentration of the antibody in a single step</w:t>
      </w:r>
      <w:r w:rsidR="001E1BB0" w:rsidRPr="00E76E82">
        <w:rPr>
          <w:rFonts w:ascii="Times New Roman" w:hAnsi="Times New Roman"/>
        </w:rPr>
        <w:t xml:space="preserve"> (Cytiva, n.d.)</w:t>
      </w:r>
      <w:r w:rsidR="00DF36E7" w:rsidRPr="00E76E82">
        <w:rPr>
          <w:rFonts w:ascii="Times New Roman" w:hAnsi="Times New Roman"/>
        </w:rPr>
        <w:t>.</w:t>
      </w:r>
      <w:r w:rsidR="00D063F3" w:rsidRPr="00E76E82">
        <w:rPr>
          <w:rFonts w:ascii="Times New Roman" w:hAnsi="Times New Roman"/>
        </w:rPr>
        <w:t xml:space="preserve"> While affinity chromatography provides high purity in the capture phase, subsequent polishing steps are typically required to remove remaining impurities, such as aggregates, host cell proteins, and other product-related variants</w:t>
      </w:r>
      <w:r w:rsidR="00307F3C" w:rsidRPr="00E76E82">
        <w:rPr>
          <w:rFonts w:ascii="Times New Roman" w:hAnsi="Times New Roman"/>
        </w:rPr>
        <w:t xml:space="preserve"> (Tran et al., 2024). </w:t>
      </w:r>
      <w:r w:rsidR="00D063F3" w:rsidRPr="00E76E82">
        <w:rPr>
          <w:rFonts w:ascii="Times New Roman" w:hAnsi="Times New Roman"/>
        </w:rPr>
        <w:t xml:space="preserve"> Ion exchange chromatography (IEC), which separates molecules based on their net charge, hydrophobic interaction chromatography (HIC), which separates based on hydrophobicity</w:t>
      </w:r>
      <w:r w:rsidR="00AD4BC8">
        <w:rPr>
          <w:rFonts w:ascii="Times New Roman" w:hAnsi="Times New Roman"/>
        </w:rPr>
        <w:t xml:space="preserve"> and </w:t>
      </w:r>
      <w:r w:rsidR="002F1000" w:rsidRPr="00E76E82">
        <w:rPr>
          <w:rFonts w:ascii="Times New Roman" w:hAnsi="Times New Roman"/>
        </w:rPr>
        <w:t>size-exclusion chromatography (SEC)</w:t>
      </w:r>
      <w:r w:rsidR="004C737D" w:rsidRPr="004C737D">
        <w:t xml:space="preserve"> </w:t>
      </w:r>
      <w:r w:rsidR="004C737D" w:rsidRPr="004C737D">
        <w:rPr>
          <w:rFonts w:ascii="Times New Roman" w:hAnsi="Times New Roman"/>
        </w:rPr>
        <w:t>technique that separates molecules based on their size</w:t>
      </w:r>
      <w:r w:rsidR="0097262C" w:rsidRPr="00E76E82">
        <w:rPr>
          <w:rFonts w:ascii="Times New Roman" w:hAnsi="Times New Roman"/>
        </w:rPr>
        <w:t>,</w:t>
      </w:r>
      <w:r w:rsidR="00D063F3" w:rsidRPr="00E76E82">
        <w:rPr>
          <w:rFonts w:ascii="Times New Roman" w:hAnsi="Times New Roman"/>
        </w:rPr>
        <w:t xml:space="preserve"> are commonly used as these downstream polishing steps</w:t>
      </w:r>
      <w:r w:rsidR="00307F3C" w:rsidRPr="00E76E82">
        <w:rPr>
          <w:rFonts w:ascii="Times New Roman" w:hAnsi="Times New Roman"/>
        </w:rPr>
        <w:t xml:space="preserve"> (Tran et al., 2024). </w:t>
      </w:r>
      <w:r w:rsidR="00D063F3" w:rsidRPr="00E76E82">
        <w:rPr>
          <w:rFonts w:ascii="Times New Roman" w:hAnsi="Times New Roman"/>
        </w:rPr>
        <w:t xml:space="preserve"> IEC can be particularly effective in removing charged impurities and product variants with different isoelectric points</w:t>
      </w:r>
      <w:r w:rsidR="000A095E" w:rsidRPr="00E76E82">
        <w:rPr>
          <w:rFonts w:ascii="Times New Roman" w:hAnsi="Times New Roman"/>
        </w:rPr>
        <w:t>,</w:t>
      </w:r>
      <w:r w:rsidR="004C5204" w:rsidRPr="00E76E82">
        <w:rPr>
          <w:rFonts w:ascii="Times New Roman" w:hAnsi="Times New Roman"/>
        </w:rPr>
        <w:t xml:space="preserve"> </w:t>
      </w:r>
      <w:r w:rsidR="00D063F3" w:rsidRPr="00E76E82">
        <w:rPr>
          <w:rFonts w:ascii="Times New Roman" w:hAnsi="Times New Roman"/>
        </w:rPr>
        <w:t xml:space="preserve">HIC </w:t>
      </w:r>
      <w:r w:rsidR="00113539" w:rsidRPr="00E76E82">
        <w:rPr>
          <w:rFonts w:ascii="Times New Roman" w:hAnsi="Times New Roman"/>
        </w:rPr>
        <w:t xml:space="preserve">is also </w:t>
      </w:r>
      <w:r w:rsidR="00D063F3" w:rsidRPr="00E76E82">
        <w:rPr>
          <w:rFonts w:ascii="Times New Roman" w:hAnsi="Times New Roman"/>
        </w:rPr>
        <w:t>useful for separating aggregates and other species with varying hydrophobic properties</w:t>
      </w:r>
      <w:r w:rsidR="00113539" w:rsidRPr="00E76E82">
        <w:rPr>
          <w:rFonts w:ascii="Times New Roman" w:hAnsi="Times New Roman"/>
        </w:rPr>
        <w:t xml:space="preserve"> while SEC commonly used for removing aggregates and low molecular weight species</w:t>
      </w:r>
      <w:r w:rsidR="00307F3C" w:rsidRPr="00E76E82">
        <w:rPr>
          <w:rFonts w:ascii="Times New Roman" w:hAnsi="Times New Roman"/>
        </w:rPr>
        <w:t xml:space="preserve"> (Tran et al., 2024). </w:t>
      </w:r>
      <w:r w:rsidR="00D063F3" w:rsidRPr="00E76E82">
        <w:rPr>
          <w:rFonts w:ascii="Times New Roman" w:hAnsi="Times New Roman"/>
        </w:rPr>
        <w:t xml:space="preserve"> In contrast to the highly selective binding mechanism of affinity chromatography, IEC</w:t>
      </w:r>
      <w:r w:rsidR="00AD4BC8">
        <w:rPr>
          <w:rFonts w:ascii="Times New Roman" w:hAnsi="Times New Roman"/>
        </w:rPr>
        <w:t xml:space="preserve">, </w:t>
      </w:r>
      <w:r w:rsidR="00AD4BC8" w:rsidRPr="00E76E82">
        <w:rPr>
          <w:rFonts w:ascii="Times New Roman" w:hAnsi="Times New Roman"/>
        </w:rPr>
        <w:t>HIC</w:t>
      </w:r>
      <w:r w:rsidR="00D063F3" w:rsidRPr="00E76E82">
        <w:rPr>
          <w:rFonts w:ascii="Times New Roman" w:hAnsi="Times New Roman"/>
        </w:rPr>
        <w:t xml:space="preserve"> and</w:t>
      </w:r>
      <w:r w:rsidR="00AD4BC8">
        <w:rPr>
          <w:rFonts w:ascii="Times New Roman" w:hAnsi="Times New Roman"/>
        </w:rPr>
        <w:t xml:space="preserve"> </w:t>
      </w:r>
      <w:r w:rsidR="00AD4BC8" w:rsidRPr="00E76E82">
        <w:rPr>
          <w:rFonts w:ascii="Times New Roman" w:hAnsi="Times New Roman"/>
        </w:rPr>
        <w:t>SEC</w:t>
      </w:r>
      <w:r w:rsidR="00D063F3" w:rsidRPr="00E76E82">
        <w:rPr>
          <w:rFonts w:ascii="Times New Roman" w:hAnsi="Times New Roman"/>
        </w:rPr>
        <w:t xml:space="preserve"> rely on more general physicochemical properties of the proteins, often requiring careful optimisation of mobile phase conditions (e.g., pH, salt concentration) to achieve the desired separation</w:t>
      </w:r>
      <w:r w:rsidR="002C2554" w:rsidRPr="00E76E82">
        <w:rPr>
          <w:rFonts w:ascii="Times New Roman" w:hAnsi="Times New Roman"/>
        </w:rPr>
        <w:t xml:space="preserve"> (Cotham et al., 2023).</w:t>
      </w:r>
      <w:r w:rsidR="00D063F3" w:rsidRPr="00E76E82">
        <w:rPr>
          <w:rFonts w:ascii="Times New Roman" w:hAnsi="Times New Roman"/>
        </w:rPr>
        <w:t xml:space="preserve"> Thus, affinity chromatography serves as a powerful initial purification method, providing high selectivity and capacity for mAbs, which is then complemented by the discriminatory power of techniques like IEC</w:t>
      </w:r>
      <w:r w:rsidR="00113539" w:rsidRPr="00E76E82">
        <w:rPr>
          <w:rFonts w:ascii="Times New Roman" w:hAnsi="Times New Roman"/>
        </w:rPr>
        <w:t xml:space="preserve">, SEC </w:t>
      </w:r>
      <w:r w:rsidR="00D063F3" w:rsidRPr="00E76E82">
        <w:rPr>
          <w:rFonts w:ascii="Times New Roman" w:hAnsi="Times New Roman"/>
        </w:rPr>
        <w:t>and HIC in subsequent purification stages to achieve the required purity for therapeutic applications</w:t>
      </w:r>
      <w:r w:rsidR="00DF36E7" w:rsidRPr="00E76E82">
        <w:rPr>
          <w:rFonts w:ascii="Times New Roman" w:hAnsi="Times New Roman"/>
        </w:rPr>
        <w:t xml:space="preserve"> (Cytiva, n.d.).</w:t>
      </w:r>
    </w:p>
    <w:p w14:paraId="2051EFED" w14:textId="77777777" w:rsidR="00584D64" w:rsidRPr="00E76E82" w:rsidRDefault="00584D64" w:rsidP="00E76E82">
      <w:pPr>
        <w:spacing w:after="0" w:line="360" w:lineRule="auto"/>
        <w:ind w:firstLine="720"/>
        <w:jc w:val="both"/>
        <w:rPr>
          <w:rFonts w:ascii="Times New Roman" w:hAnsi="Times New Roman"/>
        </w:rPr>
      </w:pPr>
    </w:p>
    <w:p w14:paraId="4254CB11" w14:textId="68BE0D34" w:rsidR="00C534CB" w:rsidRPr="00E76E82" w:rsidRDefault="0088488F" w:rsidP="00E76E82">
      <w:pPr>
        <w:spacing w:after="0" w:line="360" w:lineRule="auto"/>
        <w:jc w:val="both"/>
        <w:rPr>
          <w:rFonts w:ascii="Times New Roman" w:hAnsi="Times New Roman"/>
        </w:rPr>
      </w:pPr>
      <w:r w:rsidRPr="00E76E82">
        <w:rPr>
          <w:rFonts w:ascii="Times New Roman" w:hAnsi="Times New Roman"/>
          <w:b/>
          <w:bCs/>
        </w:rPr>
        <w:t>2.d.</w:t>
      </w:r>
      <w:r w:rsidRPr="00E76E82">
        <w:rPr>
          <w:rFonts w:ascii="Times New Roman" w:hAnsi="Times New Roman"/>
        </w:rPr>
        <w:t xml:space="preserve"> </w:t>
      </w:r>
      <w:r w:rsidRPr="00E76E82">
        <w:rPr>
          <w:rFonts w:ascii="Times New Roman" w:hAnsi="Times New Roman"/>
          <w:b/>
          <w:bCs/>
        </w:rPr>
        <w:t>Regulatory Considerations</w:t>
      </w:r>
    </w:p>
    <w:p w14:paraId="23CEB83D" w14:textId="465BAE73" w:rsidR="008E259E" w:rsidRPr="008E259E" w:rsidRDefault="008E259E" w:rsidP="008E259E">
      <w:pPr>
        <w:spacing w:after="0" w:line="360" w:lineRule="auto"/>
        <w:ind w:firstLine="720"/>
        <w:jc w:val="both"/>
        <w:rPr>
          <w:rFonts w:ascii="Times New Roman" w:hAnsi="Times New Roman"/>
        </w:rPr>
      </w:pPr>
      <w:r w:rsidRPr="008E259E">
        <w:rPr>
          <w:rFonts w:ascii="Times New Roman" w:hAnsi="Times New Roman"/>
        </w:rPr>
        <w:t>The purification of monoclonal antibodies</w:t>
      </w:r>
      <w:r w:rsidR="00FF50C0">
        <w:rPr>
          <w:rFonts w:ascii="Times New Roman" w:hAnsi="Times New Roman"/>
        </w:rPr>
        <w:t xml:space="preserve"> </w:t>
      </w:r>
      <w:r w:rsidRPr="008E259E">
        <w:rPr>
          <w:rFonts w:ascii="Times New Roman" w:hAnsi="Times New Roman"/>
        </w:rPr>
        <w:t xml:space="preserve">must comply with rigorous regulatory standards established under Good Manufacturing Practices (GMP), as mandated by agencies such as the Food and Drug Administration (FDA) and the European Medicines Agency (EMA). Regulatory guidance emphasises the critical role of process validation in establishing that the purification process consistently yields a product meeting predefined quality and purity criteria. Chromatographic operations, including protein </w:t>
      </w:r>
      <w:proofErr w:type="spellStart"/>
      <w:r w:rsidRPr="008E259E">
        <w:rPr>
          <w:rFonts w:ascii="Times New Roman" w:hAnsi="Times New Roman"/>
        </w:rPr>
        <w:t>A</w:t>
      </w:r>
      <w:proofErr w:type="spellEnd"/>
      <w:r w:rsidR="00357CCA">
        <w:rPr>
          <w:rFonts w:ascii="Times New Roman" w:hAnsi="Times New Roman"/>
        </w:rPr>
        <w:t xml:space="preserve"> </w:t>
      </w:r>
      <w:r w:rsidRPr="008E259E">
        <w:rPr>
          <w:rFonts w:ascii="Times New Roman" w:hAnsi="Times New Roman"/>
        </w:rPr>
        <w:t xml:space="preserve">affinity chromatography and ion exchange </w:t>
      </w:r>
      <w:r w:rsidRPr="008E259E">
        <w:rPr>
          <w:rFonts w:ascii="Times New Roman" w:hAnsi="Times New Roman"/>
        </w:rPr>
        <w:lastRenderedPageBreak/>
        <w:t xml:space="preserve">chromatography, are subject to </w:t>
      </w:r>
      <w:r w:rsidR="00357CCA" w:rsidRPr="008E259E">
        <w:rPr>
          <w:rFonts w:ascii="Times New Roman" w:hAnsi="Times New Roman"/>
        </w:rPr>
        <w:t>scrutiny</w:t>
      </w:r>
      <w:r w:rsidRPr="008E259E">
        <w:rPr>
          <w:rFonts w:ascii="Times New Roman" w:hAnsi="Times New Roman"/>
        </w:rPr>
        <w:t xml:space="preserve"> during validation to ensure consistent process performance. FDA guidelines highlight the necessity of process qualification to confirm that the manufacturing process is capable of consistently delivering a commercial product of acceptable quality (FDA, 2011).</w:t>
      </w:r>
    </w:p>
    <w:p w14:paraId="5E4F4B0C" w14:textId="4491FD32" w:rsidR="008E259E" w:rsidRDefault="008E259E" w:rsidP="008E259E">
      <w:pPr>
        <w:spacing w:after="0" w:line="360" w:lineRule="auto"/>
        <w:ind w:firstLine="720"/>
        <w:jc w:val="both"/>
        <w:rPr>
          <w:rFonts w:ascii="Times New Roman" w:hAnsi="Times New Roman"/>
        </w:rPr>
      </w:pPr>
      <w:r w:rsidRPr="008E259E">
        <w:rPr>
          <w:rFonts w:ascii="Times New Roman" w:hAnsi="Times New Roman"/>
        </w:rPr>
        <w:t>Complementing this, EMA guidance outlines detailed data requirements for process characterisation and verification, focusing particularly on the removal of process- and product-related impurities (EMA, 2016). Both agencies underscore the need to demonstrate the effectiveness of the purification process across its lifecycle. Furthermore, ICH Q6B provides expectations on setting scientifically justified specifications, including limits for impurities and critical quality attributes, reinforcing the requirement for robust analytical and process control strategies (ICH, 1999). The relevance of ICH Q5C is also notable, as it addresses the stability testing of biotechnological/biological products, requiring that stability-indicating attributes be defined and controlled throughout the product’s shelf life (ICH, 1995).</w:t>
      </w:r>
    </w:p>
    <w:p w14:paraId="29086DCC" w14:textId="404A55BA" w:rsidR="0061066B" w:rsidRDefault="008E259E" w:rsidP="008E259E">
      <w:pPr>
        <w:spacing w:after="0" w:line="360" w:lineRule="auto"/>
        <w:ind w:firstLine="720"/>
        <w:jc w:val="both"/>
        <w:rPr>
          <w:rFonts w:ascii="Times New Roman" w:hAnsi="Times New Roman"/>
        </w:rPr>
      </w:pPr>
      <w:r w:rsidRPr="008E259E">
        <w:rPr>
          <w:rFonts w:ascii="Times New Roman" w:hAnsi="Times New Roman"/>
        </w:rPr>
        <w:t xml:space="preserve">ICH Q11 expands on these concepts by requiring </w:t>
      </w:r>
      <w:r w:rsidR="00357CCA" w:rsidRPr="008E259E">
        <w:rPr>
          <w:rFonts w:ascii="Times New Roman" w:hAnsi="Times New Roman"/>
        </w:rPr>
        <w:t>that critical parameter</w:t>
      </w:r>
      <w:r w:rsidRPr="008E259E">
        <w:rPr>
          <w:rFonts w:ascii="Times New Roman" w:hAnsi="Times New Roman"/>
        </w:rPr>
        <w:t xml:space="preserve"> in chromatographic steps</w:t>
      </w:r>
      <w:r w:rsidR="00357CCA">
        <w:rPr>
          <w:rFonts w:ascii="Times New Roman" w:hAnsi="Times New Roman"/>
        </w:rPr>
        <w:t xml:space="preserve"> </w:t>
      </w:r>
      <w:r w:rsidRPr="008E259E">
        <w:rPr>
          <w:rFonts w:ascii="Times New Roman" w:hAnsi="Times New Roman"/>
        </w:rPr>
        <w:t>such as column performance, loading capacity, and elution conditions</w:t>
      </w:r>
      <w:r w:rsidR="004F6659">
        <w:rPr>
          <w:rFonts w:ascii="Times New Roman" w:hAnsi="Times New Roman"/>
        </w:rPr>
        <w:t xml:space="preserve"> to </w:t>
      </w:r>
      <w:r w:rsidRPr="008E259E">
        <w:rPr>
          <w:rFonts w:ascii="Times New Roman" w:hAnsi="Times New Roman"/>
        </w:rPr>
        <w:t>be identified and controlled, ensuring consistent performance over the lifecycle of the purification process (ICH, 2012). Regulatory expectations also advocate for the application of a risk-based approach, especially where process modifications (e.g., buffer reuse) could impact multiple unit operations. The EMA encourages the use of prior knowledge and risk assessments to identify material attributes and process parameters that may influence critical quality attributes, advocating for variability management in raw materials and impurity clearance strategies (EMA, 2016). This aligns with the structured risk management framework described in ICH Q9, which supports the identification, evaluation, and mitigation of potential risks to product quality (ICH, 2023). Collectively, the integration of quality risk management, lifecycle validation, and impurity control strategies is essential to meet regulatory expectations and ensure the safety, efficacy, and consistency of biopharmaceutical products.</w:t>
      </w:r>
    </w:p>
    <w:p w14:paraId="54E5A37A" w14:textId="77777777" w:rsidR="008E259E" w:rsidRPr="00E76E82" w:rsidRDefault="008E259E" w:rsidP="008E259E">
      <w:pPr>
        <w:spacing w:after="0" w:line="360" w:lineRule="auto"/>
        <w:ind w:firstLine="720"/>
        <w:jc w:val="both"/>
        <w:rPr>
          <w:rFonts w:ascii="Times New Roman" w:hAnsi="Times New Roman"/>
        </w:rPr>
      </w:pPr>
    </w:p>
    <w:p w14:paraId="2A019C41" w14:textId="6CFF26F1" w:rsidR="0061066B" w:rsidRPr="00E76E82" w:rsidRDefault="0061066B" w:rsidP="00E76E82">
      <w:pPr>
        <w:spacing w:after="0" w:line="360" w:lineRule="auto"/>
        <w:jc w:val="both"/>
        <w:rPr>
          <w:rFonts w:ascii="Times New Roman" w:hAnsi="Times New Roman"/>
          <w:b/>
          <w:bCs/>
        </w:rPr>
      </w:pPr>
      <w:r w:rsidRPr="00E76E82">
        <w:rPr>
          <w:rFonts w:ascii="Times New Roman" w:hAnsi="Times New Roman"/>
          <w:b/>
          <w:bCs/>
        </w:rPr>
        <w:t>3. State of the Art in Affinity Chromatography for mAb Purification</w:t>
      </w:r>
    </w:p>
    <w:p w14:paraId="11F490D5" w14:textId="72F84B92" w:rsidR="0061066B" w:rsidRPr="00E76E82" w:rsidRDefault="0061066B" w:rsidP="00E76E82">
      <w:pPr>
        <w:spacing w:after="0" w:line="360" w:lineRule="auto"/>
        <w:jc w:val="both"/>
        <w:rPr>
          <w:rFonts w:ascii="Times New Roman" w:hAnsi="Times New Roman"/>
          <w:b/>
          <w:bCs/>
        </w:rPr>
      </w:pPr>
      <w:r w:rsidRPr="00E76E82">
        <w:rPr>
          <w:rFonts w:ascii="Times New Roman" w:hAnsi="Times New Roman"/>
          <w:b/>
          <w:bCs/>
        </w:rPr>
        <w:t xml:space="preserve">3.a. </w:t>
      </w:r>
      <w:r w:rsidR="0008479C" w:rsidRPr="00E76E82">
        <w:rPr>
          <w:rFonts w:ascii="Times New Roman" w:hAnsi="Times New Roman"/>
          <w:b/>
          <w:bCs/>
        </w:rPr>
        <w:t>Recent Advances</w:t>
      </w:r>
    </w:p>
    <w:p w14:paraId="47AFA937" w14:textId="4EE8A6A6" w:rsidR="0091525E" w:rsidRPr="00E76E82" w:rsidRDefault="00107DCC" w:rsidP="003B122D">
      <w:pPr>
        <w:spacing w:after="0" w:line="360" w:lineRule="auto"/>
        <w:ind w:firstLine="720"/>
        <w:jc w:val="both"/>
        <w:rPr>
          <w:rFonts w:ascii="Times New Roman" w:hAnsi="Times New Roman"/>
        </w:rPr>
      </w:pPr>
      <w:r w:rsidRPr="00E76E82">
        <w:rPr>
          <w:rFonts w:ascii="Times New Roman" w:hAnsi="Times New Roman"/>
        </w:rPr>
        <w:t>Recent advancements in affinity chromatography for monoclonal antibodies</w:t>
      </w:r>
      <w:r w:rsidR="00DA6814">
        <w:rPr>
          <w:rFonts w:ascii="Times New Roman" w:hAnsi="Times New Roman"/>
        </w:rPr>
        <w:t xml:space="preserve"> </w:t>
      </w:r>
      <w:r w:rsidRPr="00E76E82">
        <w:rPr>
          <w:rFonts w:ascii="Times New Roman" w:hAnsi="Times New Roman"/>
        </w:rPr>
        <w:t xml:space="preserve">are focused on enhancing efficiency, selectivity, and analytical capabilities. Innovations in affinity ligands are expanding the range of targets and conditions for capture and elution. For instance, engineered Protein A variants with improved alkaline stability and elution at milder pH conditions have been developed, alongside the exploration of novel ligands derived from </w:t>
      </w:r>
      <w:r w:rsidRPr="00E76E82">
        <w:rPr>
          <w:rFonts w:ascii="Times New Roman" w:hAnsi="Times New Roman"/>
        </w:rPr>
        <w:lastRenderedPageBreak/>
        <w:t>camelid antibodies for highly specific isolation</w:t>
      </w:r>
      <w:r w:rsidR="00276A26" w:rsidRPr="00E76E82">
        <w:rPr>
          <w:rFonts w:ascii="Times New Roman" w:hAnsi="Times New Roman"/>
        </w:rPr>
        <w:t xml:space="preserve"> (Rezvani and Aspelund, 2024).</w:t>
      </w:r>
      <w:r w:rsidRPr="00E76E82">
        <w:rPr>
          <w:rFonts w:ascii="Times New Roman" w:hAnsi="Times New Roman"/>
        </w:rPr>
        <w:t xml:space="preserve"> Furthermore, resin technology is evolving with the development of materials like nanofiber-based adsorbents that offer increased binding capacity and throughput, potentially overcoming limitations associated with traditional resin beads and monolithic columns</w:t>
      </w:r>
      <w:r w:rsidR="004E3BB5" w:rsidRPr="00E76E82">
        <w:rPr>
          <w:rFonts w:ascii="Times New Roman" w:hAnsi="Times New Roman"/>
        </w:rPr>
        <w:t xml:space="preserve"> (Dewar et al., 2024).</w:t>
      </w:r>
      <w:r w:rsidRPr="00E76E82">
        <w:rPr>
          <w:rFonts w:ascii="Times New Roman" w:hAnsi="Times New Roman"/>
        </w:rPr>
        <w:t xml:space="preserve"> In addition to material advancements, a greater emphasis is being placed on process flexibility during resin screening to ensure robustness against feed stream variations</w:t>
      </w:r>
      <w:r w:rsidR="005B45CA" w:rsidRPr="00E76E82">
        <w:rPr>
          <w:rFonts w:ascii="Times New Roman" w:hAnsi="Times New Roman"/>
        </w:rPr>
        <w:t xml:space="preserve"> (Sachio et al., 2024).</w:t>
      </w:r>
      <w:r w:rsidRPr="00E76E82">
        <w:rPr>
          <w:rFonts w:ascii="Times New Roman" w:hAnsi="Times New Roman"/>
        </w:rPr>
        <w:t xml:space="preserve"> The integration of affinity chromatography with other analytical techniques, particularly native mass spectrometry, represents a significant step forward. This online coupling allows for in-depth characterisation of mAbs, including glycoform analysis and the study of interactions with key receptors such as Protein A, FcγRIIIa, and </w:t>
      </w:r>
      <w:proofErr w:type="spellStart"/>
      <w:r w:rsidRPr="00E76E82">
        <w:rPr>
          <w:rFonts w:ascii="Times New Roman" w:hAnsi="Times New Roman"/>
        </w:rPr>
        <w:t>FcRn</w:t>
      </w:r>
      <w:proofErr w:type="spellEnd"/>
      <w:r w:rsidRPr="00E76E82">
        <w:rPr>
          <w:rFonts w:ascii="Times New Roman" w:hAnsi="Times New Roman"/>
        </w:rPr>
        <w:t>, providing insights into biological relevance and critical quality attributes</w:t>
      </w:r>
      <w:r w:rsidR="005D7DFE" w:rsidRPr="00E76E82">
        <w:rPr>
          <w:rFonts w:ascii="Times New Roman" w:hAnsi="Times New Roman"/>
        </w:rPr>
        <w:t>.</w:t>
      </w:r>
      <w:r w:rsidRPr="00E76E82">
        <w:rPr>
          <w:rFonts w:ascii="Times New Roman" w:hAnsi="Times New Roman"/>
        </w:rPr>
        <w:t xml:space="preserve"> These integrated platforms facilitate simplified experimental setups and the facile exchange of affinity separation modes</w:t>
      </w:r>
      <w:r w:rsidR="005D7DFE" w:rsidRPr="00E76E82">
        <w:rPr>
          <w:rFonts w:ascii="Times New Roman" w:hAnsi="Times New Roman"/>
        </w:rPr>
        <w:t xml:space="preserve"> (Cotham et al., 2023)</w:t>
      </w:r>
      <w:r w:rsidRPr="00E76E82">
        <w:rPr>
          <w:rFonts w:ascii="Times New Roman" w:hAnsi="Times New Roman"/>
        </w:rPr>
        <w:t>. Moreover, affinity chromatography is being increasingly explored within the context of continuous bioprocessing and for the purification of complex modalities like bispecific antibodies</w:t>
      </w:r>
      <w:r w:rsidR="00C829EF">
        <w:rPr>
          <w:rFonts w:ascii="Times New Roman" w:hAnsi="Times New Roman"/>
        </w:rPr>
        <w:t xml:space="preserve"> (</w:t>
      </w:r>
      <w:r w:rsidR="006C43BD">
        <w:rPr>
          <w:rFonts w:ascii="Times New Roman" w:hAnsi="Times New Roman"/>
        </w:rPr>
        <w:t>F</w:t>
      </w:r>
      <w:r w:rsidR="00C829EF">
        <w:rPr>
          <w:rFonts w:ascii="Times New Roman" w:hAnsi="Times New Roman"/>
        </w:rPr>
        <w:t>igure</w:t>
      </w:r>
      <w:r w:rsidR="006C43BD">
        <w:rPr>
          <w:rFonts w:ascii="Times New Roman" w:hAnsi="Times New Roman"/>
        </w:rPr>
        <w:t xml:space="preserve"> 8)</w:t>
      </w:r>
      <w:r w:rsidRPr="00E76E82">
        <w:rPr>
          <w:rFonts w:ascii="Times New Roman" w:hAnsi="Times New Roman"/>
        </w:rPr>
        <w:t>, necessitating tailored strategies and process optimisation</w:t>
      </w:r>
      <w:r w:rsidR="00EF5B2C" w:rsidRPr="00E76E82">
        <w:rPr>
          <w:rFonts w:ascii="Times New Roman" w:hAnsi="Times New Roman"/>
        </w:rPr>
        <w:t xml:space="preserve"> (Tran et al., 2024).</w:t>
      </w:r>
      <w:r w:rsidRPr="00E76E82">
        <w:rPr>
          <w:rFonts w:ascii="Times New Roman" w:hAnsi="Times New Roman"/>
        </w:rPr>
        <w:t xml:space="preserve"> The drive towards automation in chromatographic purification workflows further contributes to increased efficiency and reproducibility in mAb processing</w:t>
      </w:r>
      <w:r w:rsidR="00535455" w:rsidRPr="00E76E82">
        <w:rPr>
          <w:rFonts w:ascii="Times New Roman" w:hAnsi="Times New Roman"/>
        </w:rPr>
        <w:t xml:space="preserve"> (Prabhala and Wood, 2024).</w:t>
      </w:r>
    </w:p>
    <w:p w14:paraId="677C9DF9" w14:textId="7799445C" w:rsidR="006C43BD" w:rsidRDefault="006C43BD" w:rsidP="00D21330">
      <w:pPr>
        <w:spacing w:after="0" w:line="360" w:lineRule="auto"/>
        <w:jc w:val="center"/>
        <w:rPr>
          <w:rFonts w:ascii="Times New Roman" w:hAnsi="Times New Roman"/>
          <w:b/>
          <w:bCs/>
        </w:rPr>
      </w:pPr>
      <w:r w:rsidRPr="006C43BD">
        <w:rPr>
          <w:rFonts w:ascii="Times New Roman" w:hAnsi="Times New Roman"/>
          <w:b/>
          <w:bCs/>
          <w:noProof/>
        </w:rPr>
        <w:drawing>
          <wp:inline distT="0" distB="0" distL="0" distR="0" wp14:anchorId="16064FB1" wp14:editId="2D467152">
            <wp:extent cx="3298711" cy="2743200"/>
            <wp:effectExtent l="0" t="0" r="0" b="0"/>
            <wp:docPr id="1641465262" name="Picture 1" descr="A diagram of a cell divis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5262" name="Picture 1" descr="A diagram of a cell division&#10;&#10;AI-generated content may be incorrect."/>
                    <pic:cNvPicPr/>
                  </pic:nvPicPr>
                  <pic:blipFill>
                    <a:blip r:embed="rId15"/>
                    <a:stretch>
                      <a:fillRect/>
                    </a:stretch>
                  </pic:blipFill>
                  <pic:spPr>
                    <a:xfrm>
                      <a:off x="0" y="0"/>
                      <a:ext cx="3325681" cy="2765628"/>
                    </a:xfrm>
                    <a:prstGeom prst="rect">
                      <a:avLst/>
                    </a:prstGeom>
                  </pic:spPr>
                </pic:pic>
              </a:graphicData>
            </a:graphic>
          </wp:inline>
        </w:drawing>
      </w:r>
    </w:p>
    <w:p w14:paraId="5721C4AC" w14:textId="4E0C510C" w:rsidR="006C43BD" w:rsidRPr="00CF02AC" w:rsidRDefault="006C43BD" w:rsidP="00CF02AC">
      <w:pPr>
        <w:spacing w:after="0" w:line="240" w:lineRule="auto"/>
        <w:rPr>
          <w:rFonts w:ascii="Times New Roman" w:hAnsi="Times New Roman"/>
          <w:sz w:val="20"/>
          <w:szCs w:val="20"/>
        </w:rPr>
      </w:pPr>
      <w:r w:rsidRPr="00CF02AC">
        <w:rPr>
          <w:rFonts w:ascii="Times New Roman" w:hAnsi="Times New Roman"/>
          <w:sz w:val="20"/>
          <w:szCs w:val="20"/>
        </w:rPr>
        <w:t>Figure 8.</w:t>
      </w:r>
      <w:r w:rsidR="00CF02AC" w:rsidRPr="00CF02AC">
        <w:rPr>
          <w:sz w:val="20"/>
          <w:szCs w:val="20"/>
        </w:rPr>
        <w:t xml:space="preserve"> </w:t>
      </w:r>
      <w:r w:rsidR="00CF02AC" w:rsidRPr="00CF02AC">
        <w:rPr>
          <w:rFonts w:ascii="Times New Roman" w:hAnsi="Times New Roman"/>
          <w:sz w:val="20"/>
          <w:szCs w:val="20"/>
        </w:rPr>
        <w:t>Structure and general mechanism of action of bispecific antibodies:</w:t>
      </w:r>
      <w:r w:rsidR="00CF02AC" w:rsidRPr="00CF02AC">
        <w:rPr>
          <w:rFonts w:ascii="Times New Roman" w:hAnsi="Times New Roman"/>
          <w:sz w:val="20"/>
          <w:szCs w:val="20"/>
        </w:rPr>
        <w:br/>
        <w:t>a) Bispecific antibodies are engineered by combining the variable regions of the heavy and light chains from two distinct monoclonal antibodies, each specific to a different antigen.</w:t>
      </w:r>
      <w:r w:rsidR="00CF02AC" w:rsidRPr="00CF02AC">
        <w:rPr>
          <w:rFonts w:ascii="Times New Roman" w:hAnsi="Times New Roman"/>
          <w:sz w:val="20"/>
          <w:szCs w:val="20"/>
        </w:rPr>
        <w:br/>
        <w:t>b) The illustration demonstrates a typical mechanism whereby bispecific antibodies simultaneously engage two separate targets—one on a cytotoxic T cell and another on a cancer cell—thereby facilitating targeted T cell-mediated cytotoxicity against tumour cells</w:t>
      </w:r>
      <w:r w:rsidR="002B6DE4">
        <w:rPr>
          <w:rFonts w:ascii="Times New Roman" w:hAnsi="Times New Roman"/>
          <w:sz w:val="20"/>
          <w:szCs w:val="20"/>
        </w:rPr>
        <w:t xml:space="preserve"> </w:t>
      </w:r>
      <w:r w:rsidR="002B6DE4" w:rsidRPr="002B6DE4">
        <w:rPr>
          <w:rFonts w:ascii="Times New Roman" w:hAnsi="Times New Roman"/>
          <w:sz w:val="20"/>
          <w:szCs w:val="20"/>
        </w:rPr>
        <w:t> (Raja</w:t>
      </w:r>
      <w:r w:rsidR="002B6DE4">
        <w:rPr>
          <w:rFonts w:ascii="Times New Roman" w:hAnsi="Times New Roman"/>
          <w:sz w:val="20"/>
          <w:szCs w:val="20"/>
        </w:rPr>
        <w:t xml:space="preserve"> </w:t>
      </w:r>
      <w:r w:rsidR="002B6DE4" w:rsidRPr="002B6DE4">
        <w:rPr>
          <w:rFonts w:ascii="Times New Roman" w:hAnsi="Times New Roman"/>
          <w:sz w:val="20"/>
          <w:szCs w:val="20"/>
        </w:rPr>
        <w:t>et al., 2024).</w:t>
      </w:r>
    </w:p>
    <w:p w14:paraId="5F18C197" w14:textId="77777777" w:rsidR="00A63298" w:rsidRPr="00E76E82" w:rsidRDefault="00A63298" w:rsidP="00E76E82">
      <w:pPr>
        <w:spacing w:after="0" w:line="360" w:lineRule="auto"/>
        <w:jc w:val="both"/>
        <w:rPr>
          <w:rFonts w:ascii="Times New Roman" w:hAnsi="Times New Roman"/>
          <w:b/>
          <w:bCs/>
        </w:rPr>
      </w:pPr>
    </w:p>
    <w:p w14:paraId="127DAA5C" w14:textId="67B4E47E" w:rsidR="00B376DF" w:rsidRPr="00E76E82" w:rsidRDefault="00E61577" w:rsidP="00E76E82">
      <w:pPr>
        <w:spacing w:after="0" w:line="360" w:lineRule="auto"/>
        <w:jc w:val="both"/>
        <w:rPr>
          <w:rFonts w:ascii="Times New Roman" w:hAnsi="Times New Roman"/>
          <w:b/>
          <w:bCs/>
        </w:rPr>
      </w:pPr>
      <w:r w:rsidRPr="00E76E82">
        <w:rPr>
          <w:rFonts w:ascii="Times New Roman" w:hAnsi="Times New Roman"/>
          <w:b/>
          <w:bCs/>
        </w:rPr>
        <w:lastRenderedPageBreak/>
        <w:t>3.b. Current Challenges</w:t>
      </w:r>
    </w:p>
    <w:p w14:paraId="1F14955C" w14:textId="7D4A2864" w:rsidR="00107DCC" w:rsidRPr="00E76E82" w:rsidRDefault="00E2117B" w:rsidP="00E76E82">
      <w:pPr>
        <w:spacing w:after="0" w:line="360" w:lineRule="auto"/>
        <w:ind w:firstLine="720"/>
        <w:jc w:val="both"/>
        <w:rPr>
          <w:rFonts w:ascii="Times New Roman" w:hAnsi="Times New Roman"/>
        </w:rPr>
      </w:pPr>
      <w:r w:rsidRPr="00E76E82">
        <w:rPr>
          <w:rFonts w:ascii="Times New Roman" w:hAnsi="Times New Roman"/>
        </w:rPr>
        <w:t>Current challenges in affinity chromatography encompass several key areas that impact its broad applicability and cost-effectiveness in biopharmaceutical manufacturing. A significant concern revolves around the economic aspects, as traditional resin processes can incur large costs for purchasing and installing large columns</w:t>
      </w:r>
      <w:r w:rsidR="002B04CF" w:rsidRPr="00E76E82">
        <w:rPr>
          <w:rFonts w:ascii="Times New Roman" w:hAnsi="Times New Roman"/>
        </w:rPr>
        <w:t xml:space="preserve"> (Qu et al., 2024)</w:t>
      </w:r>
      <w:r w:rsidRPr="00E76E82">
        <w:rPr>
          <w:rFonts w:ascii="Times New Roman" w:hAnsi="Times New Roman"/>
        </w:rPr>
        <w:t>. The inherent expense of affinity resins represents a considerable operational cost, especially when considering large-scale production and the potential for resin fouling, which can limit their useful lifespan</w:t>
      </w:r>
      <w:r w:rsidR="001E6B4F" w:rsidRPr="00E76E82">
        <w:rPr>
          <w:rFonts w:ascii="Times New Roman" w:hAnsi="Times New Roman"/>
        </w:rPr>
        <w:t xml:space="preserve">. </w:t>
      </w:r>
      <w:r w:rsidRPr="00E76E82">
        <w:rPr>
          <w:rFonts w:ascii="Times New Roman" w:hAnsi="Times New Roman"/>
        </w:rPr>
        <w:t xml:space="preserve">Scalability presents another hurdle, as translating successful small-scale affinity purification processes to meet the demands of industrial production volumes often encounters limitations. To address throughput in protein </w:t>
      </w:r>
      <w:proofErr w:type="spellStart"/>
      <w:r w:rsidRPr="00E76E82">
        <w:rPr>
          <w:rFonts w:ascii="Times New Roman" w:hAnsi="Times New Roman"/>
        </w:rPr>
        <w:t>A</w:t>
      </w:r>
      <w:proofErr w:type="spellEnd"/>
      <w:r w:rsidRPr="00E76E82">
        <w:rPr>
          <w:rFonts w:ascii="Times New Roman" w:hAnsi="Times New Roman"/>
        </w:rPr>
        <w:t xml:space="preserve"> affinity chromatography, a </w:t>
      </w:r>
      <w:proofErr w:type="gramStart"/>
      <w:r w:rsidRPr="00E76E82">
        <w:rPr>
          <w:rFonts w:ascii="Times New Roman" w:hAnsi="Times New Roman"/>
        </w:rPr>
        <w:t>dual-flowrate</w:t>
      </w:r>
      <w:proofErr w:type="gramEnd"/>
      <w:r w:rsidRPr="00E76E82">
        <w:rPr>
          <w:rFonts w:ascii="Times New Roman" w:hAnsi="Times New Roman"/>
        </w:rPr>
        <w:t xml:space="preserve"> loading strategy has been explored</w:t>
      </w:r>
      <w:r w:rsidR="001D19D3" w:rsidRPr="00E76E82">
        <w:rPr>
          <w:rFonts w:ascii="Times New Roman" w:hAnsi="Times New Roman"/>
        </w:rPr>
        <w:t xml:space="preserve"> (Qu et al., 2024)</w:t>
      </w:r>
      <w:r w:rsidRPr="00E76E82">
        <w:rPr>
          <w:rFonts w:ascii="Times New Roman" w:hAnsi="Times New Roman"/>
        </w:rPr>
        <w:t>, suggesting that maximizing throughput at a large scale is a consideration. The longevity of the affinity resin is crucial for maintaining economic viability and process efficiency; factors such as chemical and physical stability, resistance to fouling from feed stream impurities, and the ability to withstand repeated regeneration cycles are critical but can be challenging to optimise and predict</w:t>
      </w:r>
      <w:r w:rsidR="00CB5B72" w:rsidRPr="00E76E82">
        <w:rPr>
          <w:rFonts w:ascii="Times New Roman" w:hAnsi="Times New Roman"/>
        </w:rPr>
        <w:t xml:space="preserve">. </w:t>
      </w:r>
      <w:r w:rsidRPr="00E76E82">
        <w:rPr>
          <w:rFonts w:ascii="Times New Roman" w:hAnsi="Times New Roman"/>
        </w:rPr>
        <w:t>For example, the impact of photo-oxidation on the long-term storage of affinity chromatography media is being investigated, highlighting concerns about resin lifetime</w:t>
      </w:r>
      <w:r w:rsidR="00CB5B72" w:rsidRPr="00E76E82">
        <w:rPr>
          <w:rFonts w:ascii="Times New Roman" w:hAnsi="Times New Roman"/>
        </w:rPr>
        <w:t xml:space="preserve"> </w:t>
      </w:r>
      <w:bookmarkStart w:id="0" w:name="_Hlk194479644"/>
      <w:r w:rsidR="00CB5B72" w:rsidRPr="00E76E82">
        <w:rPr>
          <w:rFonts w:ascii="Times New Roman" w:hAnsi="Times New Roman"/>
        </w:rPr>
        <w:t>(Rezvani and Aspelund, 2024)</w:t>
      </w:r>
      <w:r w:rsidRPr="00E76E82">
        <w:rPr>
          <w:rFonts w:ascii="Times New Roman" w:hAnsi="Times New Roman"/>
        </w:rPr>
        <w:t xml:space="preserve">. </w:t>
      </w:r>
      <w:bookmarkEnd w:id="0"/>
      <w:r w:rsidRPr="00E76E82">
        <w:rPr>
          <w:rFonts w:ascii="Times New Roman" w:hAnsi="Times New Roman"/>
        </w:rPr>
        <w:t xml:space="preserve">Finally, achieving high purification efficiency while maintaining product integrity remains a constant objective, particularly when dealing with complex biological mixtures and closely related impurities that necessitate highly selective binding and elution strategies under near-native conditions. Monitoring purification steps is </w:t>
      </w:r>
      <w:r w:rsidR="00B923EF" w:rsidRPr="00E76E82">
        <w:rPr>
          <w:rFonts w:ascii="Times New Roman" w:hAnsi="Times New Roman"/>
        </w:rPr>
        <w:t>essential,</w:t>
      </w:r>
      <w:r w:rsidRPr="00E76E82">
        <w:rPr>
          <w:rFonts w:ascii="Times New Roman" w:hAnsi="Times New Roman"/>
        </w:rPr>
        <w:t xml:space="preserve"> and various methods are used for sample analysis to determine protein concentration and aggregate concentration, which are indicators of purification efficiency and product integrity</w:t>
      </w:r>
      <w:r w:rsidR="00C30DD3" w:rsidRPr="00E76E82">
        <w:rPr>
          <w:rFonts w:ascii="Times New Roman" w:hAnsi="Times New Roman"/>
        </w:rPr>
        <w:t xml:space="preserve"> (Qu et al., 2024).</w:t>
      </w:r>
    </w:p>
    <w:p w14:paraId="2AAD40B2" w14:textId="77777777" w:rsidR="00107DCC" w:rsidRPr="00E76E82" w:rsidRDefault="00107DCC" w:rsidP="00E76E82">
      <w:pPr>
        <w:spacing w:after="0" w:line="360" w:lineRule="auto"/>
        <w:jc w:val="both"/>
        <w:rPr>
          <w:rFonts w:ascii="Times New Roman" w:hAnsi="Times New Roman"/>
          <w:b/>
          <w:bCs/>
        </w:rPr>
      </w:pPr>
    </w:p>
    <w:p w14:paraId="20073080" w14:textId="7CBBAE87" w:rsidR="00C30DD3" w:rsidRPr="00E76E82" w:rsidRDefault="00C30DD3" w:rsidP="00E76E82">
      <w:pPr>
        <w:spacing w:after="0" w:line="360" w:lineRule="auto"/>
        <w:jc w:val="both"/>
        <w:rPr>
          <w:rFonts w:ascii="Times New Roman" w:hAnsi="Times New Roman"/>
        </w:rPr>
      </w:pPr>
      <w:r w:rsidRPr="00E76E82">
        <w:rPr>
          <w:rFonts w:ascii="Times New Roman" w:hAnsi="Times New Roman"/>
          <w:b/>
          <w:bCs/>
        </w:rPr>
        <w:t>3.c. Knowledge Gaps</w:t>
      </w:r>
    </w:p>
    <w:p w14:paraId="49D7A189" w14:textId="3C01DFF2" w:rsidR="005615D3" w:rsidRPr="00E76E82" w:rsidRDefault="005615D3" w:rsidP="00E76E82">
      <w:pPr>
        <w:spacing w:after="0" w:line="360" w:lineRule="auto"/>
        <w:ind w:firstLine="720"/>
        <w:jc w:val="both"/>
        <w:rPr>
          <w:rFonts w:ascii="Times New Roman" w:hAnsi="Times New Roman"/>
        </w:rPr>
      </w:pPr>
      <w:r w:rsidRPr="00E76E82">
        <w:rPr>
          <w:rFonts w:ascii="Times New Roman" w:hAnsi="Times New Roman"/>
        </w:rPr>
        <w:t>Despite the widespread use of affinity chromatography, several areas require further investigation to enhance its capabilities. One significant knowledge gap lies in the development and application of alternative affinity ligands beyond traditional options like Protein A. While Protein A is widely used for mAb capture</w:t>
      </w:r>
      <w:r w:rsidR="00FD214F" w:rsidRPr="00E76E82">
        <w:rPr>
          <w:rFonts w:ascii="Times New Roman" w:hAnsi="Times New Roman"/>
        </w:rPr>
        <w:t xml:space="preserve"> (Cotham et al., 2023)</w:t>
      </w:r>
      <w:r w:rsidRPr="00E76E82">
        <w:rPr>
          <w:rFonts w:ascii="Times New Roman" w:hAnsi="Times New Roman"/>
        </w:rPr>
        <w:t>, exploring and implementing novel ligands, such as Camelid VHH domains</w:t>
      </w:r>
      <w:r w:rsidR="00073CF7" w:rsidRPr="00E76E82">
        <w:rPr>
          <w:rFonts w:ascii="Times New Roman" w:hAnsi="Times New Roman"/>
        </w:rPr>
        <w:t xml:space="preserve"> (Rezvani and Aspelund, 2024),</w:t>
      </w:r>
      <w:r w:rsidRPr="00E76E82">
        <w:rPr>
          <w:rFonts w:ascii="Times New Roman" w:hAnsi="Times New Roman"/>
        </w:rPr>
        <w:t xml:space="preserve"> or those identified for specific targets like extracellular vesicles</w:t>
      </w:r>
      <w:r w:rsidR="00F27895" w:rsidRPr="00E76E82">
        <w:rPr>
          <w:rFonts w:ascii="Times New Roman" w:hAnsi="Times New Roman"/>
        </w:rPr>
        <w:t xml:space="preserve"> (Fernandes et al., 2024)</w:t>
      </w:r>
      <w:r w:rsidRPr="00E76E82">
        <w:rPr>
          <w:rFonts w:ascii="Times New Roman" w:hAnsi="Times New Roman"/>
        </w:rPr>
        <w:t>, could offer advantages in terms of cost, stability, or target specificity. Furthermore, the identification of species-independent and tag-less purification methods using alternatives like Protein G for Fab fragments</w:t>
      </w:r>
      <w:r w:rsidR="008522D0" w:rsidRPr="00E76E82">
        <w:rPr>
          <w:rFonts w:ascii="Times New Roman" w:hAnsi="Times New Roman"/>
        </w:rPr>
        <w:t xml:space="preserve"> (Stern et al., 2024),</w:t>
      </w:r>
      <w:r w:rsidRPr="00E76E82">
        <w:rPr>
          <w:rFonts w:ascii="Times New Roman" w:hAnsi="Times New Roman"/>
        </w:rPr>
        <w:t xml:space="preserve"> indicates the potential for broadening the scope of affinity </w:t>
      </w:r>
      <w:r w:rsidRPr="00E76E82">
        <w:rPr>
          <w:rFonts w:ascii="Times New Roman" w:hAnsi="Times New Roman"/>
        </w:rPr>
        <w:lastRenderedPageBreak/>
        <w:t>purification. Another persistent challenge involves the reduction of non-specific binding, which can compromise product purity. While strategies such as increasing ionic strength or adding detergents are employed to mitigate non-covalent interactions</w:t>
      </w:r>
      <w:r w:rsidR="00F85686" w:rsidRPr="00E76E82">
        <w:rPr>
          <w:rFonts w:ascii="Times New Roman" w:hAnsi="Times New Roman"/>
        </w:rPr>
        <w:t xml:space="preserve"> (Cytiva, n.d)</w:t>
      </w:r>
      <w:r w:rsidRPr="00E76E82">
        <w:rPr>
          <w:rFonts w:ascii="Times New Roman" w:hAnsi="Times New Roman"/>
        </w:rPr>
        <w:t>, a deeper understanding of the mechanisms underlying non-specific retention, including potential interactions with the resin matrix</w:t>
      </w:r>
      <w:r w:rsidR="00A079AE" w:rsidRPr="00E76E82">
        <w:rPr>
          <w:rFonts w:ascii="Times New Roman" w:hAnsi="Times New Roman"/>
        </w:rPr>
        <w:t xml:space="preserve"> </w:t>
      </w:r>
      <w:r w:rsidRPr="00E76E82">
        <w:rPr>
          <w:rFonts w:ascii="Times New Roman" w:hAnsi="Times New Roman"/>
        </w:rPr>
        <w:t>is needed to devise more targeted and effective solutions</w:t>
      </w:r>
      <w:r w:rsidR="00495567">
        <w:rPr>
          <w:rFonts w:ascii="Times New Roman" w:hAnsi="Times New Roman"/>
        </w:rPr>
        <w:t xml:space="preserve"> </w:t>
      </w:r>
      <w:r w:rsidR="00495567" w:rsidRPr="00E76E82">
        <w:rPr>
          <w:rFonts w:ascii="Times New Roman" w:hAnsi="Times New Roman"/>
        </w:rPr>
        <w:t>(Leibiger et al., 2024)</w:t>
      </w:r>
      <w:r w:rsidR="00495567">
        <w:rPr>
          <w:rFonts w:ascii="Times New Roman" w:hAnsi="Times New Roman"/>
        </w:rPr>
        <w:t>.</w:t>
      </w:r>
      <w:r w:rsidRPr="00E76E82">
        <w:rPr>
          <w:rFonts w:ascii="Times New Roman" w:hAnsi="Times New Roman"/>
        </w:rPr>
        <w:t xml:space="preserve"> Finally, improved resin regeneration methods are crucial for enhancing the economic viability and sustainability of affinity chromatography. Although resin re-use is possible and cleaning-in-place protocols exist</w:t>
      </w:r>
      <w:r w:rsidR="00495567">
        <w:rPr>
          <w:rFonts w:ascii="Times New Roman" w:hAnsi="Times New Roman"/>
        </w:rPr>
        <w:t>,</w:t>
      </w:r>
      <w:r w:rsidR="002B2C04" w:rsidRPr="00E76E82">
        <w:rPr>
          <w:rFonts w:ascii="Times New Roman" w:hAnsi="Times New Roman"/>
        </w:rPr>
        <w:t xml:space="preserve"> </w:t>
      </w:r>
      <w:r w:rsidRPr="00E76E82">
        <w:rPr>
          <w:rFonts w:ascii="Times New Roman" w:hAnsi="Times New Roman"/>
        </w:rPr>
        <w:t>ongoing research into the long-term stability and performance of resins under various conditions, including different storage solutions and repeated alkaline exposures</w:t>
      </w:r>
      <w:r w:rsidR="0031323C" w:rsidRPr="00E76E82">
        <w:rPr>
          <w:rFonts w:ascii="Times New Roman" w:hAnsi="Times New Roman"/>
        </w:rPr>
        <w:t>, it</w:t>
      </w:r>
      <w:r w:rsidR="00412983" w:rsidRPr="00E76E82">
        <w:rPr>
          <w:rFonts w:ascii="Times New Roman" w:hAnsi="Times New Roman"/>
        </w:rPr>
        <w:t xml:space="preserve"> </w:t>
      </w:r>
      <w:r w:rsidRPr="00E76E82">
        <w:rPr>
          <w:rFonts w:ascii="Times New Roman" w:hAnsi="Times New Roman"/>
        </w:rPr>
        <w:t>remains vital to maximise resin lifetime and ensure consistent purification performance</w:t>
      </w:r>
      <w:r w:rsidR="00421454">
        <w:rPr>
          <w:rFonts w:ascii="Times New Roman" w:hAnsi="Times New Roman"/>
        </w:rPr>
        <w:t xml:space="preserve"> </w:t>
      </w:r>
      <w:r w:rsidR="00495567" w:rsidRPr="00E76E82">
        <w:rPr>
          <w:rFonts w:ascii="Times New Roman" w:hAnsi="Times New Roman"/>
        </w:rPr>
        <w:t>(Florea et al., 2023)</w:t>
      </w:r>
      <w:r w:rsidRPr="00E76E82">
        <w:rPr>
          <w:rFonts w:ascii="Times New Roman" w:hAnsi="Times New Roman"/>
        </w:rPr>
        <w:t>. Further investigation into the specific sites responsible for resin degradation could inform the development of more resilient</w:t>
      </w:r>
      <w:r w:rsidR="0029572C" w:rsidRPr="00E76E82">
        <w:rPr>
          <w:rFonts w:ascii="Times New Roman" w:hAnsi="Times New Roman"/>
        </w:rPr>
        <w:t xml:space="preserve"> affinity media</w:t>
      </w:r>
      <w:r w:rsidR="00500DD2" w:rsidRPr="00E76E82">
        <w:rPr>
          <w:rFonts w:ascii="Times New Roman" w:hAnsi="Times New Roman"/>
        </w:rPr>
        <w:t xml:space="preserve"> (Rezvani and Aspelund, 2024)</w:t>
      </w:r>
      <w:r w:rsidR="0031323C" w:rsidRPr="00E76E82">
        <w:rPr>
          <w:rFonts w:ascii="Times New Roman" w:hAnsi="Times New Roman"/>
        </w:rPr>
        <w:t>.</w:t>
      </w:r>
    </w:p>
    <w:p w14:paraId="144AA60D" w14:textId="77777777" w:rsidR="00107DCC" w:rsidRPr="00E76E82" w:rsidRDefault="00107DCC" w:rsidP="00E76E82">
      <w:pPr>
        <w:spacing w:after="0" w:line="360" w:lineRule="auto"/>
        <w:jc w:val="both"/>
        <w:rPr>
          <w:rFonts w:ascii="Times New Roman" w:hAnsi="Times New Roman"/>
          <w:b/>
          <w:bCs/>
        </w:rPr>
      </w:pPr>
    </w:p>
    <w:p w14:paraId="48352F16" w14:textId="77777777" w:rsidR="0031323C" w:rsidRPr="00E76E82" w:rsidRDefault="0031323C" w:rsidP="00E76E82">
      <w:pPr>
        <w:spacing w:after="0" w:line="360" w:lineRule="auto"/>
        <w:jc w:val="both"/>
        <w:rPr>
          <w:rFonts w:ascii="Times New Roman" w:hAnsi="Times New Roman"/>
          <w:b/>
          <w:bCs/>
        </w:rPr>
      </w:pPr>
      <w:r w:rsidRPr="00E76E82">
        <w:rPr>
          <w:rFonts w:ascii="Times New Roman" w:hAnsi="Times New Roman"/>
          <w:b/>
          <w:bCs/>
        </w:rPr>
        <w:t>4. Case Studies and Applications</w:t>
      </w:r>
    </w:p>
    <w:p w14:paraId="0012C744" w14:textId="75266384" w:rsidR="00107DCC" w:rsidRPr="00E76E82" w:rsidRDefault="00900518" w:rsidP="00E76E82">
      <w:pPr>
        <w:spacing w:after="0" w:line="360" w:lineRule="auto"/>
        <w:jc w:val="both"/>
        <w:rPr>
          <w:rFonts w:ascii="Times New Roman" w:hAnsi="Times New Roman"/>
          <w:b/>
          <w:bCs/>
        </w:rPr>
      </w:pPr>
      <w:r w:rsidRPr="00E76E82">
        <w:rPr>
          <w:rFonts w:ascii="Times New Roman" w:hAnsi="Times New Roman"/>
          <w:b/>
          <w:bCs/>
        </w:rPr>
        <w:t>4.a. Industrial Use of Protein A Chromatography for mAb Purification</w:t>
      </w:r>
    </w:p>
    <w:p w14:paraId="1A9AD83D" w14:textId="6BA9DA6C" w:rsidR="00370A6A" w:rsidRDefault="00813D3A" w:rsidP="00E76E82">
      <w:pPr>
        <w:spacing w:after="0" w:line="360" w:lineRule="auto"/>
        <w:ind w:firstLine="720"/>
        <w:jc w:val="both"/>
        <w:rPr>
          <w:rFonts w:ascii="Times New Roman" w:hAnsi="Times New Roman"/>
        </w:rPr>
      </w:pPr>
      <w:r w:rsidRPr="00E76E82">
        <w:rPr>
          <w:rFonts w:ascii="Times New Roman" w:hAnsi="Times New Roman"/>
        </w:rPr>
        <w:t xml:space="preserve">Protein </w:t>
      </w:r>
      <w:proofErr w:type="spellStart"/>
      <w:r w:rsidRPr="00E76E82">
        <w:rPr>
          <w:rFonts w:ascii="Times New Roman" w:hAnsi="Times New Roman"/>
        </w:rPr>
        <w:t>A</w:t>
      </w:r>
      <w:proofErr w:type="spellEnd"/>
      <w:r w:rsidRPr="00E76E82">
        <w:rPr>
          <w:rFonts w:ascii="Times New Roman" w:hAnsi="Times New Roman"/>
        </w:rPr>
        <w:t xml:space="preserve"> affinity chromatography serves as a cornerstone in the industrial purification of monoclonal antibodies</w:t>
      </w:r>
      <w:r w:rsidR="000D7910">
        <w:rPr>
          <w:rFonts w:ascii="Times New Roman" w:hAnsi="Times New Roman"/>
        </w:rPr>
        <w:t>,</w:t>
      </w:r>
      <w:r w:rsidRPr="00E76E82">
        <w:rPr>
          <w:rFonts w:ascii="Times New Roman" w:hAnsi="Times New Roman"/>
        </w:rPr>
        <w:t xml:space="preserve"> leveraging the highly specific interaction between the antibody Fc region and the Protein A ligand</w:t>
      </w:r>
      <w:r w:rsidR="00214D76" w:rsidRPr="00E76E82">
        <w:rPr>
          <w:rFonts w:ascii="Times New Roman" w:hAnsi="Times New Roman"/>
        </w:rPr>
        <w:t xml:space="preserve"> (Cotham et al., 2023)</w:t>
      </w:r>
      <w:r w:rsidRPr="00E76E82">
        <w:rPr>
          <w:rFonts w:ascii="Times New Roman" w:hAnsi="Times New Roman"/>
        </w:rPr>
        <w:t>. Recent studies continue to underscore its efficiency as a capture step, often aiming for high yields (≥99%) due to its critical position in mAb manufacturing</w:t>
      </w:r>
      <w:r w:rsidR="00272752" w:rsidRPr="00E76E82">
        <w:rPr>
          <w:rFonts w:ascii="Times New Roman" w:hAnsi="Times New Roman"/>
        </w:rPr>
        <w:t xml:space="preserve"> (Sachio et al., 2024)</w:t>
      </w:r>
      <w:r w:rsidRPr="00E76E82">
        <w:rPr>
          <w:rFonts w:ascii="Times New Roman" w:hAnsi="Times New Roman"/>
        </w:rPr>
        <w:t>. This method typically achieves significant purity in a single step, facilitating substantial removal of process-related impurities such as host cell proteins and DNA</w:t>
      </w:r>
      <w:r w:rsidR="00AD76B3" w:rsidRPr="00E76E82">
        <w:rPr>
          <w:rFonts w:ascii="Times New Roman" w:hAnsi="Times New Roman"/>
        </w:rPr>
        <w:t xml:space="preserve"> (Prabhala and Wood, 2024)</w:t>
      </w:r>
      <w:r w:rsidRPr="00E76E82">
        <w:rPr>
          <w:rFonts w:ascii="Times New Roman" w:hAnsi="Times New Roman"/>
        </w:rPr>
        <w:t>. However, challenges persist, including the economic impact of resin costs and the occurrence of fouling, which can diminish resin lifetime</w:t>
      </w:r>
      <w:r w:rsidR="00AD76B3" w:rsidRPr="00E76E82">
        <w:rPr>
          <w:rFonts w:ascii="Times New Roman" w:hAnsi="Times New Roman"/>
        </w:rPr>
        <w:t xml:space="preserve">. </w:t>
      </w:r>
      <w:r w:rsidRPr="00E76E82">
        <w:rPr>
          <w:rFonts w:ascii="Times New Roman" w:hAnsi="Times New Roman"/>
        </w:rPr>
        <w:t>To address these limitations, ongoing research explores various optimisation strategies. These include the development of different elution methodologies, such as rapid screening modes for high throughput and resolving modes for separating variants with differing affinities</w:t>
      </w:r>
      <w:r w:rsidR="00643A3C">
        <w:rPr>
          <w:rFonts w:ascii="Times New Roman" w:hAnsi="Times New Roman"/>
        </w:rPr>
        <w:t>.</w:t>
      </w:r>
      <w:r w:rsidR="000B304B">
        <w:rPr>
          <w:rFonts w:ascii="Times New Roman" w:hAnsi="Times New Roman"/>
        </w:rPr>
        <w:t xml:space="preserve"> </w:t>
      </w:r>
      <w:r w:rsidR="00643A3C">
        <w:rPr>
          <w:rFonts w:ascii="Times New Roman" w:hAnsi="Times New Roman"/>
        </w:rPr>
        <w:t>The</w:t>
      </w:r>
      <w:r w:rsidR="00B12EE7" w:rsidRPr="00B12EE7">
        <w:t xml:space="preserve"> </w:t>
      </w:r>
      <w:r w:rsidR="00B12EE7" w:rsidRPr="00B12EE7">
        <w:rPr>
          <w:rFonts w:ascii="Times New Roman" w:hAnsi="Times New Roman"/>
        </w:rPr>
        <w:t xml:space="preserve">online </w:t>
      </w:r>
      <w:proofErr w:type="spellStart"/>
      <w:r w:rsidR="00B12EE7" w:rsidRPr="00B12EE7">
        <w:rPr>
          <w:rFonts w:ascii="Times New Roman" w:hAnsi="Times New Roman"/>
        </w:rPr>
        <w:t>ProA</w:t>
      </w:r>
      <w:proofErr w:type="spellEnd"/>
      <w:r w:rsidR="00B12EE7" w:rsidRPr="00B12EE7">
        <w:rPr>
          <w:rFonts w:ascii="Times New Roman" w:hAnsi="Times New Roman"/>
        </w:rPr>
        <w:t>-MS analysis</w:t>
      </w:r>
      <w:r w:rsidR="00B12EE7">
        <w:rPr>
          <w:rFonts w:ascii="Times New Roman" w:hAnsi="Times New Roman"/>
        </w:rPr>
        <w:t xml:space="preserve"> (Figure 9)</w:t>
      </w:r>
      <w:r w:rsidR="00643A3C">
        <w:t>,</w:t>
      </w:r>
      <w:r w:rsidR="00E300BE">
        <w:rPr>
          <w:rFonts w:ascii="Times New Roman" w:hAnsi="Times New Roman"/>
        </w:rPr>
        <w:t xml:space="preserve"> f</w:t>
      </w:r>
      <w:r w:rsidR="009110DD" w:rsidRPr="009110DD">
        <w:rPr>
          <w:rFonts w:ascii="Times New Roman" w:hAnsi="Times New Roman"/>
        </w:rPr>
        <w:t>acilitates high-throughput screening of mAb molecules by operating in a "bind-and-elute" fashion, enabling swift assessment of various mAb candidates</w:t>
      </w:r>
      <w:r w:rsidR="00DB07EE">
        <w:rPr>
          <w:rFonts w:ascii="Times New Roman" w:hAnsi="Times New Roman"/>
        </w:rPr>
        <w:t xml:space="preserve">. </w:t>
      </w:r>
      <w:r w:rsidR="000A5DBE" w:rsidRPr="000A5DBE">
        <w:rPr>
          <w:rFonts w:ascii="Times New Roman" w:hAnsi="Times New Roman"/>
        </w:rPr>
        <w:t xml:space="preserve">Additionally, efforts have been made to apply </w:t>
      </w:r>
      <w:proofErr w:type="spellStart"/>
      <w:r w:rsidR="000A5DBE" w:rsidRPr="000A5DBE">
        <w:rPr>
          <w:rFonts w:ascii="Times New Roman" w:hAnsi="Times New Roman"/>
        </w:rPr>
        <w:t>ProA</w:t>
      </w:r>
      <w:proofErr w:type="spellEnd"/>
      <w:r w:rsidR="000A5DBE" w:rsidRPr="000A5DBE">
        <w:rPr>
          <w:rFonts w:ascii="Times New Roman" w:hAnsi="Times New Roman"/>
        </w:rPr>
        <w:t xml:space="preserve">-MS directly to complex feedstocks, such as unclarified cell culture material. This application aims to streamline the analytical process by enabling direct analysis without necessitating extensive </w:t>
      </w:r>
      <w:r w:rsidR="000A5DBE" w:rsidRPr="000A5DBE">
        <w:rPr>
          <w:rFonts w:ascii="Times New Roman" w:hAnsi="Times New Roman"/>
        </w:rPr>
        <w:lastRenderedPageBreak/>
        <w:t xml:space="preserve">sample preparation. Such advancements enhance the efficiency and effectiveness of mAb characterization workflows </w:t>
      </w:r>
      <w:r w:rsidR="00D244A9" w:rsidRPr="00E76E82">
        <w:rPr>
          <w:rFonts w:ascii="Times New Roman" w:hAnsi="Times New Roman"/>
        </w:rPr>
        <w:t>(Cotham et al., 2023)</w:t>
      </w:r>
      <w:r w:rsidRPr="00E76E82">
        <w:rPr>
          <w:rFonts w:ascii="Times New Roman" w:hAnsi="Times New Roman"/>
        </w:rPr>
        <w:t>.</w:t>
      </w:r>
    </w:p>
    <w:p w14:paraId="0FEF9086" w14:textId="36C55785" w:rsidR="00370A6A" w:rsidRDefault="00370A6A" w:rsidP="00B12EE7">
      <w:pPr>
        <w:spacing w:after="0" w:line="360" w:lineRule="auto"/>
        <w:jc w:val="center"/>
        <w:rPr>
          <w:rFonts w:ascii="Times New Roman" w:hAnsi="Times New Roman"/>
        </w:rPr>
      </w:pPr>
      <w:r w:rsidRPr="00370A6A">
        <w:rPr>
          <w:rFonts w:ascii="Times New Roman" w:hAnsi="Times New Roman"/>
          <w:noProof/>
        </w:rPr>
        <w:drawing>
          <wp:inline distT="0" distB="0" distL="0" distR="0" wp14:anchorId="4BBB62DB" wp14:editId="4E30BED0">
            <wp:extent cx="4690110" cy="2721261"/>
            <wp:effectExtent l="0" t="0" r="0" b="3175"/>
            <wp:docPr id="1587352525" name="Picture 1" descr="Diagram of a diagram of a viper tub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52525" name="Picture 1" descr="Diagram of a diagram of a viper tubing&#10;&#10;AI-generated content may be incorrect."/>
                    <pic:cNvPicPr/>
                  </pic:nvPicPr>
                  <pic:blipFill>
                    <a:blip r:embed="rId16"/>
                    <a:stretch>
                      <a:fillRect/>
                    </a:stretch>
                  </pic:blipFill>
                  <pic:spPr>
                    <a:xfrm>
                      <a:off x="0" y="0"/>
                      <a:ext cx="4694923" cy="2724053"/>
                    </a:xfrm>
                    <a:prstGeom prst="rect">
                      <a:avLst/>
                    </a:prstGeom>
                  </pic:spPr>
                </pic:pic>
              </a:graphicData>
            </a:graphic>
          </wp:inline>
        </w:drawing>
      </w:r>
    </w:p>
    <w:p w14:paraId="272F2B66" w14:textId="5B5D2434" w:rsidR="00CF5B45" w:rsidRDefault="00B12EE7" w:rsidP="00CF5B45">
      <w:pPr>
        <w:spacing w:after="0" w:line="240" w:lineRule="auto"/>
        <w:rPr>
          <w:rFonts w:ascii="Times New Roman" w:hAnsi="Times New Roman"/>
          <w:sz w:val="20"/>
          <w:szCs w:val="20"/>
        </w:rPr>
      </w:pPr>
      <w:r>
        <w:rPr>
          <w:rFonts w:ascii="Times New Roman" w:hAnsi="Times New Roman"/>
          <w:sz w:val="20"/>
          <w:szCs w:val="20"/>
        </w:rPr>
        <w:t xml:space="preserve">Figure 9. </w:t>
      </w:r>
      <w:r w:rsidR="00CF5B45" w:rsidRPr="00CF5B45">
        <w:rPr>
          <w:rFonts w:ascii="Times New Roman" w:hAnsi="Times New Roman"/>
          <w:sz w:val="20"/>
          <w:szCs w:val="20"/>
        </w:rPr>
        <w:t>Illustration of the native affinity LC-MS platform</w:t>
      </w:r>
      <w:r w:rsidR="00CF5B45">
        <w:rPr>
          <w:rFonts w:ascii="Times New Roman" w:hAnsi="Times New Roman"/>
          <w:sz w:val="20"/>
          <w:szCs w:val="20"/>
        </w:rPr>
        <w:t>:</w:t>
      </w:r>
      <w:r w:rsidR="00CF5B45" w:rsidRPr="00CF5B45">
        <w:rPr>
          <w:rFonts w:ascii="Times New Roman" w:hAnsi="Times New Roman"/>
          <w:sz w:val="20"/>
          <w:szCs w:val="20"/>
        </w:rPr>
        <w:br/>
        <w:t xml:space="preserve">Affinity-based separation is achieved through a pH gradient utilizing ammonium acetate, tailored to the binding properties of the specific ligand. After separation, a </w:t>
      </w:r>
      <w:proofErr w:type="gramStart"/>
      <w:r w:rsidR="00CF5B45" w:rsidRPr="00CF5B45">
        <w:rPr>
          <w:rFonts w:ascii="Times New Roman" w:hAnsi="Times New Roman"/>
          <w:sz w:val="20"/>
          <w:szCs w:val="20"/>
        </w:rPr>
        <w:t>stainless steel</w:t>
      </w:r>
      <w:proofErr w:type="gramEnd"/>
      <w:r w:rsidR="00CF5B45" w:rsidRPr="00CF5B45">
        <w:rPr>
          <w:rFonts w:ascii="Times New Roman" w:hAnsi="Times New Roman"/>
          <w:sz w:val="20"/>
          <w:szCs w:val="20"/>
        </w:rPr>
        <w:t xml:space="preserve"> post-column tee splits the flow: the higher flow rate is directed to an inline UV detector and pH sensor, while the lower flow rate is sent to a </w:t>
      </w:r>
      <w:proofErr w:type="spellStart"/>
      <w:r w:rsidR="00CF5B45" w:rsidRPr="00CF5B45">
        <w:rPr>
          <w:rFonts w:ascii="Times New Roman" w:hAnsi="Times New Roman"/>
          <w:sz w:val="20"/>
          <w:szCs w:val="20"/>
        </w:rPr>
        <w:t>nanospray</w:t>
      </w:r>
      <w:proofErr w:type="spellEnd"/>
      <w:r w:rsidR="00CF5B45" w:rsidRPr="00CF5B45">
        <w:rPr>
          <w:rFonts w:ascii="Times New Roman" w:hAnsi="Times New Roman"/>
          <w:sz w:val="20"/>
          <w:szCs w:val="20"/>
        </w:rPr>
        <w:t xml:space="preserve"> emitter for mass spectrometric analysis </w:t>
      </w:r>
      <w:r w:rsidRPr="00B12EE7">
        <w:rPr>
          <w:rFonts w:ascii="Times New Roman" w:hAnsi="Times New Roman"/>
          <w:sz w:val="20"/>
          <w:szCs w:val="20"/>
        </w:rPr>
        <w:t>(Cotham et al., 2023).</w:t>
      </w:r>
    </w:p>
    <w:p w14:paraId="0D0BF0A6" w14:textId="77777777" w:rsidR="00B12EE7" w:rsidRPr="00CF5B45" w:rsidRDefault="00B12EE7" w:rsidP="00CF5B45">
      <w:pPr>
        <w:spacing w:after="0" w:line="240" w:lineRule="auto"/>
        <w:rPr>
          <w:rFonts w:ascii="Times New Roman" w:hAnsi="Times New Roman"/>
          <w:sz w:val="20"/>
          <w:szCs w:val="20"/>
        </w:rPr>
      </w:pPr>
    </w:p>
    <w:p w14:paraId="5AA0CA17" w14:textId="416662F8" w:rsidR="0008479C" w:rsidRDefault="00813D3A" w:rsidP="00E76E82">
      <w:pPr>
        <w:spacing w:after="0" w:line="360" w:lineRule="auto"/>
        <w:ind w:firstLine="720"/>
        <w:jc w:val="both"/>
        <w:rPr>
          <w:rFonts w:ascii="Times New Roman" w:hAnsi="Times New Roman"/>
        </w:rPr>
      </w:pPr>
      <w:r w:rsidRPr="00E76E82">
        <w:rPr>
          <w:rFonts w:ascii="Times New Roman" w:hAnsi="Times New Roman"/>
        </w:rPr>
        <w:t xml:space="preserve"> Furthermore, there is growing interest in alternative process formats, such as nanofiber-based chromatography, and continuous processing approaches to enhance productivity, reduce processing time, and improve overall economic performance compared to traditional resin-based columns</w:t>
      </w:r>
      <w:r w:rsidR="002C147C" w:rsidRPr="00E76E82">
        <w:rPr>
          <w:rFonts w:ascii="Times New Roman" w:hAnsi="Times New Roman"/>
        </w:rPr>
        <w:t xml:space="preserve"> (Qu et al., 2024)</w:t>
      </w:r>
      <w:r w:rsidRPr="00E76E82">
        <w:rPr>
          <w:rFonts w:ascii="Times New Roman" w:hAnsi="Times New Roman"/>
        </w:rPr>
        <w:t>. Investigations into residual impurities, like host cell proteins, post-Protein A purification are also crucial for further downstream process design and ensuring product quality</w:t>
      </w:r>
      <w:r w:rsidR="00C33682" w:rsidRPr="00E76E82">
        <w:rPr>
          <w:rFonts w:ascii="Times New Roman" w:hAnsi="Times New Roman"/>
        </w:rPr>
        <w:t xml:space="preserve"> (Leibiger et al., 2024).</w:t>
      </w:r>
    </w:p>
    <w:p w14:paraId="6CE91248" w14:textId="77777777" w:rsidR="00D21330" w:rsidRPr="00E76E82" w:rsidRDefault="00D21330" w:rsidP="001E301D">
      <w:pPr>
        <w:spacing w:after="0" w:line="360" w:lineRule="auto"/>
        <w:jc w:val="both"/>
        <w:rPr>
          <w:rFonts w:ascii="Times New Roman" w:hAnsi="Times New Roman"/>
        </w:rPr>
      </w:pPr>
    </w:p>
    <w:p w14:paraId="70A54EF1" w14:textId="2FFB01C6" w:rsidR="0008479C" w:rsidRPr="00E76E82" w:rsidRDefault="00345F2A" w:rsidP="00E76E82">
      <w:pPr>
        <w:spacing w:after="0" w:line="360" w:lineRule="auto"/>
        <w:jc w:val="both"/>
        <w:rPr>
          <w:rFonts w:ascii="Times New Roman" w:hAnsi="Times New Roman"/>
          <w:b/>
          <w:bCs/>
        </w:rPr>
      </w:pPr>
      <w:r w:rsidRPr="00E76E82">
        <w:rPr>
          <w:rFonts w:ascii="Times New Roman" w:hAnsi="Times New Roman"/>
          <w:b/>
          <w:bCs/>
        </w:rPr>
        <w:t>4.b. Alternative Affinity Ligands and Their Performance</w:t>
      </w:r>
    </w:p>
    <w:p w14:paraId="6F6AF1DA" w14:textId="17FDF9EC" w:rsidR="003A3847" w:rsidRDefault="002C2528" w:rsidP="00E76E82">
      <w:pPr>
        <w:spacing w:after="0" w:line="360" w:lineRule="auto"/>
        <w:ind w:firstLine="720"/>
        <w:jc w:val="both"/>
        <w:rPr>
          <w:rFonts w:ascii="Times New Roman" w:hAnsi="Times New Roman"/>
        </w:rPr>
      </w:pPr>
      <w:r w:rsidRPr="00E76E82">
        <w:rPr>
          <w:rFonts w:ascii="Times New Roman" w:hAnsi="Times New Roman"/>
        </w:rPr>
        <w:t xml:space="preserve">While Protein </w:t>
      </w:r>
      <w:proofErr w:type="spellStart"/>
      <w:r w:rsidRPr="00E76E82">
        <w:rPr>
          <w:rFonts w:ascii="Times New Roman" w:hAnsi="Times New Roman"/>
        </w:rPr>
        <w:t>A</w:t>
      </w:r>
      <w:proofErr w:type="spellEnd"/>
      <w:r w:rsidRPr="00E76E82">
        <w:rPr>
          <w:rFonts w:ascii="Times New Roman" w:hAnsi="Times New Roman"/>
        </w:rPr>
        <w:t xml:space="preserve"> affinity chromatography remains a fundamental technique for purifying monoclonal antibodies, the exploration of alternative affinity ligands and separation methods is a significant area of development within the biopharmaceutical industry. Engineered ligands, which can be modified Protein A domains </w:t>
      </w:r>
      <w:r w:rsidR="008D13DB">
        <w:rPr>
          <w:rFonts w:ascii="Times New Roman" w:hAnsi="Times New Roman"/>
        </w:rPr>
        <w:t xml:space="preserve">like </w:t>
      </w:r>
      <w:r w:rsidR="008D13DB" w:rsidRPr="008D13DB">
        <w:rPr>
          <w:rFonts w:ascii="Times New Roman" w:hAnsi="Times New Roman"/>
        </w:rPr>
        <w:t xml:space="preserve">Fibro </w:t>
      </w:r>
      <w:proofErr w:type="spellStart"/>
      <w:r w:rsidR="008D13DB" w:rsidRPr="008D13DB">
        <w:rPr>
          <w:rFonts w:ascii="Times New Roman" w:hAnsi="Times New Roman"/>
        </w:rPr>
        <w:t>PrismA</w:t>
      </w:r>
      <w:proofErr w:type="spellEnd"/>
      <w:r w:rsidR="008D13DB">
        <w:rPr>
          <w:rFonts w:ascii="Times New Roman" w:hAnsi="Times New Roman"/>
        </w:rPr>
        <w:t xml:space="preserve"> (Figure 10)</w:t>
      </w:r>
      <w:r w:rsidR="00A4061D">
        <w:rPr>
          <w:rFonts w:ascii="Times New Roman" w:hAnsi="Times New Roman"/>
        </w:rPr>
        <w:t>,</w:t>
      </w:r>
      <w:r w:rsidR="008D13DB" w:rsidRPr="008D13DB">
        <w:rPr>
          <w:rFonts w:ascii="Times New Roman" w:hAnsi="Times New Roman"/>
        </w:rPr>
        <w:t xml:space="preserve"> </w:t>
      </w:r>
      <w:r w:rsidRPr="00E76E82">
        <w:rPr>
          <w:rFonts w:ascii="Times New Roman" w:hAnsi="Times New Roman"/>
        </w:rPr>
        <w:t xml:space="preserve">or </w:t>
      </w:r>
      <w:r w:rsidR="00F763B4" w:rsidRPr="00F763B4">
        <w:rPr>
          <w:rFonts w:ascii="Times New Roman" w:hAnsi="Times New Roman"/>
        </w:rPr>
        <w:t>non-Protein A scaffolds</w:t>
      </w:r>
      <w:r w:rsidR="006872E7">
        <w:rPr>
          <w:rFonts w:ascii="Times New Roman" w:hAnsi="Times New Roman"/>
        </w:rPr>
        <w:t xml:space="preserve"> are </w:t>
      </w:r>
      <w:r w:rsidRPr="00E76E82">
        <w:rPr>
          <w:rFonts w:ascii="Times New Roman" w:hAnsi="Times New Roman"/>
        </w:rPr>
        <w:t>entirely new structures, being investigated to overcome some of the limitations of traditional Protein A, such as the necessity for harsh acidic elution conditions that might affect the integrity of certain antibodies</w:t>
      </w:r>
      <w:r w:rsidR="008E1C15" w:rsidRPr="00E76E82">
        <w:rPr>
          <w:rFonts w:ascii="Times New Roman" w:hAnsi="Times New Roman"/>
        </w:rPr>
        <w:t xml:space="preserve"> (Yang and Zhu, 2025)</w:t>
      </w:r>
      <w:r w:rsidRPr="00E76E82">
        <w:rPr>
          <w:rFonts w:ascii="Times New Roman" w:hAnsi="Times New Roman"/>
        </w:rPr>
        <w:t>.</w:t>
      </w:r>
    </w:p>
    <w:p w14:paraId="60FA7C18" w14:textId="77777777" w:rsidR="00082FC4" w:rsidRDefault="00082FC4" w:rsidP="00E76E82">
      <w:pPr>
        <w:spacing w:after="0" w:line="360" w:lineRule="auto"/>
        <w:ind w:firstLine="720"/>
        <w:jc w:val="both"/>
        <w:rPr>
          <w:rFonts w:ascii="Times New Roman" w:hAnsi="Times New Roman"/>
        </w:rPr>
      </w:pPr>
    </w:p>
    <w:p w14:paraId="51BFAD4D" w14:textId="416848A7" w:rsidR="00082FC4" w:rsidRDefault="00082FC4" w:rsidP="000118DB">
      <w:pPr>
        <w:spacing w:after="0" w:line="360" w:lineRule="auto"/>
        <w:ind w:firstLine="720"/>
        <w:jc w:val="center"/>
        <w:rPr>
          <w:rFonts w:ascii="Times New Roman" w:hAnsi="Times New Roman"/>
        </w:rPr>
      </w:pPr>
      <w:r w:rsidRPr="00E76E82">
        <w:rPr>
          <w:rFonts w:ascii="Times New Roman" w:hAnsi="Times New Roman"/>
          <w:noProof/>
        </w:rPr>
        <w:lastRenderedPageBreak/>
        <w:drawing>
          <wp:inline distT="0" distB="0" distL="0" distR="0" wp14:anchorId="58B80BCD" wp14:editId="27A9AF36">
            <wp:extent cx="3798508" cy="3565362"/>
            <wp:effectExtent l="0" t="0" r="0" b="0"/>
            <wp:docPr id="2075691606" name="Picture 1" descr="A close-up of several images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91606" name="Picture 1" descr="A close-up of several images of a structure&#10;&#10;AI-generated content may be incorrect."/>
                    <pic:cNvPicPr/>
                  </pic:nvPicPr>
                  <pic:blipFill>
                    <a:blip r:embed="rId17"/>
                    <a:stretch>
                      <a:fillRect/>
                    </a:stretch>
                  </pic:blipFill>
                  <pic:spPr>
                    <a:xfrm>
                      <a:off x="0" y="0"/>
                      <a:ext cx="3806927" cy="3573265"/>
                    </a:xfrm>
                    <a:prstGeom prst="rect">
                      <a:avLst/>
                    </a:prstGeom>
                  </pic:spPr>
                </pic:pic>
              </a:graphicData>
            </a:graphic>
          </wp:inline>
        </w:drawing>
      </w:r>
    </w:p>
    <w:p w14:paraId="759EFB41" w14:textId="371D511F" w:rsidR="00082FC4" w:rsidRDefault="00082FC4" w:rsidP="00082FC4">
      <w:pPr>
        <w:spacing w:after="0" w:line="240" w:lineRule="auto"/>
        <w:jc w:val="both"/>
        <w:rPr>
          <w:rFonts w:ascii="Times New Roman" w:hAnsi="Times New Roman"/>
          <w:sz w:val="20"/>
          <w:szCs w:val="20"/>
        </w:rPr>
      </w:pPr>
      <w:r w:rsidRPr="00082FC4">
        <w:rPr>
          <w:rFonts w:ascii="Times New Roman" w:hAnsi="Times New Roman"/>
          <w:sz w:val="20"/>
          <w:szCs w:val="20"/>
        </w:rPr>
        <w:t xml:space="preserve">Figure </w:t>
      </w:r>
      <w:r w:rsidR="003053C5">
        <w:rPr>
          <w:rFonts w:ascii="Times New Roman" w:hAnsi="Times New Roman"/>
          <w:sz w:val="20"/>
          <w:szCs w:val="20"/>
        </w:rPr>
        <w:t>10</w:t>
      </w:r>
      <w:r w:rsidRPr="00082FC4">
        <w:rPr>
          <w:rFonts w:ascii="Times New Roman" w:hAnsi="Times New Roman"/>
          <w:sz w:val="20"/>
          <w:szCs w:val="20"/>
        </w:rPr>
        <w:t xml:space="preserve">. Helium ion microscopy examination of Fibro </w:t>
      </w:r>
      <w:proofErr w:type="spellStart"/>
      <w:r w:rsidRPr="00082FC4">
        <w:rPr>
          <w:rFonts w:ascii="Times New Roman" w:hAnsi="Times New Roman"/>
          <w:sz w:val="20"/>
          <w:szCs w:val="20"/>
        </w:rPr>
        <w:t>PrismA</w:t>
      </w:r>
      <w:proofErr w:type="spellEnd"/>
      <w:r w:rsidRPr="00082FC4">
        <w:rPr>
          <w:rFonts w:ascii="Times New Roman" w:hAnsi="Times New Roman"/>
          <w:sz w:val="20"/>
          <w:szCs w:val="20"/>
        </w:rPr>
        <w:t xml:space="preserve"> before and after 200 cycles. (A, B) Images of unused Fibro </w:t>
      </w:r>
      <w:proofErr w:type="spellStart"/>
      <w:r w:rsidRPr="00082FC4">
        <w:rPr>
          <w:rFonts w:ascii="Times New Roman" w:hAnsi="Times New Roman"/>
          <w:sz w:val="20"/>
          <w:szCs w:val="20"/>
        </w:rPr>
        <w:t>PrismA</w:t>
      </w:r>
      <w:proofErr w:type="spellEnd"/>
      <w:r w:rsidRPr="00082FC4">
        <w:rPr>
          <w:rFonts w:ascii="Times New Roman" w:hAnsi="Times New Roman"/>
          <w:sz w:val="20"/>
          <w:szCs w:val="20"/>
        </w:rPr>
        <w:t xml:space="preserve">. (C, D) Analysis of the outlet region of Fibro </w:t>
      </w:r>
      <w:proofErr w:type="spellStart"/>
      <w:r w:rsidRPr="00082FC4">
        <w:rPr>
          <w:rFonts w:ascii="Times New Roman" w:hAnsi="Times New Roman"/>
          <w:sz w:val="20"/>
          <w:szCs w:val="20"/>
        </w:rPr>
        <w:t>PrismA</w:t>
      </w:r>
      <w:proofErr w:type="spellEnd"/>
      <w:r w:rsidRPr="00082FC4">
        <w:rPr>
          <w:rFonts w:ascii="Times New Roman" w:hAnsi="Times New Roman"/>
          <w:sz w:val="20"/>
          <w:szCs w:val="20"/>
        </w:rPr>
        <w:t xml:space="preserve"> following 200 cycles at two different magnifications. Red circles highlight polymer beads on the fibres, formed during the electrospinning process (Qu et al., 2024).</w:t>
      </w:r>
    </w:p>
    <w:p w14:paraId="4F55769A" w14:textId="77777777" w:rsidR="00082FC4" w:rsidRPr="00082FC4" w:rsidRDefault="00082FC4" w:rsidP="00082FC4">
      <w:pPr>
        <w:spacing w:after="0" w:line="240" w:lineRule="auto"/>
        <w:jc w:val="both"/>
        <w:rPr>
          <w:rFonts w:ascii="Times New Roman" w:hAnsi="Times New Roman"/>
          <w:sz w:val="20"/>
          <w:szCs w:val="20"/>
        </w:rPr>
      </w:pPr>
    </w:p>
    <w:p w14:paraId="6E97B61D" w14:textId="46515A68" w:rsidR="002C2528" w:rsidRPr="00E76E82" w:rsidRDefault="002C2528" w:rsidP="00E76E82">
      <w:pPr>
        <w:spacing w:after="0" w:line="360" w:lineRule="auto"/>
        <w:ind w:firstLine="720"/>
        <w:jc w:val="both"/>
        <w:rPr>
          <w:rFonts w:ascii="Times New Roman" w:hAnsi="Times New Roman"/>
        </w:rPr>
      </w:pPr>
      <w:r w:rsidRPr="00E76E82">
        <w:rPr>
          <w:rFonts w:ascii="Times New Roman" w:hAnsi="Times New Roman"/>
        </w:rPr>
        <w:t xml:space="preserve"> The industrial application of these alternative ligands is being explored in various formats, including their immobilisation on innovative chromatography supports like nanofiber devices</w:t>
      </w:r>
      <w:r w:rsidR="00F04605">
        <w:rPr>
          <w:rFonts w:ascii="Times New Roman" w:hAnsi="Times New Roman"/>
        </w:rPr>
        <w:t>,</w:t>
      </w:r>
      <w:r w:rsidR="004E0ECA">
        <w:rPr>
          <w:rFonts w:ascii="Times New Roman" w:hAnsi="Times New Roman"/>
        </w:rPr>
        <w:t xml:space="preserve"> </w:t>
      </w:r>
      <w:r w:rsidR="005F5A7B">
        <w:rPr>
          <w:rFonts w:ascii="Times New Roman" w:hAnsi="Times New Roman"/>
        </w:rPr>
        <w:t>and</w:t>
      </w:r>
      <w:r w:rsidR="005F5A7B" w:rsidRPr="00E76E82">
        <w:rPr>
          <w:rFonts w:ascii="Times New Roman" w:hAnsi="Times New Roman"/>
        </w:rPr>
        <w:t xml:space="preserve"> magnetic </w:t>
      </w:r>
      <w:r w:rsidR="005F5A7B" w:rsidRPr="00BF2E25">
        <w:rPr>
          <w:rFonts w:ascii="Times New Roman" w:hAnsi="Times New Roman"/>
        </w:rPr>
        <w:t>nanoparticles</w:t>
      </w:r>
      <w:r w:rsidR="00BF2E25" w:rsidRPr="00BF2E25">
        <w:rPr>
          <w:rFonts w:ascii="Times New Roman" w:hAnsi="Times New Roman"/>
        </w:rPr>
        <w:t xml:space="preserve"> (Zimmermann et al., 2024)</w:t>
      </w:r>
      <w:r w:rsidR="005F5A7B" w:rsidRPr="00BF2E25">
        <w:rPr>
          <w:rFonts w:ascii="Times New Roman" w:hAnsi="Times New Roman"/>
        </w:rPr>
        <w:t>,</w:t>
      </w:r>
      <w:r w:rsidR="005F5A7B" w:rsidRPr="00E76E82">
        <w:rPr>
          <w:rFonts w:ascii="Times New Roman" w:hAnsi="Times New Roman"/>
        </w:rPr>
        <w:t xml:space="preserve"> which</w:t>
      </w:r>
      <w:r w:rsidRPr="00E76E82">
        <w:rPr>
          <w:rFonts w:ascii="Times New Roman" w:hAnsi="Times New Roman"/>
        </w:rPr>
        <w:t xml:space="preserve"> are noted to be cheaper and can enable a more rapid process</w:t>
      </w:r>
      <w:r w:rsidR="00791FEB" w:rsidRPr="00E76E82">
        <w:rPr>
          <w:rFonts w:ascii="Times New Roman" w:hAnsi="Times New Roman"/>
        </w:rPr>
        <w:t xml:space="preserve"> (Qu et al., 2024)</w:t>
      </w:r>
      <w:r w:rsidRPr="00E76E82">
        <w:rPr>
          <w:rFonts w:ascii="Times New Roman" w:hAnsi="Times New Roman"/>
        </w:rPr>
        <w:t>,</w:t>
      </w:r>
      <w:r w:rsidR="00D209B2">
        <w:rPr>
          <w:rFonts w:ascii="Times New Roman" w:hAnsi="Times New Roman"/>
        </w:rPr>
        <w:t xml:space="preserve"> (Figures </w:t>
      </w:r>
      <w:r w:rsidR="003053C5">
        <w:rPr>
          <w:rFonts w:ascii="Times New Roman" w:hAnsi="Times New Roman"/>
        </w:rPr>
        <w:t>11</w:t>
      </w:r>
      <w:r w:rsidR="00735920">
        <w:rPr>
          <w:rFonts w:ascii="Times New Roman" w:hAnsi="Times New Roman"/>
        </w:rPr>
        <w:t>, 1</w:t>
      </w:r>
      <w:r w:rsidR="003053C5">
        <w:rPr>
          <w:rFonts w:ascii="Times New Roman" w:hAnsi="Times New Roman"/>
        </w:rPr>
        <w:t>2</w:t>
      </w:r>
      <w:r w:rsidR="00735920">
        <w:rPr>
          <w:rFonts w:ascii="Times New Roman" w:hAnsi="Times New Roman"/>
        </w:rPr>
        <w:t>, 1</w:t>
      </w:r>
      <w:r w:rsidR="003053C5">
        <w:rPr>
          <w:rFonts w:ascii="Times New Roman" w:hAnsi="Times New Roman"/>
        </w:rPr>
        <w:t>3</w:t>
      </w:r>
      <w:r w:rsidR="00735920">
        <w:rPr>
          <w:rFonts w:ascii="Times New Roman" w:hAnsi="Times New Roman"/>
        </w:rPr>
        <w:t>).</w:t>
      </w:r>
      <w:r w:rsidRPr="00E76E82">
        <w:rPr>
          <w:rFonts w:ascii="Times New Roman" w:hAnsi="Times New Roman"/>
        </w:rPr>
        <w:t xml:space="preserve"> </w:t>
      </w:r>
    </w:p>
    <w:p w14:paraId="7C4E4BAF" w14:textId="77777777" w:rsidR="00322924" w:rsidRPr="00E76E82" w:rsidRDefault="00322924" w:rsidP="00E76E82">
      <w:pPr>
        <w:spacing w:after="0" w:line="360" w:lineRule="auto"/>
        <w:ind w:firstLine="720"/>
        <w:jc w:val="both"/>
        <w:rPr>
          <w:rFonts w:ascii="Times New Roman" w:hAnsi="Times New Roman"/>
        </w:rPr>
      </w:pPr>
    </w:p>
    <w:p w14:paraId="2498FFF3" w14:textId="4E6E230F" w:rsidR="00322924" w:rsidRPr="00E76E82" w:rsidRDefault="00053732" w:rsidP="00E76E82">
      <w:pPr>
        <w:spacing w:after="0" w:line="360" w:lineRule="auto"/>
        <w:jc w:val="both"/>
        <w:rPr>
          <w:rFonts w:ascii="Times New Roman" w:hAnsi="Times New Roman"/>
        </w:rPr>
      </w:pPr>
      <w:r w:rsidRPr="00E76E82">
        <w:rPr>
          <w:rFonts w:ascii="Times New Roman" w:hAnsi="Times New Roman"/>
          <w:noProof/>
        </w:rPr>
        <w:drawing>
          <wp:inline distT="0" distB="0" distL="0" distR="0" wp14:anchorId="7243C6FF" wp14:editId="0B551B10">
            <wp:extent cx="5731510" cy="2045970"/>
            <wp:effectExtent l="0" t="0" r="2540" b="0"/>
            <wp:docPr id="1980824594" name="Picture 1" descr="A graph of a cycle and a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4594" name="Picture 1" descr="A graph of a cycle and a cycle&#10;&#10;AI-generated content may be incorrect."/>
                    <pic:cNvPicPr/>
                  </pic:nvPicPr>
                  <pic:blipFill>
                    <a:blip r:embed="rId18"/>
                    <a:stretch>
                      <a:fillRect/>
                    </a:stretch>
                  </pic:blipFill>
                  <pic:spPr>
                    <a:xfrm>
                      <a:off x="0" y="0"/>
                      <a:ext cx="5731510" cy="2045970"/>
                    </a:xfrm>
                    <a:prstGeom prst="rect">
                      <a:avLst/>
                    </a:prstGeom>
                  </pic:spPr>
                </pic:pic>
              </a:graphicData>
            </a:graphic>
          </wp:inline>
        </w:drawing>
      </w:r>
    </w:p>
    <w:p w14:paraId="39368C54" w14:textId="1AA33E27" w:rsidR="00322924" w:rsidRPr="00E76E82" w:rsidRDefault="000118DB" w:rsidP="00C6423A">
      <w:pPr>
        <w:spacing w:after="0" w:line="240" w:lineRule="auto"/>
        <w:jc w:val="both"/>
        <w:rPr>
          <w:rFonts w:ascii="Times New Roman" w:hAnsi="Times New Roman"/>
          <w:sz w:val="20"/>
          <w:szCs w:val="20"/>
        </w:rPr>
      </w:pPr>
      <w:r>
        <w:rPr>
          <w:rFonts w:ascii="Times New Roman" w:hAnsi="Times New Roman"/>
          <w:sz w:val="20"/>
          <w:szCs w:val="20"/>
        </w:rPr>
        <w:t>Figure 1</w:t>
      </w:r>
      <w:r w:rsidR="003053C5">
        <w:rPr>
          <w:rFonts w:ascii="Times New Roman" w:hAnsi="Times New Roman"/>
          <w:sz w:val="20"/>
          <w:szCs w:val="20"/>
        </w:rPr>
        <w:t>1</w:t>
      </w:r>
      <w:r>
        <w:rPr>
          <w:rFonts w:ascii="Times New Roman" w:hAnsi="Times New Roman"/>
          <w:sz w:val="20"/>
          <w:szCs w:val="20"/>
        </w:rPr>
        <w:t xml:space="preserve">. </w:t>
      </w:r>
      <w:r w:rsidR="00322924" w:rsidRPr="00E76E82">
        <w:rPr>
          <w:rFonts w:ascii="Times New Roman" w:hAnsi="Times New Roman"/>
          <w:sz w:val="20"/>
          <w:szCs w:val="20"/>
        </w:rPr>
        <w:t xml:space="preserve">Overlay of 200 cycles of IgG4–3 capture on Fibro </w:t>
      </w:r>
      <w:proofErr w:type="spellStart"/>
      <w:r w:rsidR="00322924" w:rsidRPr="00E76E82">
        <w:rPr>
          <w:rFonts w:ascii="Times New Roman" w:hAnsi="Times New Roman"/>
          <w:sz w:val="20"/>
          <w:szCs w:val="20"/>
        </w:rPr>
        <w:t>PrismA</w:t>
      </w:r>
      <w:proofErr w:type="spellEnd"/>
      <w:r w:rsidR="00322924" w:rsidRPr="00E76E82">
        <w:rPr>
          <w:rFonts w:ascii="Times New Roman" w:hAnsi="Times New Roman"/>
          <w:sz w:val="20"/>
          <w:szCs w:val="20"/>
        </w:rPr>
        <w:t xml:space="preserve"> for: A) Chromatograms; B) Delta pressure drop</w:t>
      </w:r>
      <w:r w:rsidR="00053732" w:rsidRPr="00E76E82">
        <w:rPr>
          <w:rFonts w:ascii="Times New Roman" w:hAnsi="Times New Roman"/>
          <w:sz w:val="20"/>
          <w:szCs w:val="20"/>
        </w:rPr>
        <w:t xml:space="preserve"> (Qu et al., 2024).</w:t>
      </w:r>
    </w:p>
    <w:p w14:paraId="02C28759" w14:textId="6F79F082" w:rsidR="00F167D1" w:rsidRDefault="00F167D1" w:rsidP="00F167D1">
      <w:pPr>
        <w:spacing w:after="0" w:line="240" w:lineRule="auto"/>
        <w:ind w:firstLine="720"/>
        <w:jc w:val="center"/>
        <w:rPr>
          <w:rFonts w:ascii="Times New Roman" w:hAnsi="Times New Roman"/>
          <w:sz w:val="20"/>
          <w:szCs w:val="20"/>
        </w:rPr>
      </w:pPr>
    </w:p>
    <w:p w14:paraId="5022149C" w14:textId="77777777" w:rsidR="00F167D1" w:rsidRDefault="00F167D1" w:rsidP="00F167D1">
      <w:pPr>
        <w:spacing w:after="0" w:line="240" w:lineRule="auto"/>
        <w:ind w:firstLine="720"/>
        <w:jc w:val="center"/>
        <w:rPr>
          <w:rFonts w:ascii="Times New Roman" w:hAnsi="Times New Roman"/>
          <w:sz w:val="20"/>
          <w:szCs w:val="20"/>
        </w:rPr>
      </w:pPr>
    </w:p>
    <w:p w14:paraId="05754FEC" w14:textId="77777777" w:rsidR="00F167D1" w:rsidRPr="00E76E82" w:rsidRDefault="00F167D1" w:rsidP="00F167D1">
      <w:pPr>
        <w:spacing w:after="0" w:line="240" w:lineRule="auto"/>
        <w:ind w:firstLine="720"/>
        <w:jc w:val="both"/>
        <w:rPr>
          <w:rFonts w:ascii="Times New Roman" w:hAnsi="Times New Roman"/>
        </w:rPr>
      </w:pPr>
    </w:p>
    <w:p w14:paraId="53782636" w14:textId="3250EC70" w:rsidR="002D5F11" w:rsidRPr="00E76E82" w:rsidRDefault="00F167D1" w:rsidP="00E76E82">
      <w:pPr>
        <w:spacing w:after="0" w:line="360" w:lineRule="auto"/>
        <w:ind w:firstLine="720"/>
        <w:jc w:val="both"/>
        <w:rPr>
          <w:rFonts w:ascii="Times New Roman" w:hAnsi="Times New Roman"/>
        </w:rPr>
      </w:pPr>
      <w:r w:rsidRPr="00E76E82">
        <w:rPr>
          <w:rFonts w:ascii="Times New Roman" w:hAnsi="Times New Roman"/>
          <w:noProof/>
        </w:rPr>
        <w:lastRenderedPageBreak/>
        <w:drawing>
          <wp:inline distT="0" distB="0" distL="0" distR="0" wp14:anchorId="658B6139" wp14:editId="524AF8FD">
            <wp:extent cx="4290365" cy="3270250"/>
            <wp:effectExtent l="0" t="0" r="0" b="6350"/>
            <wp:docPr id="1338976008" name="Picture 1" descr="A graph of a number of ce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76008" name="Picture 1" descr="A graph of a number of cells&#10;&#10;AI-generated content may b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r="531"/>
                    <a:stretch/>
                  </pic:blipFill>
                  <pic:spPr bwMode="auto">
                    <a:xfrm>
                      <a:off x="0" y="0"/>
                      <a:ext cx="4299227" cy="3277005"/>
                    </a:xfrm>
                    <a:prstGeom prst="rect">
                      <a:avLst/>
                    </a:prstGeom>
                    <a:noFill/>
                    <a:ln>
                      <a:noFill/>
                    </a:ln>
                    <a:extLst>
                      <a:ext uri="{53640926-AAD7-44D8-BBD7-CCE9431645EC}">
                        <a14:shadowObscured xmlns:a14="http://schemas.microsoft.com/office/drawing/2010/main"/>
                      </a:ext>
                    </a:extLst>
                  </pic:spPr>
                </pic:pic>
              </a:graphicData>
            </a:graphic>
          </wp:inline>
        </w:drawing>
      </w:r>
    </w:p>
    <w:p w14:paraId="771453E2" w14:textId="62F432EC" w:rsidR="009040F8" w:rsidRPr="00E76E82" w:rsidRDefault="005F5A7B" w:rsidP="005F5A7B">
      <w:pPr>
        <w:spacing w:after="0" w:line="240" w:lineRule="auto"/>
        <w:jc w:val="both"/>
        <w:rPr>
          <w:rFonts w:ascii="Times New Roman" w:hAnsi="Times New Roman"/>
          <w:sz w:val="20"/>
          <w:szCs w:val="20"/>
        </w:rPr>
      </w:pPr>
      <w:r>
        <w:rPr>
          <w:rFonts w:ascii="Times New Roman" w:hAnsi="Times New Roman"/>
          <w:sz w:val="20"/>
          <w:szCs w:val="20"/>
        </w:rPr>
        <w:t>Figure 1</w:t>
      </w:r>
      <w:r w:rsidR="003053C5">
        <w:rPr>
          <w:rFonts w:ascii="Times New Roman" w:hAnsi="Times New Roman"/>
          <w:sz w:val="20"/>
          <w:szCs w:val="20"/>
        </w:rPr>
        <w:t>2</w:t>
      </w:r>
      <w:r>
        <w:rPr>
          <w:rFonts w:ascii="Times New Roman" w:hAnsi="Times New Roman"/>
          <w:sz w:val="20"/>
          <w:szCs w:val="20"/>
        </w:rPr>
        <w:t xml:space="preserve">. </w:t>
      </w:r>
      <w:r w:rsidR="0095264E" w:rsidRPr="00E76E82">
        <w:rPr>
          <w:rFonts w:ascii="Times New Roman" w:hAnsi="Times New Roman"/>
          <w:sz w:val="20"/>
          <w:szCs w:val="20"/>
        </w:rPr>
        <w:t xml:space="preserve">IgG binding and release from magnetic </w:t>
      </w:r>
      <w:proofErr w:type="spellStart"/>
      <w:r w:rsidR="0095264E" w:rsidRPr="00E76E82">
        <w:rPr>
          <w:rFonts w:ascii="Times New Roman" w:hAnsi="Times New Roman"/>
          <w:sz w:val="20"/>
          <w:szCs w:val="20"/>
        </w:rPr>
        <w:t>nanoparticles@ZCa</w:t>
      </w:r>
      <w:proofErr w:type="spellEnd"/>
      <w:r w:rsidR="0095264E" w:rsidRPr="00E76E82">
        <w:rPr>
          <w:rFonts w:ascii="Times New Roman" w:hAnsi="Times New Roman"/>
          <w:sz w:val="20"/>
          <w:szCs w:val="20"/>
        </w:rPr>
        <w:t xml:space="preserve">. (A) Adsorption isotherms of IgG on the nanoparticles in TBSC buffer (50 mM Tris, 150 mM NaCl, 10 mM </w:t>
      </w:r>
      <w:proofErr w:type="spellStart"/>
      <w:r w:rsidR="0095264E" w:rsidRPr="00E76E82">
        <w:rPr>
          <w:rFonts w:ascii="Times New Roman" w:hAnsi="Times New Roman"/>
          <w:sz w:val="20"/>
          <w:szCs w:val="20"/>
        </w:rPr>
        <w:t>CaCl</w:t>
      </w:r>
      <w:proofErr w:type="spellEnd"/>
      <w:r w:rsidR="0095264E" w:rsidRPr="00E76E82">
        <w:rPr>
          <w:rFonts w:ascii="Times New Roman" w:hAnsi="Times New Roman"/>
          <w:sz w:val="20"/>
          <w:szCs w:val="20"/>
        </w:rPr>
        <w:t xml:space="preserve">₂, pH 7.5). (B) IgG recovery after incubating 110 mg IgG per gram of nanoparticles, followed by washing and elution using 100 mM EDTA (pH 5.5). The amount of bound IgG was determined by comparing the initially loaded and unbound IgG. (C) Reduced SDS-PAGE analysis showing loaded IgG (L) and elution samples collected over three reuse cycles (E1–E3) for the three types of functionalized nanoparticles. The heavy (H; ~50 </w:t>
      </w:r>
      <w:proofErr w:type="spellStart"/>
      <w:r w:rsidR="0095264E" w:rsidRPr="00E76E82">
        <w:rPr>
          <w:rFonts w:ascii="Times New Roman" w:hAnsi="Times New Roman"/>
          <w:sz w:val="20"/>
          <w:szCs w:val="20"/>
        </w:rPr>
        <w:t>kDa</w:t>
      </w:r>
      <w:proofErr w:type="spellEnd"/>
      <w:r w:rsidR="0095264E" w:rsidRPr="00E76E82">
        <w:rPr>
          <w:rFonts w:ascii="Times New Roman" w:hAnsi="Times New Roman"/>
          <w:sz w:val="20"/>
          <w:szCs w:val="20"/>
        </w:rPr>
        <w:t xml:space="preserve">) and light (L; ~25 </w:t>
      </w:r>
      <w:proofErr w:type="spellStart"/>
      <w:r w:rsidR="0095264E" w:rsidRPr="00E76E82">
        <w:rPr>
          <w:rFonts w:ascii="Times New Roman" w:hAnsi="Times New Roman"/>
          <w:sz w:val="20"/>
          <w:szCs w:val="20"/>
        </w:rPr>
        <w:t>kDa</w:t>
      </w:r>
      <w:proofErr w:type="spellEnd"/>
      <w:r w:rsidR="0095264E" w:rsidRPr="00E76E82">
        <w:rPr>
          <w:rFonts w:ascii="Times New Roman" w:hAnsi="Times New Roman"/>
          <w:sz w:val="20"/>
          <w:szCs w:val="20"/>
        </w:rPr>
        <w:t xml:space="preserve">) IgG chains are visible. MNP: magnetic nanoparticle, TEOS: tetraethyl orthosilicate, GPTMS: (3-glycidyloxypropyl) </w:t>
      </w:r>
      <w:proofErr w:type="spellStart"/>
      <w:r w:rsidR="0095264E" w:rsidRPr="00E76E82">
        <w:rPr>
          <w:rFonts w:ascii="Times New Roman" w:hAnsi="Times New Roman"/>
          <w:sz w:val="20"/>
          <w:szCs w:val="20"/>
        </w:rPr>
        <w:t>trimethoxysilane</w:t>
      </w:r>
      <w:proofErr w:type="spellEnd"/>
      <w:r w:rsidR="0095264E" w:rsidRPr="00E76E82">
        <w:rPr>
          <w:rFonts w:ascii="Times New Roman" w:hAnsi="Times New Roman"/>
          <w:sz w:val="20"/>
          <w:szCs w:val="20"/>
        </w:rPr>
        <w:t xml:space="preserve"> (Zimmermann et al., 2024).</w:t>
      </w:r>
    </w:p>
    <w:p w14:paraId="262E4E4E" w14:textId="77777777" w:rsidR="002D5F11" w:rsidRPr="00E76E82" w:rsidRDefault="002D5F11" w:rsidP="00E76E82">
      <w:pPr>
        <w:spacing w:after="0" w:line="360" w:lineRule="auto"/>
        <w:ind w:firstLine="720"/>
        <w:jc w:val="both"/>
        <w:rPr>
          <w:rFonts w:ascii="Times New Roman" w:hAnsi="Times New Roman"/>
        </w:rPr>
      </w:pPr>
    </w:p>
    <w:p w14:paraId="4D325E63" w14:textId="2F430950" w:rsidR="002C2528" w:rsidRPr="00E76E82" w:rsidRDefault="002C2528" w:rsidP="00E76E82">
      <w:pPr>
        <w:spacing w:after="0" w:line="360" w:lineRule="auto"/>
        <w:ind w:firstLine="720"/>
        <w:jc w:val="both"/>
        <w:rPr>
          <w:rFonts w:ascii="Times New Roman" w:hAnsi="Times New Roman"/>
        </w:rPr>
      </w:pPr>
      <w:r w:rsidRPr="00E76E82">
        <w:rPr>
          <w:rFonts w:ascii="Times New Roman" w:hAnsi="Times New Roman"/>
        </w:rPr>
        <w:t>Performance comparisons between these alternative systems and traditional Protein A often evaluate crucial parameters like dynamic binding capacity, elution efficiency, and selectivity</w:t>
      </w:r>
      <w:r w:rsidR="005E53F8" w:rsidRPr="00E76E82">
        <w:rPr>
          <w:rFonts w:ascii="Times New Roman" w:hAnsi="Times New Roman"/>
        </w:rPr>
        <w:t xml:space="preserve"> (Yang and Zhu, 2025)</w:t>
      </w:r>
      <w:r w:rsidRPr="00E76E82">
        <w:rPr>
          <w:rFonts w:ascii="Times New Roman" w:hAnsi="Times New Roman"/>
        </w:rPr>
        <w:t>. Certain alternative ligands, such as calcium-dependent ligands, offer the benefit of elution under milder pH conditions or by manipulating specific buffer components</w:t>
      </w:r>
      <w:r w:rsidR="0020104C" w:rsidRPr="00E76E82">
        <w:rPr>
          <w:rFonts w:ascii="Times New Roman" w:hAnsi="Times New Roman"/>
        </w:rPr>
        <w:t xml:space="preserve"> (Yang and Zhu, 2025)</w:t>
      </w:r>
      <w:r w:rsidRPr="00E76E82">
        <w:rPr>
          <w:rFonts w:ascii="Times New Roman" w:hAnsi="Times New Roman"/>
        </w:rPr>
        <w:t>, potentially leading to enhanced product quality and stability. Moreover, novel separation techniques employing these ligands, for instance, magnetic separation</w:t>
      </w:r>
      <w:r w:rsidR="00BC78DF">
        <w:rPr>
          <w:rFonts w:ascii="Times New Roman" w:hAnsi="Times New Roman"/>
        </w:rPr>
        <w:t xml:space="preserve"> (Figure 12)</w:t>
      </w:r>
      <w:r w:rsidRPr="00E76E82">
        <w:rPr>
          <w:rFonts w:ascii="Times New Roman" w:hAnsi="Times New Roman"/>
        </w:rPr>
        <w:t>, show promise for faster processing times and the potential for direct capture from unclarified cell culture, which could streamline downstream processing workflows</w:t>
      </w:r>
      <w:r w:rsidR="00807108" w:rsidRPr="00E76E82">
        <w:rPr>
          <w:rFonts w:ascii="Times New Roman" w:hAnsi="Times New Roman"/>
        </w:rPr>
        <w:t xml:space="preserve"> (Zimmermann et al., 2024).</w:t>
      </w:r>
    </w:p>
    <w:p w14:paraId="748A269D" w14:textId="330F391F" w:rsidR="0008479C" w:rsidRPr="00E76E82" w:rsidRDefault="002C2528" w:rsidP="00E76E82">
      <w:pPr>
        <w:spacing w:after="0" w:line="360" w:lineRule="auto"/>
        <w:ind w:firstLine="720"/>
        <w:jc w:val="both"/>
        <w:rPr>
          <w:rFonts w:ascii="Times New Roman" w:hAnsi="Times New Roman"/>
        </w:rPr>
      </w:pPr>
      <w:r w:rsidRPr="00E76E82">
        <w:rPr>
          <w:rFonts w:ascii="Times New Roman" w:hAnsi="Times New Roman"/>
        </w:rPr>
        <w:t>From a cost-benefit analysis perspective, the adoption of alternative affinity ligands and their associated technologies requires considering factors beyond just the initial cost of the ligand itself. These include the lifespan and reusability of the separation media, buffer consumption, process duration, and the potential for process intensification and integration</w:t>
      </w:r>
      <w:r w:rsidR="00771645" w:rsidRPr="00E76E82">
        <w:rPr>
          <w:rFonts w:ascii="Times New Roman" w:hAnsi="Times New Roman"/>
        </w:rPr>
        <w:t xml:space="preserve"> (Qu et al., 2024)</w:t>
      </w:r>
      <w:r w:rsidRPr="00E76E82">
        <w:rPr>
          <w:rFonts w:ascii="Times New Roman" w:hAnsi="Times New Roman"/>
        </w:rPr>
        <w:t xml:space="preserve">. Studies indicate that some alternatives, like nanofiber chromatography </w:t>
      </w:r>
      <w:r w:rsidR="00415204">
        <w:rPr>
          <w:rFonts w:ascii="Times New Roman" w:hAnsi="Times New Roman"/>
        </w:rPr>
        <w:t>(</w:t>
      </w:r>
      <w:r w:rsidR="00415204" w:rsidRPr="00415204">
        <w:rPr>
          <w:rFonts w:ascii="Times New Roman" w:hAnsi="Times New Roman"/>
        </w:rPr>
        <w:t xml:space="preserve">Fibro </w:t>
      </w:r>
      <w:proofErr w:type="spellStart"/>
      <w:r w:rsidR="00415204" w:rsidRPr="00415204">
        <w:rPr>
          <w:rFonts w:ascii="Times New Roman" w:hAnsi="Times New Roman"/>
        </w:rPr>
        <w:t>PrismA</w:t>
      </w:r>
      <w:proofErr w:type="spellEnd"/>
      <w:r w:rsidR="00415204">
        <w:rPr>
          <w:rFonts w:ascii="Times New Roman" w:hAnsi="Times New Roman"/>
        </w:rPr>
        <w:t>)</w:t>
      </w:r>
      <w:r w:rsidR="00415204" w:rsidRPr="00415204">
        <w:rPr>
          <w:rFonts w:ascii="Times New Roman" w:hAnsi="Times New Roman"/>
        </w:rPr>
        <w:t xml:space="preserve"> </w:t>
      </w:r>
      <w:r w:rsidRPr="00E76E82">
        <w:rPr>
          <w:rFonts w:ascii="Times New Roman" w:hAnsi="Times New Roman"/>
        </w:rPr>
        <w:t xml:space="preserve">utilising Protein A ligands, can offer considerable cost reductions for antibody capture </w:t>
      </w:r>
      <w:r w:rsidRPr="00E76E82">
        <w:rPr>
          <w:rFonts w:ascii="Times New Roman" w:hAnsi="Times New Roman"/>
        </w:rPr>
        <w:lastRenderedPageBreak/>
        <w:t>compared to traditional resin columns, especially when considering multiple processing cycles</w:t>
      </w:r>
      <w:r w:rsidR="00771645" w:rsidRPr="00E76E82">
        <w:rPr>
          <w:rFonts w:ascii="Times New Roman" w:hAnsi="Times New Roman"/>
        </w:rPr>
        <w:t xml:space="preserve"> (Figure</w:t>
      </w:r>
      <w:r w:rsidR="00DA1CD8">
        <w:rPr>
          <w:rFonts w:ascii="Times New Roman" w:hAnsi="Times New Roman"/>
        </w:rPr>
        <w:t xml:space="preserve"> 1</w:t>
      </w:r>
      <w:r w:rsidR="00304204">
        <w:rPr>
          <w:rFonts w:ascii="Times New Roman" w:hAnsi="Times New Roman"/>
        </w:rPr>
        <w:t>3</w:t>
      </w:r>
      <w:r w:rsidR="00771645" w:rsidRPr="00E76E82">
        <w:rPr>
          <w:rFonts w:ascii="Times New Roman" w:hAnsi="Times New Roman"/>
        </w:rPr>
        <w:t>)</w:t>
      </w:r>
      <w:r w:rsidR="00DA1CD8">
        <w:rPr>
          <w:rFonts w:ascii="Times New Roman" w:hAnsi="Times New Roman"/>
        </w:rPr>
        <w:t>,</w:t>
      </w:r>
      <w:r w:rsidR="00EE183E" w:rsidRPr="00E76E82">
        <w:rPr>
          <w:rFonts w:ascii="Times New Roman" w:hAnsi="Times New Roman"/>
        </w:rPr>
        <w:t xml:space="preserve"> (Qu et al., 2024)</w:t>
      </w:r>
      <w:r w:rsidRPr="00E76E82">
        <w:rPr>
          <w:rFonts w:ascii="Times New Roman" w:hAnsi="Times New Roman"/>
        </w:rPr>
        <w:t>. Similarly, magnetic separation with engineered ligands holds the potential to reduce process steps and costs by potentially eliminating the need for clarification in some cases due to the non-porosity of the magnetic nanoparticles preventing clogging</w:t>
      </w:r>
      <w:r w:rsidR="00F118E7" w:rsidRPr="00E76E82">
        <w:rPr>
          <w:rFonts w:ascii="Times New Roman" w:hAnsi="Times New Roman"/>
        </w:rPr>
        <w:t xml:space="preserve"> (Zimmermann et al., 2024)</w:t>
      </w:r>
      <w:r w:rsidRPr="00E76E82">
        <w:rPr>
          <w:rFonts w:ascii="Times New Roman" w:hAnsi="Times New Roman"/>
        </w:rPr>
        <w:t>. The economic viability of these alternatives, however, often depends on the specific application, scale of operation, and the ability to ensure their robustness and performance over multiple uses.</w:t>
      </w:r>
    </w:p>
    <w:p w14:paraId="7B75C446" w14:textId="5F9B205F" w:rsidR="0031323C" w:rsidRPr="00E76E82" w:rsidRDefault="00A47158" w:rsidP="00E76E82">
      <w:pPr>
        <w:spacing w:after="0" w:line="360" w:lineRule="auto"/>
        <w:jc w:val="both"/>
        <w:rPr>
          <w:rFonts w:ascii="Times New Roman" w:hAnsi="Times New Roman"/>
          <w:b/>
          <w:bCs/>
        </w:rPr>
      </w:pPr>
      <w:r w:rsidRPr="00E76E82">
        <w:rPr>
          <w:rFonts w:ascii="Times New Roman" w:hAnsi="Times New Roman"/>
          <w:b/>
          <w:bCs/>
          <w:noProof/>
        </w:rPr>
        <w:drawing>
          <wp:inline distT="0" distB="0" distL="0" distR="0" wp14:anchorId="5D35CCD4" wp14:editId="387B5954">
            <wp:extent cx="5731510" cy="1760855"/>
            <wp:effectExtent l="0" t="0" r="2540" b="0"/>
            <wp:docPr id="914487244" name="Picture 1" descr="A graph of a manufacturing multiple bat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7244" name="Picture 1" descr="A graph of a manufacturing multiple batch&#10;&#10;AI-generated content may be incorrect."/>
                    <pic:cNvPicPr/>
                  </pic:nvPicPr>
                  <pic:blipFill>
                    <a:blip r:embed="rId20"/>
                    <a:stretch>
                      <a:fillRect/>
                    </a:stretch>
                  </pic:blipFill>
                  <pic:spPr>
                    <a:xfrm>
                      <a:off x="0" y="0"/>
                      <a:ext cx="5731510" cy="1760855"/>
                    </a:xfrm>
                    <a:prstGeom prst="rect">
                      <a:avLst/>
                    </a:prstGeom>
                  </pic:spPr>
                </pic:pic>
              </a:graphicData>
            </a:graphic>
          </wp:inline>
        </w:drawing>
      </w:r>
    </w:p>
    <w:p w14:paraId="0DAE16DC" w14:textId="6DF744BE" w:rsidR="0031323C" w:rsidRPr="00E76E82" w:rsidRDefault="00DA1CD8" w:rsidP="00C6423A">
      <w:pPr>
        <w:spacing w:after="0" w:line="240" w:lineRule="auto"/>
        <w:jc w:val="both"/>
        <w:rPr>
          <w:rFonts w:ascii="Times New Roman" w:hAnsi="Times New Roman"/>
          <w:sz w:val="20"/>
          <w:szCs w:val="20"/>
        </w:rPr>
      </w:pPr>
      <w:r>
        <w:rPr>
          <w:rFonts w:ascii="Times New Roman" w:hAnsi="Times New Roman"/>
          <w:sz w:val="20"/>
          <w:szCs w:val="20"/>
        </w:rPr>
        <w:t>Figure 1</w:t>
      </w:r>
      <w:r w:rsidR="003053C5">
        <w:rPr>
          <w:rFonts w:ascii="Times New Roman" w:hAnsi="Times New Roman"/>
          <w:sz w:val="20"/>
          <w:szCs w:val="20"/>
        </w:rPr>
        <w:t>3</w:t>
      </w:r>
      <w:r>
        <w:rPr>
          <w:rFonts w:ascii="Times New Roman" w:hAnsi="Times New Roman"/>
          <w:sz w:val="20"/>
          <w:szCs w:val="20"/>
        </w:rPr>
        <w:t xml:space="preserve">. </w:t>
      </w:r>
      <w:r w:rsidR="00FD1527" w:rsidRPr="00E76E82">
        <w:rPr>
          <w:rFonts w:ascii="Times New Roman" w:hAnsi="Times New Roman"/>
          <w:sz w:val="20"/>
          <w:szCs w:val="20"/>
        </w:rPr>
        <w:t xml:space="preserve">A cost analysis comparing </w:t>
      </w:r>
      <w:proofErr w:type="spellStart"/>
      <w:r w:rsidR="00FD1527" w:rsidRPr="00E76E82">
        <w:rPr>
          <w:rFonts w:ascii="Times New Roman" w:hAnsi="Times New Roman"/>
          <w:sz w:val="20"/>
          <w:szCs w:val="20"/>
        </w:rPr>
        <w:t>MabSelect</w:t>
      </w:r>
      <w:proofErr w:type="spellEnd"/>
      <w:r w:rsidR="00FD1527" w:rsidRPr="00E76E82">
        <w:rPr>
          <w:rFonts w:ascii="Times New Roman" w:hAnsi="Times New Roman"/>
          <w:sz w:val="20"/>
          <w:szCs w:val="20"/>
        </w:rPr>
        <w:t xml:space="preserve"> </w:t>
      </w:r>
      <w:proofErr w:type="spellStart"/>
      <w:r w:rsidR="00FD1527" w:rsidRPr="00E76E82">
        <w:rPr>
          <w:rFonts w:ascii="Times New Roman" w:hAnsi="Times New Roman"/>
          <w:sz w:val="20"/>
          <w:szCs w:val="20"/>
        </w:rPr>
        <w:t>PrismA</w:t>
      </w:r>
      <w:proofErr w:type="spellEnd"/>
      <w:r w:rsidR="00FD1527" w:rsidRPr="00E76E82">
        <w:rPr>
          <w:rFonts w:ascii="Times New Roman" w:hAnsi="Times New Roman"/>
          <w:sz w:val="20"/>
          <w:szCs w:val="20"/>
        </w:rPr>
        <w:t xml:space="preserve"> and </w:t>
      </w:r>
      <w:bookmarkStart w:id="1" w:name="_Hlk195018830"/>
      <w:r w:rsidR="00FD1527" w:rsidRPr="00E76E82">
        <w:rPr>
          <w:rFonts w:ascii="Times New Roman" w:hAnsi="Times New Roman"/>
          <w:sz w:val="20"/>
          <w:szCs w:val="20"/>
        </w:rPr>
        <w:t xml:space="preserve">Fibro </w:t>
      </w:r>
      <w:proofErr w:type="spellStart"/>
      <w:r w:rsidR="00FD1527" w:rsidRPr="00E76E82">
        <w:rPr>
          <w:rFonts w:ascii="Times New Roman" w:hAnsi="Times New Roman"/>
          <w:sz w:val="20"/>
          <w:szCs w:val="20"/>
        </w:rPr>
        <w:t>PrismA</w:t>
      </w:r>
      <w:proofErr w:type="spellEnd"/>
      <w:r w:rsidR="00FD1527" w:rsidRPr="00E76E82">
        <w:rPr>
          <w:rFonts w:ascii="Times New Roman" w:hAnsi="Times New Roman"/>
          <w:sz w:val="20"/>
          <w:szCs w:val="20"/>
        </w:rPr>
        <w:t xml:space="preserve"> </w:t>
      </w:r>
      <w:bookmarkEnd w:id="1"/>
      <w:r w:rsidR="00FD1527" w:rsidRPr="00E76E82">
        <w:rPr>
          <w:rFonts w:ascii="Times New Roman" w:hAnsi="Times New Roman"/>
          <w:sz w:val="20"/>
          <w:szCs w:val="20"/>
        </w:rPr>
        <w:t>at a 2000 L manufacturing scale. (A) Overall cost comparison for a single batch. (B) Cost per gram of monoclonal antibody (mAb) processed over up to 20 harvests, assuming a new membrane device is replaced after each harvest. (C) Cost per gram of mAb when the membrane device is replaced every four harvests (200 cycles</w:t>
      </w:r>
      <w:r w:rsidR="00FB7DB1" w:rsidRPr="00E76E82">
        <w:rPr>
          <w:rFonts w:ascii="Times New Roman" w:hAnsi="Times New Roman"/>
          <w:sz w:val="20"/>
          <w:szCs w:val="20"/>
        </w:rPr>
        <w:t xml:space="preserve"> (Qu et al., 2024).</w:t>
      </w:r>
    </w:p>
    <w:p w14:paraId="6DD3BF87" w14:textId="77777777" w:rsidR="00BE7DAA" w:rsidRDefault="00BE7DAA" w:rsidP="00E76E82">
      <w:pPr>
        <w:spacing w:after="0" w:line="360" w:lineRule="auto"/>
        <w:jc w:val="both"/>
        <w:rPr>
          <w:rFonts w:ascii="Times New Roman" w:hAnsi="Times New Roman"/>
          <w:b/>
          <w:bCs/>
        </w:rPr>
      </w:pPr>
    </w:p>
    <w:p w14:paraId="7B182D69" w14:textId="77777777" w:rsidR="00FE3FCE" w:rsidRPr="00E76E82" w:rsidRDefault="00FE3FCE" w:rsidP="00E76E82">
      <w:pPr>
        <w:spacing w:after="0" w:line="360" w:lineRule="auto"/>
        <w:jc w:val="both"/>
        <w:rPr>
          <w:rFonts w:ascii="Times New Roman" w:hAnsi="Times New Roman"/>
          <w:b/>
          <w:bCs/>
        </w:rPr>
      </w:pPr>
    </w:p>
    <w:p w14:paraId="75AD22F1" w14:textId="5E932C9E" w:rsidR="00BE7DAA" w:rsidRPr="00E76E82" w:rsidRDefault="00BE7DAA" w:rsidP="00E76E82">
      <w:pPr>
        <w:spacing w:after="0" w:line="360" w:lineRule="auto"/>
        <w:jc w:val="both"/>
        <w:rPr>
          <w:rFonts w:ascii="Times New Roman" w:hAnsi="Times New Roman"/>
          <w:b/>
          <w:bCs/>
        </w:rPr>
      </w:pPr>
      <w:r w:rsidRPr="00E76E82">
        <w:rPr>
          <w:rFonts w:ascii="Times New Roman" w:hAnsi="Times New Roman"/>
          <w:b/>
          <w:bCs/>
        </w:rPr>
        <w:t>4.c. Continuous and Automated Affinity Chromatography in DSP</w:t>
      </w:r>
    </w:p>
    <w:p w14:paraId="4D692BBB" w14:textId="491B04CF" w:rsidR="00663FF8" w:rsidRDefault="00BE7DAA" w:rsidP="00663FF8">
      <w:pPr>
        <w:spacing w:after="0" w:line="360" w:lineRule="auto"/>
        <w:ind w:firstLine="720"/>
        <w:jc w:val="both"/>
        <w:rPr>
          <w:rFonts w:ascii="Times New Roman" w:hAnsi="Times New Roman"/>
        </w:rPr>
      </w:pPr>
      <w:r w:rsidRPr="00E76E82">
        <w:rPr>
          <w:rFonts w:ascii="Times New Roman" w:hAnsi="Times New Roman"/>
        </w:rPr>
        <w:t xml:space="preserve">The landscape of downstream processing in biopharmaceutical manufacturing is increasingly witnessing a paradigm shift towards continuous and automated affinity </w:t>
      </w:r>
      <w:r w:rsidR="00CB0BF7" w:rsidRPr="00E76E82">
        <w:rPr>
          <w:rFonts w:ascii="Times New Roman" w:hAnsi="Times New Roman"/>
        </w:rPr>
        <w:t xml:space="preserve">chromatography in downstream processing (DSP). The shift </w:t>
      </w:r>
      <w:r w:rsidR="00357D81" w:rsidRPr="00E76E82">
        <w:rPr>
          <w:rFonts w:ascii="Times New Roman" w:hAnsi="Times New Roman"/>
        </w:rPr>
        <w:t xml:space="preserve">is </w:t>
      </w:r>
      <w:r w:rsidR="00CB0BF7" w:rsidRPr="00E76E82">
        <w:rPr>
          <w:rFonts w:ascii="Times New Roman" w:hAnsi="Times New Roman"/>
        </w:rPr>
        <w:t>driven by the need for enhanced efficiency and product quality</w:t>
      </w:r>
      <w:r w:rsidR="001756B9" w:rsidRPr="00E76E82">
        <w:rPr>
          <w:rFonts w:ascii="Times New Roman" w:hAnsi="Times New Roman"/>
        </w:rPr>
        <w:t xml:space="preserve"> (Tallvod et al., 2023)</w:t>
      </w:r>
      <w:r w:rsidR="00CB0BF7" w:rsidRPr="00E76E82">
        <w:rPr>
          <w:rFonts w:ascii="Times New Roman" w:hAnsi="Times New Roman"/>
        </w:rPr>
        <w:t>. Emerging trends in continuous bioprocessing are evident in the exploration of modalities such as periodic counter-current chromatography (PCC</w:t>
      </w:r>
      <w:r w:rsidR="00CB0BF7" w:rsidRPr="00E76E82">
        <w:rPr>
          <w:rFonts w:ascii="Times New Roman" w:hAnsi="Times New Roman"/>
          <w:b/>
          <w:bCs/>
        </w:rPr>
        <w:t>)</w:t>
      </w:r>
      <w:r w:rsidR="008D3940" w:rsidRPr="00E76E82">
        <w:rPr>
          <w:rFonts w:ascii="Times New Roman" w:hAnsi="Times New Roman"/>
          <w:b/>
          <w:bCs/>
        </w:rPr>
        <w:t xml:space="preserve"> </w:t>
      </w:r>
      <w:r w:rsidR="008D3940" w:rsidRPr="00E76E82">
        <w:rPr>
          <w:rFonts w:ascii="Times New Roman" w:hAnsi="Times New Roman"/>
        </w:rPr>
        <w:t>(Figure</w:t>
      </w:r>
      <w:r w:rsidR="00EE72F4">
        <w:rPr>
          <w:rFonts w:ascii="Times New Roman" w:hAnsi="Times New Roman"/>
        </w:rPr>
        <w:t xml:space="preserve"> 1</w:t>
      </w:r>
      <w:r w:rsidR="003053C5">
        <w:rPr>
          <w:rFonts w:ascii="Times New Roman" w:hAnsi="Times New Roman"/>
        </w:rPr>
        <w:t>4</w:t>
      </w:r>
      <w:r w:rsidR="008D3940" w:rsidRPr="00E76E82">
        <w:rPr>
          <w:rFonts w:ascii="Times New Roman" w:hAnsi="Times New Roman"/>
        </w:rPr>
        <w:t>)</w:t>
      </w:r>
      <w:r w:rsidR="00D178AF">
        <w:rPr>
          <w:rFonts w:ascii="Times New Roman" w:hAnsi="Times New Roman"/>
        </w:rPr>
        <w:t xml:space="preserve">. </w:t>
      </w:r>
      <w:r w:rsidR="00663FF8" w:rsidRPr="007A4DBF">
        <w:rPr>
          <w:rFonts w:ascii="Times New Roman" w:hAnsi="Times New Roman"/>
        </w:rPr>
        <w:t>PCC have been developed to support continuous affinity capture, improving resin utilisation and throughput</w:t>
      </w:r>
      <w:r w:rsidR="00D178AF">
        <w:rPr>
          <w:rFonts w:ascii="Times New Roman" w:hAnsi="Times New Roman"/>
        </w:rPr>
        <w:t xml:space="preserve"> </w:t>
      </w:r>
      <w:r w:rsidR="00D178AF" w:rsidRPr="00E76E82">
        <w:rPr>
          <w:rFonts w:ascii="Times New Roman" w:hAnsi="Times New Roman"/>
        </w:rPr>
        <w:t>(Narges et al., 2022)</w:t>
      </w:r>
      <w:r w:rsidR="00663FF8" w:rsidRPr="007A4DBF">
        <w:rPr>
          <w:rFonts w:ascii="Times New Roman" w:hAnsi="Times New Roman"/>
        </w:rPr>
        <w:t>. High-throughput process development (HTPD) methods using miniature columns and automated screening enable rapid condition optimisation (Fernandes et al., 2024).</w:t>
      </w:r>
    </w:p>
    <w:p w14:paraId="7C5161A2" w14:textId="77777777" w:rsidR="0045210A" w:rsidRPr="00E76E82" w:rsidRDefault="0045210A" w:rsidP="0045210A">
      <w:pPr>
        <w:spacing w:after="0" w:line="360" w:lineRule="auto"/>
        <w:ind w:firstLine="720"/>
        <w:jc w:val="both"/>
        <w:rPr>
          <w:rFonts w:ascii="Times New Roman" w:hAnsi="Times New Roman"/>
        </w:rPr>
      </w:pPr>
      <w:r w:rsidRPr="00E76E82">
        <w:rPr>
          <w:rFonts w:ascii="Times New Roman" w:hAnsi="Times New Roman"/>
        </w:rPr>
        <w:t>Automation plays a crucial role in achieving continuous operation, with the development of automated sample preparation and analysis platforms capable of directly sampling continuous downstream processes. These automated systems can facilitate on-demand analyses and improve process monitoring (Tallvod et al., 2023).</w:t>
      </w:r>
    </w:p>
    <w:p w14:paraId="3F495BBE" w14:textId="77777777" w:rsidR="0045210A" w:rsidRPr="00E76E82" w:rsidRDefault="0045210A" w:rsidP="00663FF8">
      <w:pPr>
        <w:spacing w:after="0" w:line="360" w:lineRule="auto"/>
        <w:ind w:firstLine="720"/>
        <w:jc w:val="both"/>
        <w:rPr>
          <w:rFonts w:ascii="Times New Roman" w:hAnsi="Times New Roman"/>
        </w:rPr>
      </w:pPr>
    </w:p>
    <w:p w14:paraId="1FA5B43F" w14:textId="2A040866" w:rsidR="00C20BF8" w:rsidRPr="00E76E82" w:rsidRDefault="00C20BF8" w:rsidP="00F508DC">
      <w:pPr>
        <w:spacing w:after="0" w:line="360" w:lineRule="auto"/>
        <w:jc w:val="center"/>
        <w:rPr>
          <w:rFonts w:ascii="Times New Roman" w:hAnsi="Times New Roman"/>
        </w:rPr>
      </w:pPr>
      <w:r w:rsidRPr="00E76E82">
        <w:rPr>
          <w:rFonts w:ascii="Times New Roman" w:hAnsi="Times New Roman"/>
          <w:noProof/>
        </w:rPr>
        <w:lastRenderedPageBreak/>
        <w:drawing>
          <wp:inline distT="0" distB="0" distL="0" distR="0" wp14:anchorId="77C307BE" wp14:editId="22BAD98B">
            <wp:extent cx="4340386" cy="2634027"/>
            <wp:effectExtent l="0" t="0" r="3175" b="0"/>
            <wp:docPr id="1399684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428" name="Picture 1" descr="A diagram of a diagram&#10;&#10;AI-generated content may be incorrect."/>
                    <pic:cNvPicPr/>
                  </pic:nvPicPr>
                  <pic:blipFill rotWithShape="1">
                    <a:blip r:embed="rId21"/>
                    <a:srcRect t="424" r="198" b="181"/>
                    <a:stretch/>
                  </pic:blipFill>
                  <pic:spPr bwMode="auto">
                    <a:xfrm>
                      <a:off x="0" y="0"/>
                      <a:ext cx="4350119" cy="2639934"/>
                    </a:xfrm>
                    <a:prstGeom prst="rect">
                      <a:avLst/>
                    </a:prstGeom>
                    <a:ln>
                      <a:noFill/>
                    </a:ln>
                    <a:extLst>
                      <a:ext uri="{53640926-AAD7-44D8-BBD7-CCE9431645EC}">
                        <a14:shadowObscured xmlns:a14="http://schemas.microsoft.com/office/drawing/2010/main"/>
                      </a:ext>
                    </a:extLst>
                  </pic:spPr>
                </pic:pic>
              </a:graphicData>
            </a:graphic>
          </wp:inline>
        </w:drawing>
      </w:r>
    </w:p>
    <w:p w14:paraId="0F0FAFDA" w14:textId="3F1EF6B8" w:rsidR="003878D5" w:rsidRDefault="00EE72F4" w:rsidP="00DA1CD8">
      <w:pPr>
        <w:spacing w:after="0" w:line="240" w:lineRule="auto"/>
        <w:jc w:val="both"/>
        <w:rPr>
          <w:rFonts w:ascii="Times New Roman" w:hAnsi="Times New Roman"/>
          <w:sz w:val="20"/>
          <w:szCs w:val="20"/>
        </w:rPr>
      </w:pPr>
      <w:r>
        <w:rPr>
          <w:rFonts w:ascii="Times New Roman" w:hAnsi="Times New Roman"/>
          <w:sz w:val="20"/>
          <w:szCs w:val="20"/>
        </w:rPr>
        <w:t>Figure 1</w:t>
      </w:r>
      <w:r w:rsidR="003053C5">
        <w:rPr>
          <w:rFonts w:ascii="Times New Roman" w:hAnsi="Times New Roman"/>
          <w:sz w:val="20"/>
          <w:szCs w:val="20"/>
        </w:rPr>
        <w:t>4</w:t>
      </w:r>
      <w:r>
        <w:rPr>
          <w:rFonts w:ascii="Times New Roman" w:hAnsi="Times New Roman"/>
          <w:sz w:val="20"/>
          <w:szCs w:val="20"/>
        </w:rPr>
        <w:t xml:space="preserve">. </w:t>
      </w:r>
      <w:r w:rsidR="00F26B82" w:rsidRPr="00E76E82">
        <w:rPr>
          <w:rFonts w:ascii="Times New Roman" w:hAnsi="Times New Roman"/>
          <w:sz w:val="20"/>
          <w:szCs w:val="20"/>
        </w:rPr>
        <w:t>Schematic diagram of a</w:t>
      </w:r>
      <w:r w:rsidR="00933A93" w:rsidRPr="00E76E82">
        <w:rPr>
          <w:rFonts w:ascii="Times New Roman" w:hAnsi="Times New Roman"/>
          <w:sz w:val="20"/>
          <w:szCs w:val="20"/>
        </w:rPr>
        <w:t xml:space="preserve"> periodic counter-current chromatography (PCC)</w:t>
      </w:r>
      <w:r w:rsidR="00F26B82" w:rsidRPr="00E76E82">
        <w:rPr>
          <w:rFonts w:ascii="Times New Roman" w:hAnsi="Times New Roman"/>
          <w:sz w:val="20"/>
          <w:szCs w:val="20"/>
        </w:rPr>
        <w:t>.</w:t>
      </w:r>
      <w:r w:rsidR="00933A93" w:rsidRPr="00E76E82">
        <w:rPr>
          <w:rFonts w:ascii="Times New Roman" w:hAnsi="Times New Roman"/>
          <w:sz w:val="20"/>
          <w:szCs w:val="20"/>
        </w:rPr>
        <w:t xml:space="preserve"> </w:t>
      </w:r>
      <w:r w:rsidR="00F26B82" w:rsidRPr="00E76E82">
        <w:rPr>
          <w:rFonts w:ascii="Times New Roman" w:hAnsi="Times New Roman"/>
          <w:sz w:val="20"/>
          <w:szCs w:val="20"/>
        </w:rPr>
        <w:t>C</w:t>
      </w:r>
      <w:r w:rsidR="00933A93" w:rsidRPr="00E76E82">
        <w:rPr>
          <w:rFonts w:ascii="Times New Roman" w:hAnsi="Times New Roman"/>
          <w:sz w:val="20"/>
          <w:szCs w:val="20"/>
        </w:rPr>
        <w:t>ycle comprises six distinct steps. The primary loading phases occur in steps 2, 4, and 6, where two columns are actively loaded while a third undergoes elution and regeneration. During these phases, the inlet directs the sample into one column, and any breakthrough from that column is transferred to the next, enhancing resin utilization. A UV detector positioned between the two active columns monitors the breakthrough curve. Steps 1, 3, and 5 serve as intermediate wash phases, ensuring that the wash buffer flows through the fully loaded column and carries any residual product to a fresh column, minimizing product loss. The duration of these wash steps corresponds to the wash phase immediately following the loading phase</w:t>
      </w:r>
      <w:r w:rsidR="008D3940" w:rsidRPr="00E76E82">
        <w:rPr>
          <w:rFonts w:ascii="Times New Roman" w:hAnsi="Times New Roman"/>
          <w:sz w:val="20"/>
          <w:szCs w:val="20"/>
        </w:rPr>
        <w:t xml:space="preserve"> (Narges et al., 2022).</w:t>
      </w:r>
    </w:p>
    <w:p w14:paraId="6BE1F3AB" w14:textId="03E16217" w:rsidR="00CB0BF7" w:rsidRPr="00E76E82" w:rsidRDefault="00CB0BF7" w:rsidP="00E76E82">
      <w:pPr>
        <w:spacing w:after="0" w:line="360" w:lineRule="auto"/>
        <w:jc w:val="both"/>
        <w:rPr>
          <w:rFonts w:ascii="Times New Roman" w:hAnsi="Times New Roman"/>
        </w:rPr>
      </w:pPr>
    </w:p>
    <w:p w14:paraId="5EB2505A" w14:textId="05A30652" w:rsidR="00BD2AD9" w:rsidRPr="00E76E82" w:rsidRDefault="00CB0BF7" w:rsidP="0045210A">
      <w:pPr>
        <w:spacing w:after="0" w:line="360" w:lineRule="auto"/>
        <w:jc w:val="both"/>
        <w:rPr>
          <w:rFonts w:ascii="Times New Roman" w:hAnsi="Times New Roman"/>
        </w:rPr>
      </w:pPr>
      <w:r w:rsidRPr="00E76E82">
        <w:rPr>
          <w:rFonts w:ascii="Times New Roman" w:hAnsi="Times New Roman"/>
        </w:rPr>
        <w:t>The adoption of continuous and automated affinity chromatography has a significant impact on process economics and scalability. By reducing manual interventions and streamlining workflows, these approaches can lead to increased throughput and potentially lower costs</w:t>
      </w:r>
      <w:r w:rsidR="00DE5AEB" w:rsidRPr="00E76E82">
        <w:rPr>
          <w:rFonts w:ascii="Times New Roman" w:hAnsi="Times New Roman"/>
        </w:rPr>
        <w:t xml:space="preserve"> (Florea et al., 2023)</w:t>
      </w:r>
      <w:r w:rsidRPr="00E76E82">
        <w:rPr>
          <w:rFonts w:ascii="Times New Roman" w:hAnsi="Times New Roman"/>
        </w:rPr>
        <w:t>. For instance, the reuse of affinity resins like AAVX</w:t>
      </w:r>
      <w:r w:rsidR="00857A87" w:rsidRPr="00E76E82">
        <w:rPr>
          <w:rFonts w:ascii="Times New Roman" w:hAnsi="Times New Roman"/>
        </w:rPr>
        <w:t xml:space="preserve"> (Figure</w:t>
      </w:r>
      <w:r w:rsidR="00EE72F4">
        <w:rPr>
          <w:rFonts w:ascii="Times New Roman" w:hAnsi="Times New Roman"/>
        </w:rPr>
        <w:t xml:space="preserve"> 1</w:t>
      </w:r>
      <w:r w:rsidR="000E5F4F">
        <w:rPr>
          <w:rFonts w:ascii="Times New Roman" w:hAnsi="Times New Roman"/>
        </w:rPr>
        <w:t>5</w:t>
      </w:r>
      <w:r w:rsidR="00857A87" w:rsidRPr="00E76E82">
        <w:rPr>
          <w:rFonts w:ascii="Times New Roman" w:hAnsi="Times New Roman"/>
        </w:rPr>
        <w:t>)</w:t>
      </w:r>
      <w:r w:rsidR="00EE72F4">
        <w:rPr>
          <w:rFonts w:ascii="Times New Roman" w:hAnsi="Times New Roman"/>
        </w:rPr>
        <w:t>,</w:t>
      </w:r>
      <w:r w:rsidRPr="00E76E82">
        <w:rPr>
          <w:rFonts w:ascii="Times New Roman" w:hAnsi="Times New Roman"/>
        </w:rPr>
        <w:t xml:space="preserve"> for multiple purification cycles without significant loss of efficiency or carry-over contamination demonstrates the potential for cost reduction</w:t>
      </w:r>
      <w:r w:rsidR="003523F0" w:rsidRPr="00E76E82">
        <w:rPr>
          <w:rFonts w:ascii="Times New Roman" w:hAnsi="Times New Roman"/>
        </w:rPr>
        <w:t xml:space="preserve"> (Florea et al., 2023)</w:t>
      </w:r>
      <w:r w:rsidRPr="00E76E82">
        <w:rPr>
          <w:rFonts w:ascii="Times New Roman" w:hAnsi="Times New Roman"/>
        </w:rPr>
        <w:t>.</w:t>
      </w:r>
    </w:p>
    <w:p w14:paraId="0F9AD880" w14:textId="2C3BBD9C" w:rsidR="00BD2AD9" w:rsidRPr="00E76E82" w:rsidRDefault="00BC2F9F" w:rsidP="00F508DC">
      <w:pPr>
        <w:spacing w:after="0" w:line="360" w:lineRule="auto"/>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0AE5E05E" wp14:editId="75A04C77">
                <wp:simplePos x="0" y="0"/>
                <wp:positionH relativeFrom="column">
                  <wp:posOffset>736600</wp:posOffset>
                </wp:positionH>
                <wp:positionV relativeFrom="paragraph">
                  <wp:posOffset>69850</wp:posOffset>
                </wp:positionV>
                <wp:extent cx="165100" cy="146050"/>
                <wp:effectExtent l="0" t="0" r="6350" b="6350"/>
                <wp:wrapNone/>
                <wp:docPr id="1120159979" name="Oval 2"/>
                <wp:cNvGraphicFramePr/>
                <a:graphic xmlns:a="http://schemas.openxmlformats.org/drawingml/2006/main">
                  <a:graphicData uri="http://schemas.microsoft.com/office/word/2010/wordprocessingShape">
                    <wps:wsp>
                      <wps:cNvSpPr/>
                      <wps:spPr>
                        <a:xfrm>
                          <a:off x="0" y="0"/>
                          <a:ext cx="165100" cy="14605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914841" id="Oval 2" o:spid="_x0000_s1026" style="position:absolute;margin-left:58pt;margin-top:5.5pt;width:13pt;height:1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" fillcolor="white [3212]" stroked="f" strokeweight="1pt">
                <v:stroke joinstyle="miter"/>
              </v:oval>
            </w:pict>
          </mc:Fallback>
        </mc:AlternateContent>
      </w:r>
      <w:r w:rsidR="00C633B2" w:rsidRPr="00E76E82">
        <w:rPr>
          <w:rFonts w:ascii="Times New Roman" w:hAnsi="Times New Roman"/>
          <w:noProof/>
        </w:rPr>
        <w:drawing>
          <wp:inline distT="0" distB="0" distL="0" distR="0" wp14:anchorId="5E2490E4" wp14:editId="206F2C44">
            <wp:extent cx="4441797" cy="2128874"/>
            <wp:effectExtent l="0" t="0" r="0" b="5080"/>
            <wp:docPr id="126576390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3903" name="Picture 1" descr="A graph of different colored bars&#10;&#10;AI-generated content may be incorrect."/>
                    <pic:cNvPicPr/>
                  </pic:nvPicPr>
                  <pic:blipFill>
                    <a:blip r:embed="rId22"/>
                    <a:stretch>
                      <a:fillRect/>
                    </a:stretch>
                  </pic:blipFill>
                  <pic:spPr>
                    <a:xfrm>
                      <a:off x="0" y="0"/>
                      <a:ext cx="4441797" cy="2128874"/>
                    </a:xfrm>
                    <a:prstGeom prst="rect">
                      <a:avLst/>
                    </a:prstGeom>
                  </pic:spPr>
                </pic:pic>
              </a:graphicData>
            </a:graphic>
          </wp:inline>
        </w:drawing>
      </w:r>
    </w:p>
    <w:p w14:paraId="31609ECC" w14:textId="2612AFAF" w:rsidR="005E31EA" w:rsidRPr="00E76E82" w:rsidRDefault="00EE72F4" w:rsidP="00C6423A">
      <w:pPr>
        <w:spacing w:after="0" w:line="240" w:lineRule="auto"/>
        <w:jc w:val="both"/>
        <w:rPr>
          <w:rFonts w:ascii="Times New Roman" w:hAnsi="Times New Roman"/>
          <w:sz w:val="20"/>
          <w:szCs w:val="20"/>
        </w:rPr>
      </w:pPr>
      <w:r>
        <w:rPr>
          <w:rFonts w:ascii="Times New Roman" w:hAnsi="Times New Roman"/>
          <w:sz w:val="20"/>
          <w:szCs w:val="20"/>
        </w:rPr>
        <w:t>Figure 1</w:t>
      </w:r>
      <w:r w:rsidR="000E5F4F">
        <w:rPr>
          <w:rFonts w:ascii="Times New Roman" w:hAnsi="Times New Roman"/>
          <w:sz w:val="20"/>
          <w:szCs w:val="20"/>
        </w:rPr>
        <w:t>5</w:t>
      </w:r>
      <w:r>
        <w:rPr>
          <w:rFonts w:ascii="Times New Roman" w:hAnsi="Times New Roman"/>
          <w:sz w:val="20"/>
          <w:szCs w:val="20"/>
        </w:rPr>
        <w:t xml:space="preserve">. </w:t>
      </w:r>
      <w:r w:rsidR="005E31EA" w:rsidRPr="00E76E82">
        <w:rPr>
          <w:rFonts w:ascii="Times New Roman" w:hAnsi="Times New Roman"/>
          <w:sz w:val="20"/>
          <w:szCs w:val="20"/>
        </w:rPr>
        <w:t>Purification efficiency with repeated AAVX resin use. Vector genomes in lysate, flow-through, and elution</w:t>
      </w:r>
      <w:r w:rsidR="00857A87" w:rsidRPr="00E76E82">
        <w:rPr>
          <w:rFonts w:ascii="Times New Roman" w:hAnsi="Times New Roman"/>
          <w:sz w:val="20"/>
          <w:szCs w:val="20"/>
        </w:rPr>
        <w:t xml:space="preserve"> (Florea et al., 2023).</w:t>
      </w:r>
    </w:p>
    <w:p w14:paraId="564DE620" w14:textId="25410A51" w:rsidR="00CB0BF7" w:rsidRPr="00E76E82" w:rsidRDefault="00CB0BF7" w:rsidP="00E76E82">
      <w:pPr>
        <w:spacing w:after="0" w:line="360" w:lineRule="auto"/>
        <w:ind w:firstLine="720"/>
        <w:jc w:val="both"/>
        <w:rPr>
          <w:rFonts w:ascii="Times New Roman" w:hAnsi="Times New Roman"/>
        </w:rPr>
      </w:pPr>
      <w:r w:rsidRPr="00E76E82">
        <w:rPr>
          <w:rFonts w:ascii="Times New Roman" w:hAnsi="Times New Roman"/>
        </w:rPr>
        <w:t xml:space="preserve"> </w:t>
      </w:r>
    </w:p>
    <w:p w14:paraId="03DA960D" w14:textId="6D99452E" w:rsidR="00FA4C68" w:rsidRDefault="00CB0BF7" w:rsidP="00E76E82">
      <w:pPr>
        <w:spacing w:after="0" w:line="360" w:lineRule="auto"/>
        <w:ind w:firstLine="720"/>
        <w:jc w:val="both"/>
        <w:rPr>
          <w:rFonts w:ascii="Times New Roman" w:hAnsi="Times New Roman"/>
        </w:rPr>
      </w:pPr>
      <w:r w:rsidRPr="00E76E82">
        <w:rPr>
          <w:rFonts w:ascii="Times New Roman" w:hAnsi="Times New Roman"/>
        </w:rPr>
        <w:lastRenderedPageBreak/>
        <w:t>Industrial adoption is reflected in the development of versatile automated two-step purification systems for generating preclinical material</w:t>
      </w:r>
      <w:r w:rsidR="00F6137B" w:rsidRPr="00E76E82">
        <w:rPr>
          <w:rFonts w:ascii="Times New Roman" w:hAnsi="Times New Roman"/>
        </w:rPr>
        <w:t xml:space="preserve"> (Ransdell et al., 2023)</w:t>
      </w:r>
      <w:r w:rsidRPr="00E76E82">
        <w:rPr>
          <w:rFonts w:ascii="Times New Roman" w:hAnsi="Times New Roman"/>
        </w:rPr>
        <w:t>. The desire for increased diversity and throughput in early drug discovery has driven the deployment of such high-throughput systems leveraging affinity tags</w:t>
      </w:r>
      <w:r w:rsidR="003C7726" w:rsidRPr="00E76E82">
        <w:rPr>
          <w:rFonts w:ascii="Times New Roman" w:hAnsi="Times New Roman"/>
        </w:rPr>
        <w:t xml:space="preserve"> </w:t>
      </w:r>
      <w:r w:rsidR="00B81C50" w:rsidRPr="00E76E82">
        <w:rPr>
          <w:rFonts w:ascii="Times New Roman" w:hAnsi="Times New Roman"/>
        </w:rPr>
        <w:t xml:space="preserve">(Ransdell et al., 2023). </w:t>
      </w:r>
      <w:r w:rsidRPr="00E76E82">
        <w:rPr>
          <w:rFonts w:ascii="Times New Roman" w:hAnsi="Times New Roman"/>
        </w:rPr>
        <w:t xml:space="preserve"> Moreover, the implementation of in-line </w:t>
      </w:r>
      <w:r w:rsidR="00BB15C3" w:rsidRPr="00E76E82">
        <w:rPr>
          <w:rFonts w:ascii="Times New Roman" w:hAnsi="Times New Roman"/>
        </w:rPr>
        <w:t>fibre</w:t>
      </w:r>
      <w:r w:rsidRPr="00E76E82">
        <w:rPr>
          <w:rFonts w:ascii="Times New Roman" w:hAnsi="Times New Roman"/>
        </w:rPr>
        <w:t xml:space="preserve"> optical sensors for real-time detection of critical quality attributes like IgG aggregates</w:t>
      </w:r>
      <w:r w:rsidR="0066686B" w:rsidRPr="00E76E82">
        <w:rPr>
          <w:rFonts w:ascii="Times New Roman" w:hAnsi="Times New Roman"/>
        </w:rPr>
        <w:t xml:space="preserve"> (Figure</w:t>
      </w:r>
      <w:r w:rsidR="00CC0E6F">
        <w:rPr>
          <w:rFonts w:ascii="Times New Roman" w:hAnsi="Times New Roman"/>
        </w:rPr>
        <w:t xml:space="preserve"> 1</w:t>
      </w:r>
      <w:r w:rsidR="000E5F4F">
        <w:rPr>
          <w:rFonts w:ascii="Times New Roman" w:hAnsi="Times New Roman"/>
        </w:rPr>
        <w:t>6</w:t>
      </w:r>
      <w:r w:rsidR="0066686B" w:rsidRPr="00E76E82">
        <w:rPr>
          <w:rFonts w:ascii="Times New Roman" w:hAnsi="Times New Roman"/>
        </w:rPr>
        <w:t>),</w:t>
      </w:r>
      <w:r w:rsidRPr="00E76E82">
        <w:rPr>
          <w:rFonts w:ascii="Times New Roman" w:hAnsi="Times New Roman"/>
        </w:rPr>
        <w:t xml:space="preserve"> signifies a move towards enhanced process control in continuous biomanufacturing</w:t>
      </w:r>
      <w:r w:rsidR="002F2C6B" w:rsidRPr="00E76E82">
        <w:rPr>
          <w:rFonts w:ascii="Times New Roman" w:hAnsi="Times New Roman"/>
        </w:rPr>
        <w:t xml:space="preserve"> (Tran et al., 2024)</w:t>
      </w:r>
      <w:r w:rsidRPr="00E76E82">
        <w:rPr>
          <w:rFonts w:ascii="Times New Roman" w:hAnsi="Times New Roman"/>
        </w:rPr>
        <w:t>.</w:t>
      </w:r>
    </w:p>
    <w:p w14:paraId="07489351" w14:textId="77777777" w:rsidR="00C6423A" w:rsidRPr="00E76E82" w:rsidRDefault="00C6423A" w:rsidP="00E76E82">
      <w:pPr>
        <w:spacing w:after="0" w:line="360" w:lineRule="auto"/>
        <w:ind w:firstLine="720"/>
        <w:jc w:val="both"/>
        <w:rPr>
          <w:rFonts w:ascii="Times New Roman" w:hAnsi="Times New Roman"/>
        </w:rPr>
      </w:pPr>
    </w:p>
    <w:p w14:paraId="6AB0E97E" w14:textId="28688F17" w:rsidR="00FA4C68" w:rsidRPr="00E76E82" w:rsidRDefault="00FA4C68" w:rsidP="00F508DC">
      <w:pPr>
        <w:spacing w:after="0" w:line="360" w:lineRule="auto"/>
        <w:jc w:val="center"/>
        <w:rPr>
          <w:rFonts w:ascii="Times New Roman" w:hAnsi="Times New Roman"/>
        </w:rPr>
      </w:pPr>
      <w:r w:rsidRPr="00E76E82">
        <w:rPr>
          <w:rFonts w:ascii="Times New Roman" w:hAnsi="Times New Roman"/>
          <w:noProof/>
        </w:rPr>
        <w:drawing>
          <wp:inline distT="0" distB="0" distL="0" distR="0" wp14:anchorId="62CE332B" wp14:editId="13386FF4">
            <wp:extent cx="4447985" cy="2101026"/>
            <wp:effectExtent l="0" t="0" r="0" b="0"/>
            <wp:docPr id="1922351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254" cy="2106349"/>
                    </a:xfrm>
                    <a:prstGeom prst="rect">
                      <a:avLst/>
                    </a:prstGeom>
                    <a:noFill/>
                  </pic:spPr>
                </pic:pic>
              </a:graphicData>
            </a:graphic>
          </wp:inline>
        </w:drawing>
      </w:r>
    </w:p>
    <w:p w14:paraId="6901F786" w14:textId="014B6489" w:rsidR="00FA4C68" w:rsidRDefault="00D209B2" w:rsidP="00C6423A">
      <w:pPr>
        <w:spacing w:after="0" w:line="240" w:lineRule="auto"/>
        <w:jc w:val="both"/>
        <w:rPr>
          <w:rFonts w:ascii="Times New Roman" w:hAnsi="Times New Roman"/>
          <w:sz w:val="20"/>
          <w:szCs w:val="20"/>
        </w:rPr>
      </w:pPr>
      <w:r>
        <w:rPr>
          <w:rFonts w:ascii="Times New Roman" w:hAnsi="Times New Roman"/>
          <w:sz w:val="20"/>
          <w:szCs w:val="20"/>
        </w:rPr>
        <w:t xml:space="preserve">Figure </w:t>
      </w:r>
      <w:r w:rsidR="00CC0E6F">
        <w:rPr>
          <w:rFonts w:ascii="Times New Roman" w:hAnsi="Times New Roman"/>
          <w:sz w:val="20"/>
          <w:szCs w:val="20"/>
        </w:rPr>
        <w:t>1</w:t>
      </w:r>
      <w:r w:rsidR="000E5F4F">
        <w:rPr>
          <w:rFonts w:ascii="Times New Roman" w:hAnsi="Times New Roman"/>
          <w:sz w:val="20"/>
          <w:szCs w:val="20"/>
        </w:rPr>
        <w:t>6</w:t>
      </w:r>
      <w:r>
        <w:rPr>
          <w:rFonts w:ascii="Times New Roman" w:hAnsi="Times New Roman"/>
          <w:sz w:val="20"/>
          <w:szCs w:val="20"/>
        </w:rPr>
        <w:t xml:space="preserve">. </w:t>
      </w:r>
      <w:r w:rsidR="0066686B" w:rsidRPr="00E76E82">
        <w:rPr>
          <w:rFonts w:ascii="Times New Roman" w:hAnsi="Times New Roman"/>
          <w:sz w:val="20"/>
          <w:szCs w:val="20"/>
        </w:rPr>
        <w:t xml:space="preserve">A schematic representation of the in-line </w:t>
      </w:r>
      <w:r w:rsidR="003E0C19" w:rsidRPr="00E76E82">
        <w:rPr>
          <w:rFonts w:ascii="Times New Roman" w:hAnsi="Times New Roman"/>
          <w:sz w:val="20"/>
          <w:szCs w:val="20"/>
        </w:rPr>
        <w:t>fibre</w:t>
      </w:r>
      <w:r w:rsidR="0066686B" w:rsidRPr="00E76E82">
        <w:rPr>
          <w:rFonts w:ascii="Times New Roman" w:hAnsi="Times New Roman"/>
          <w:sz w:val="20"/>
          <w:szCs w:val="20"/>
        </w:rPr>
        <w:t xml:space="preserve"> optic LSPR sensor integrated with a chromatography system for real-time monitoring of the monoclonal antibody (mAb) capture process. The sensor was tested across three chromatography systems operating at varying scales: ÄKTA pure™ 25, ÄKTA pure™ 150, and ÄKTA pilot™ 600 (Tran et al., 2024).</w:t>
      </w:r>
    </w:p>
    <w:p w14:paraId="1ED45D90" w14:textId="77777777" w:rsidR="00C6423A" w:rsidRDefault="00C6423A" w:rsidP="00C6423A">
      <w:pPr>
        <w:spacing w:after="0" w:line="240" w:lineRule="auto"/>
        <w:jc w:val="both"/>
        <w:rPr>
          <w:rFonts w:ascii="Times New Roman" w:hAnsi="Times New Roman"/>
          <w:sz w:val="20"/>
          <w:szCs w:val="20"/>
        </w:rPr>
      </w:pPr>
    </w:p>
    <w:p w14:paraId="70A5637D" w14:textId="77777777" w:rsidR="00C6423A" w:rsidRPr="00E76E82" w:rsidRDefault="00C6423A" w:rsidP="00C6423A">
      <w:pPr>
        <w:spacing w:after="0" w:line="240" w:lineRule="auto"/>
        <w:jc w:val="both"/>
        <w:rPr>
          <w:rFonts w:ascii="Times New Roman" w:hAnsi="Times New Roman"/>
          <w:sz w:val="20"/>
          <w:szCs w:val="20"/>
        </w:rPr>
      </w:pPr>
    </w:p>
    <w:p w14:paraId="51426D76" w14:textId="2DBA5B9B" w:rsidR="0080002B" w:rsidRPr="00E76E82" w:rsidRDefault="00CB0BF7" w:rsidP="000E5F4F">
      <w:pPr>
        <w:spacing w:after="0" w:line="360" w:lineRule="auto"/>
        <w:jc w:val="both"/>
        <w:rPr>
          <w:rFonts w:ascii="Times New Roman" w:hAnsi="Times New Roman"/>
        </w:rPr>
      </w:pPr>
      <w:r w:rsidRPr="00E76E82">
        <w:rPr>
          <w:rFonts w:ascii="Times New Roman" w:hAnsi="Times New Roman"/>
        </w:rPr>
        <w:t>The coupling of affinity chromatography with other techniques, such as dual column cation exchange</w:t>
      </w:r>
      <w:r w:rsidR="00FD1527" w:rsidRPr="00E76E82">
        <w:rPr>
          <w:rFonts w:ascii="Times New Roman" w:hAnsi="Times New Roman"/>
        </w:rPr>
        <w:t xml:space="preserve"> </w:t>
      </w:r>
      <w:r w:rsidRPr="00E76E82">
        <w:rPr>
          <w:rFonts w:ascii="Times New Roman" w:hAnsi="Times New Roman"/>
        </w:rPr>
        <w:t>is also being explored for potentially higher clearance of impurities</w:t>
      </w:r>
      <w:r w:rsidR="00C977EF" w:rsidRPr="00E76E82">
        <w:rPr>
          <w:rFonts w:ascii="Times New Roman" w:hAnsi="Times New Roman"/>
        </w:rPr>
        <w:t xml:space="preserve"> (Prabhala and Wood, 2024).</w:t>
      </w:r>
    </w:p>
    <w:p w14:paraId="3F293AAA" w14:textId="11D2A335" w:rsidR="00BE7DAA" w:rsidRPr="006C114F" w:rsidRDefault="0080002B" w:rsidP="006C114F">
      <w:pPr>
        <w:spacing w:after="0" w:line="360" w:lineRule="auto"/>
        <w:jc w:val="both"/>
        <w:rPr>
          <w:rFonts w:ascii="Times New Roman" w:hAnsi="Times New Roman"/>
          <w:sz w:val="20"/>
          <w:szCs w:val="20"/>
        </w:rPr>
      </w:pPr>
      <w:r w:rsidRPr="00E76E82">
        <w:rPr>
          <w:rFonts w:ascii="Times New Roman" w:hAnsi="Times New Roman"/>
        </w:rPr>
        <w:t xml:space="preserve"> </w:t>
      </w:r>
      <w:r w:rsidR="006C114F">
        <w:rPr>
          <w:rFonts w:ascii="Times New Roman" w:hAnsi="Times New Roman"/>
          <w:sz w:val="20"/>
          <w:szCs w:val="20"/>
        </w:rPr>
        <w:tab/>
      </w:r>
      <w:r w:rsidR="00CB0BF7" w:rsidRPr="00E76E82">
        <w:rPr>
          <w:rFonts w:ascii="Times New Roman" w:hAnsi="Times New Roman"/>
        </w:rPr>
        <w:t>These advancements collectively contribute to more scalable, cost-effective, and efficient DSP workflows in the biopharmaceutical industry.</w:t>
      </w:r>
    </w:p>
    <w:p w14:paraId="5035E125" w14:textId="77777777" w:rsidR="007A4DBF" w:rsidRPr="007A4DBF" w:rsidRDefault="007A4DBF" w:rsidP="007A4DBF">
      <w:pPr>
        <w:spacing w:after="0" w:line="360" w:lineRule="auto"/>
        <w:ind w:firstLine="720"/>
        <w:jc w:val="both"/>
        <w:rPr>
          <w:rFonts w:ascii="Times New Roman" w:hAnsi="Times New Roman"/>
        </w:rPr>
      </w:pPr>
    </w:p>
    <w:p w14:paraId="15CB0370" w14:textId="4CB3E5EC" w:rsidR="00BE7DAA" w:rsidRPr="00E76E82" w:rsidRDefault="0045210A" w:rsidP="00E76E82">
      <w:pPr>
        <w:spacing w:after="0" w:line="360" w:lineRule="auto"/>
        <w:jc w:val="both"/>
        <w:rPr>
          <w:rFonts w:ascii="Times New Roman" w:hAnsi="Times New Roman"/>
          <w:b/>
          <w:bCs/>
        </w:rPr>
      </w:pPr>
      <w:r>
        <w:rPr>
          <w:rFonts w:ascii="Times New Roman" w:hAnsi="Times New Roman"/>
          <w:b/>
          <w:bCs/>
        </w:rPr>
        <w:t>5</w:t>
      </w:r>
      <w:r w:rsidR="00E82880" w:rsidRPr="00E76E82">
        <w:rPr>
          <w:rFonts w:ascii="Times New Roman" w:hAnsi="Times New Roman"/>
          <w:b/>
          <w:bCs/>
        </w:rPr>
        <w:t xml:space="preserve">. Conclusion </w:t>
      </w:r>
    </w:p>
    <w:p w14:paraId="6F758D15" w14:textId="6D2E7F31" w:rsidR="0025020C" w:rsidRPr="00E76E82" w:rsidRDefault="0025020C" w:rsidP="00E76E82">
      <w:pPr>
        <w:spacing w:after="0" w:line="360" w:lineRule="auto"/>
        <w:ind w:firstLine="720"/>
        <w:jc w:val="both"/>
        <w:rPr>
          <w:rFonts w:ascii="Times New Roman" w:hAnsi="Times New Roman"/>
        </w:rPr>
      </w:pPr>
      <w:r w:rsidRPr="00E76E82">
        <w:rPr>
          <w:rFonts w:ascii="Times New Roman" w:hAnsi="Times New Roman"/>
        </w:rPr>
        <w:t xml:space="preserve">This literature review highlights the critical role of affinity chromatography in the downstream processing of monoclonal antibodies due to its inherent high selectivity for the target molecule. Primarily utilising Protein A, affinity chromatography achieves efficient capture and significant impurity removal in a single step. The field is evolving with increasing interest in novel alternative ligands aiming to overcome limitations associated with traditional options. Typically employed as an initial capture step, affinity chromatography is followed by </w:t>
      </w:r>
      <w:r w:rsidRPr="00E76E82">
        <w:rPr>
          <w:rFonts w:ascii="Times New Roman" w:hAnsi="Times New Roman"/>
        </w:rPr>
        <w:lastRenderedPageBreak/>
        <w:t>polishing steps to reach required purity levels. Regulatory compliance necessitates adherence to GMP and thorough process validation of these chromatographic steps.</w:t>
      </w:r>
    </w:p>
    <w:p w14:paraId="0BB24AC1" w14:textId="77777777" w:rsidR="0025020C" w:rsidRPr="00E76E82" w:rsidRDefault="0025020C" w:rsidP="00E76E82">
      <w:pPr>
        <w:spacing w:after="0" w:line="360" w:lineRule="auto"/>
        <w:ind w:firstLine="720"/>
        <w:jc w:val="both"/>
        <w:rPr>
          <w:rFonts w:ascii="Times New Roman" w:hAnsi="Times New Roman"/>
        </w:rPr>
      </w:pPr>
      <w:r w:rsidRPr="00E76E82">
        <w:rPr>
          <w:rFonts w:ascii="Times New Roman" w:hAnsi="Times New Roman"/>
        </w:rPr>
        <w:t>Recent advancements focus on enhancing efficiency and selectivity through novel ligands and resin technologies, including nanofiber-based adsorbents. The integration with analytical techniques like native mass spectrometry and the emergence of continuous bioprocessing and automation represent key trends. Challenges remain in areas like resin cost, scalability, and lifetime, alongside knowledge gaps concerning alternative ligands and resin regeneration.</w:t>
      </w:r>
    </w:p>
    <w:p w14:paraId="51EA85C9" w14:textId="77777777" w:rsidR="0025020C" w:rsidRPr="00E76E82" w:rsidRDefault="0025020C" w:rsidP="00E76E82">
      <w:pPr>
        <w:spacing w:after="0" w:line="360" w:lineRule="auto"/>
        <w:ind w:firstLine="720"/>
        <w:jc w:val="both"/>
        <w:rPr>
          <w:rFonts w:ascii="Times New Roman" w:hAnsi="Times New Roman"/>
        </w:rPr>
      </w:pPr>
      <w:r w:rsidRPr="00E76E82">
        <w:rPr>
          <w:rFonts w:ascii="Times New Roman" w:hAnsi="Times New Roman"/>
        </w:rPr>
        <w:t>Based on this review, affinity chromatography is a highly effective technique for mAb purification, particularly in the initial capture phase, providing significant purity and yield. Ongoing innovations are actively addressing existing limitations, further solidifying its importance in mAb production.</w:t>
      </w:r>
    </w:p>
    <w:p w14:paraId="127C8506" w14:textId="5AB57CEF" w:rsidR="00BE7DAA" w:rsidRPr="00E76E82" w:rsidRDefault="0025020C" w:rsidP="00E76E82">
      <w:pPr>
        <w:spacing w:after="0" w:line="360" w:lineRule="auto"/>
        <w:ind w:firstLine="720"/>
        <w:jc w:val="both"/>
        <w:rPr>
          <w:rFonts w:ascii="Times New Roman" w:hAnsi="Times New Roman"/>
        </w:rPr>
      </w:pPr>
      <w:r w:rsidRPr="00E76E82">
        <w:rPr>
          <w:rFonts w:ascii="Times New Roman" w:hAnsi="Times New Roman"/>
        </w:rPr>
        <w:t>For future progress, research should focus on the continued development of novel affinity ligands with enhanced properties, a deeper understanding and reduction of non-specific binding, the improvement of resin longevity and regeneration methods, and the integration with advanced analytical tools. Industrial implementation should prioritise a greater adoption of continuous and automated chromatography systems, comprehensive cost-benefit analyses of new technologies, the implementation of risk-based lifecycle management for chromatography columns, and further exploration of direct capture methods to streamline early purification stages</w:t>
      </w:r>
      <w:r w:rsidR="00A338AF" w:rsidRPr="00E76E82">
        <w:rPr>
          <w:rFonts w:ascii="Times New Roman" w:hAnsi="Times New Roman"/>
        </w:rPr>
        <w:t>.</w:t>
      </w:r>
    </w:p>
    <w:p w14:paraId="04E8D02E" w14:textId="2BFBBE85" w:rsidR="008C1762" w:rsidRPr="00E76E82" w:rsidRDefault="006D10A5" w:rsidP="008C1762">
      <w:pPr>
        <w:spacing w:after="0" w:line="360" w:lineRule="auto"/>
        <w:ind w:firstLine="720"/>
        <w:jc w:val="both"/>
        <w:rPr>
          <w:rFonts w:ascii="Times New Roman" w:hAnsi="Times New Roman"/>
        </w:rPr>
      </w:pPr>
      <w:r w:rsidRPr="00E76E82">
        <w:rPr>
          <w:rFonts w:ascii="Times New Roman" w:hAnsi="Times New Roman"/>
        </w:rPr>
        <w:t xml:space="preserve">In conclusion, affinity chromatography remains an indispensable tool </w:t>
      </w:r>
      <w:r w:rsidR="008C1762" w:rsidRPr="00E76E82">
        <w:rPr>
          <w:rFonts w:ascii="Times New Roman" w:hAnsi="Times New Roman"/>
        </w:rPr>
        <w:t>for biomolecule purification, offering exceptional selectivity and the ability to achieve high purity in often a single step. While traditional methods can present throughput limitations, ongoing advancements in continuous chromatography, novel ligand development, and alternative chromatographic formats are actively addressing these challenges The inherent strengths of affinity chromatography make it an indispensable technique across various fields, and continued innovation promises to further enhance its effectiveness in terms of selectivity, purity, and crucially, throughput for a wide range of biopharmaceutical and biotechnological applications.</w:t>
      </w:r>
    </w:p>
    <w:p w14:paraId="46267642" w14:textId="728735E5" w:rsidR="006D10A5" w:rsidRPr="00E76E82" w:rsidRDefault="006D10A5" w:rsidP="00E76E82">
      <w:pPr>
        <w:spacing w:after="0" w:line="360" w:lineRule="auto"/>
        <w:ind w:firstLine="720"/>
        <w:jc w:val="both"/>
        <w:rPr>
          <w:rFonts w:ascii="Times New Roman" w:hAnsi="Times New Roman"/>
        </w:rPr>
      </w:pPr>
    </w:p>
    <w:p w14:paraId="2290CBE2" w14:textId="77777777" w:rsidR="00BE7DAA" w:rsidRPr="00E76E82" w:rsidRDefault="00BE7DAA" w:rsidP="00E76E82">
      <w:pPr>
        <w:spacing w:after="0" w:line="360" w:lineRule="auto"/>
        <w:jc w:val="both"/>
        <w:rPr>
          <w:rFonts w:ascii="Times New Roman" w:hAnsi="Times New Roman"/>
          <w:b/>
          <w:bCs/>
        </w:rPr>
      </w:pPr>
    </w:p>
    <w:p w14:paraId="2960BE50" w14:textId="77777777" w:rsidR="0096704D" w:rsidRDefault="0096704D" w:rsidP="00E76E82">
      <w:pPr>
        <w:spacing w:after="0" w:line="360" w:lineRule="auto"/>
        <w:jc w:val="both"/>
        <w:rPr>
          <w:rFonts w:ascii="Times New Roman" w:hAnsi="Times New Roman"/>
          <w:b/>
          <w:bCs/>
        </w:rPr>
      </w:pPr>
    </w:p>
    <w:p w14:paraId="5330E20F" w14:textId="77777777" w:rsidR="00D178AF" w:rsidRPr="00E76E82" w:rsidRDefault="00D178AF" w:rsidP="00E76E82">
      <w:pPr>
        <w:spacing w:after="0" w:line="360" w:lineRule="auto"/>
        <w:jc w:val="both"/>
        <w:rPr>
          <w:rFonts w:ascii="Times New Roman" w:hAnsi="Times New Roman"/>
          <w:b/>
          <w:bCs/>
        </w:rPr>
      </w:pPr>
    </w:p>
    <w:p w14:paraId="408006D1" w14:textId="77777777" w:rsidR="0045210A" w:rsidRDefault="0045210A" w:rsidP="004F634B">
      <w:pPr>
        <w:spacing w:after="0" w:line="240" w:lineRule="auto"/>
        <w:rPr>
          <w:rFonts w:ascii="Times New Roman" w:hAnsi="Times New Roman"/>
          <w:b/>
          <w:bCs/>
        </w:rPr>
      </w:pPr>
    </w:p>
    <w:p w14:paraId="40ACDB5D" w14:textId="30A8382E" w:rsidR="00693D16" w:rsidRPr="007B7A73" w:rsidRDefault="00693D16" w:rsidP="004F634B">
      <w:pPr>
        <w:spacing w:after="0" w:line="240" w:lineRule="auto"/>
        <w:rPr>
          <w:rFonts w:ascii="Times New Roman" w:hAnsi="Times New Roman"/>
          <w:sz w:val="20"/>
          <w:szCs w:val="20"/>
        </w:rPr>
      </w:pPr>
      <w:r w:rsidRPr="007B7A73">
        <w:rPr>
          <w:rFonts w:ascii="Times New Roman" w:hAnsi="Times New Roman"/>
          <w:b/>
          <w:bCs/>
          <w:sz w:val="20"/>
          <w:szCs w:val="20"/>
        </w:rPr>
        <w:lastRenderedPageBreak/>
        <w:t>References</w:t>
      </w:r>
    </w:p>
    <w:p w14:paraId="716122BE" w14:textId="77777777" w:rsidR="0026144F" w:rsidRDefault="0026144F" w:rsidP="004F634B">
      <w:pPr>
        <w:spacing w:after="0" w:line="240" w:lineRule="auto"/>
        <w:rPr>
          <w:rFonts w:ascii="Times New Roman" w:hAnsi="Times New Roman"/>
          <w:sz w:val="20"/>
          <w:szCs w:val="20"/>
        </w:rPr>
      </w:pPr>
    </w:p>
    <w:p w14:paraId="3AE764E7" w14:textId="32658884" w:rsidR="0026144F" w:rsidRDefault="004D5F77" w:rsidP="004F634B">
      <w:pPr>
        <w:spacing w:after="0" w:line="240" w:lineRule="auto"/>
        <w:rPr>
          <w:rFonts w:ascii="Times New Roman" w:hAnsi="Times New Roman"/>
          <w:sz w:val="20"/>
          <w:szCs w:val="20"/>
        </w:rPr>
      </w:pPr>
      <w:proofErr w:type="spellStart"/>
      <w:r w:rsidRPr="004D5F77">
        <w:rPr>
          <w:rFonts w:ascii="Times New Roman" w:hAnsi="Times New Roman"/>
          <w:sz w:val="20"/>
          <w:szCs w:val="20"/>
        </w:rPr>
        <w:t>Aranez</w:t>
      </w:r>
      <w:proofErr w:type="spellEnd"/>
      <w:r w:rsidRPr="004D5F77">
        <w:rPr>
          <w:rFonts w:ascii="Times New Roman" w:hAnsi="Times New Roman"/>
          <w:sz w:val="20"/>
          <w:szCs w:val="20"/>
        </w:rPr>
        <w:t xml:space="preserve">, V. and Ambrus, J. (2019). Immunologic Adverse Effects of Biologics for the Treatment of Atopy. </w:t>
      </w:r>
      <w:r w:rsidRPr="00186276">
        <w:rPr>
          <w:rFonts w:ascii="Times New Roman" w:hAnsi="Times New Roman"/>
          <w:i/>
          <w:iCs/>
          <w:sz w:val="20"/>
          <w:szCs w:val="20"/>
        </w:rPr>
        <w:t>Clinical Reviews in Allergy &amp; Immunology</w:t>
      </w:r>
      <w:r w:rsidRPr="004D5F77">
        <w:rPr>
          <w:rFonts w:ascii="Times New Roman" w:hAnsi="Times New Roman"/>
          <w:sz w:val="20"/>
          <w:szCs w:val="20"/>
        </w:rPr>
        <w:t>, 59(2), pp.220–230</w:t>
      </w:r>
    </w:p>
    <w:p w14:paraId="622EA464" w14:textId="77777777" w:rsidR="004D5F77" w:rsidRDefault="004D5F77" w:rsidP="004F634B">
      <w:pPr>
        <w:spacing w:after="0" w:line="240" w:lineRule="auto"/>
        <w:rPr>
          <w:rFonts w:ascii="Times New Roman" w:hAnsi="Times New Roman"/>
          <w:sz w:val="20"/>
          <w:szCs w:val="20"/>
        </w:rPr>
      </w:pPr>
    </w:p>
    <w:p w14:paraId="68927143" w14:textId="5E976741" w:rsidR="00BE71B1" w:rsidRDefault="00EF0107" w:rsidP="004F634B">
      <w:pPr>
        <w:spacing w:after="0" w:line="240" w:lineRule="auto"/>
        <w:rPr>
          <w:rFonts w:ascii="Times New Roman" w:hAnsi="Times New Roman"/>
          <w:sz w:val="20"/>
          <w:szCs w:val="20"/>
        </w:rPr>
      </w:pPr>
      <w:r w:rsidRPr="007B7A73">
        <w:rPr>
          <w:rFonts w:ascii="Times New Roman" w:hAnsi="Times New Roman"/>
          <w:sz w:val="20"/>
          <w:szCs w:val="20"/>
        </w:rPr>
        <w:t xml:space="preserve">Bouvarel, T., </w:t>
      </w:r>
      <w:proofErr w:type="spellStart"/>
      <w:r w:rsidRPr="007B7A73">
        <w:rPr>
          <w:rFonts w:ascii="Times New Roman" w:hAnsi="Times New Roman"/>
          <w:sz w:val="20"/>
          <w:szCs w:val="20"/>
        </w:rPr>
        <w:t>Duivelshof</w:t>
      </w:r>
      <w:proofErr w:type="spellEnd"/>
      <w:r w:rsidRPr="007B7A73">
        <w:rPr>
          <w:rFonts w:ascii="Times New Roman" w:hAnsi="Times New Roman"/>
          <w:sz w:val="20"/>
          <w:szCs w:val="20"/>
        </w:rPr>
        <w:t xml:space="preserve">, B.L., </w:t>
      </w:r>
      <w:proofErr w:type="spellStart"/>
      <w:r w:rsidRPr="007B7A73">
        <w:rPr>
          <w:rFonts w:ascii="Times New Roman" w:hAnsi="Times New Roman"/>
          <w:sz w:val="20"/>
          <w:szCs w:val="20"/>
        </w:rPr>
        <w:t>Camperi</w:t>
      </w:r>
      <w:proofErr w:type="spellEnd"/>
      <w:r w:rsidRPr="007B7A73">
        <w:rPr>
          <w:rFonts w:ascii="Times New Roman" w:hAnsi="Times New Roman"/>
          <w:sz w:val="20"/>
          <w:szCs w:val="20"/>
        </w:rPr>
        <w:t xml:space="preserve">, J., Schlothauer, T., Knaupp, A., Stella, C. and Guillarme, D. (2022). Extending the performance of </w:t>
      </w:r>
      <w:proofErr w:type="spellStart"/>
      <w:r w:rsidRPr="007B7A73">
        <w:rPr>
          <w:rFonts w:ascii="Times New Roman" w:hAnsi="Times New Roman"/>
          <w:sz w:val="20"/>
          <w:szCs w:val="20"/>
        </w:rPr>
        <w:t>FcRn</w:t>
      </w:r>
      <w:proofErr w:type="spellEnd"/>
      <w:r w:rsidRPr="007B7A73">
        <w:rPr>
          <w:rFonts w:ascii="Times New Roman" w:hAnsi="Times New Roman"/>
          <w:sz w:val="20"/>
          <w:szCs w:val="20"/>
        </w:rPr>
        <w:t xml:space="preserve"> and FcγRIIIa affinity liquid chromatography for protein biopharmaceuticals. </w:t>
      </w:r>
      <w:r w:rsidRPr="007B7A73">
        <w:rPr>
          <w:rFonts w:ascii="Times New Roman" w:hAnsi="Times New Roman"/>
          <w:i/>
          <w:iCs/>
          <w:sz w:val="20"/>
          <w:szCs w:val="20"/>
        </w:rPr>
        <w:t>Journal of Chromatography A</w:t>
      </w:r>
      <w:r w:rsidRPr="007B7A73">
        <w:rPr>
          <w:rFonts w:ascii="Times New Roman" w:hAnsi="Times New Roman"/>
          <w:sz w:val="20"/>
          <w:szCs w:val="20"/>
        </w:rPr>
        <w:t>,</w:t>
      </w:r>
      <w:r w:rsidR="00863540" w:rsidRPr="007B7A73">
        <w:rPr>
          <w:rFonts w:ascii="Times New Roman" w:hAnsi="Times New Roman"/>
          <w:sz w:val="20"/>
          <w:szCs w:val="20"/>
        </w:rPr>
        <w:t xml:space="preserve"> </w:t>
      </w:r>
      <w:r w:rsidRPr="007B7A73">
        <w:rPr>
          <w:rFonts w:ascii="Times New Roman" w:hAnsi="Times New Roman"/>
          <w:sz w:val="20"/>
          <w:szCs w:val="20"/>
        </w:rPr>
        <w:t xml:space="preserve">1682, p.463518. </w:t>
      </w:r>
    </w:p>
    <w:p w14:paraId="41B3334C" w14:textId="77777777" w:rsidR="004E7BAE" w:rsidRDefault="004E7BAE" w:rsidP="004F634B">
      <w:pPr>
        <w:spacing w:after="0" w:line="240" w:lineRule="auto"/>
        <w:rPr>
          <w:rFonts w:ascii="Times New Roman" w:hAnsi="Times New Roman"/>
          <w:sz w:val="20"/>
          <w:szCs w:val="20"/>
        </w:rPr>
      </w:pPr>
    </w:p>
    <w:p w14:paraId="2E366A4F" w14:textId="77777777" w:rsidR="007851C1" w:rsidRPr="007B7A73" w:rsidRDefault="007851C1" w:rsidP="007851C1">
      <w:pPr>
        <w:spacing w:after="0" w:line="240" w:lineRule="auto"/>
        <w:rPr>
          <w:rFonts w:ascii="Times New Roman" w:hAnsi="Times New Roman"/>
          <w:sz w:val="20"/>
          <w:szCs w:val="20"/>
        </w:rPr>
      </w:pPr>
      <w:r w:rsidRPr="007B7A73">
        <w:rPr>
          <w:rFonts w:ascii="Times New Roman" w:hAnsi="Times New Roman"/>
          <w:sz w:val="20"/>
          <w:szCs w:val="20"/>
        </w:rPr>
        <w:t>Cotham, V.C., Liu, A.P., Wang, S. and Li, N. (2023). A generic platform to couple affinity chromatography with native mass spectrometry for the analysis of therapeutic monoclonal antibodies. </w:t>
      </w:r>
      <w:r w:rsidRPr="007B7A73">
        <w:rPr>
          <w:rFonts w:ascii="Times New Roman" w:hAnsi="Times New Roman"/>
          <w:i/>
          <w:iCs/>
          <w:sz w:val="20"/>
          <w:szCs w:val="20"/>
        </w:rPr>
        <w:t>Journal of Pharmaceutical and Biomedical Analysis</w:t>
      </w:r>
      <w:r w:rsidRPr="007B7A73">
        <w:rPr>
          <w:rFonts w:ascii="Times New Roman" w:hAnsi="Times New Roman"/>
          <w:sz w:val="20"/>
          <w:szCs w:val="20"/>
        </w:rPr>
        <w:t xml:space="preserve">, 228, p.115337. </w:t>
      </w:r>
    </w:p>
    <w:p w14:paraId="18236016" w14:textId="77777777" w:rsidR="007851C1" w:rsidRDefault="007851C1" w:rsidP="004F634B">
      <w:pPr>
        <w:spacing w:after="0" w:line="240" w:lineRule="auto"/>
        <w:rPr>
          <w:rFonts w:ascii="Times New Roman" w:hAnsi="Times New Roman"/>
          <w:sz w:val="20"/>
          <w:szCs w:val="20"/>
        </w:rPr>
      </w:pPr>
    </w:p>
    <w:p w14:paraId="79C4B36C" w14:textId="7F21C85C" w:rsidR="004E7BAE" w:rsidRPr="007B7A73" w:rsidRDefault="004E7BAE" w:rsidP="004F634B">
      <w:pPr>
        <w:spacing w:after="0" w:line="240" w:lineRule="auto"/>
        <w:rPr>
          <w:rFonts w:ascii="Times New Roman" w:hAnsi="Times New Roman"/>
          <w:sz w:val="20"/>
          <w:szCs w:val="20"/>
        </w:rPr>
      </w:pPr>
      <w:r w:rsidRPr="004E7BAE">
        <w:rPr>
          <w:rFonts w:ascii="Times New Roman" w:hAnsi="Times New Roman"/>
          <w:sz w:val="20"/>
          <w:szCs w:val="20"/>
        </w:rPr>
        <w:t>Cube Biotech (2017). </w:t>
      </w:r>
      <w:r w:rsidRPr="004E7BAE">
        <w:rPr>
          <w:rFonts w:ascii="Times New Roman" w:hAnsi="Times New Roman"/>
          <w:i/>
          <w:iCs/>
          <w:sz w:val="20"/>
          <w:szCs w:val="20"/>
        </w:rPr>
        <w:t>His-Tag | Definition &amp; Data</w:t>
      </w:r>
      <w:r w:rsidRPr="004E7BAE">
        <w:rPr>
          <w:rFonts w:ascii="Times New Roman" w:hAnsi="Times New Roman"/>
          <w:sz w:val="20"/>
          <w:szCs w:val="20"/>
        </w:rPr>
        <w:t xml:space="preserve">. [online] Cube Biotech. Available at: </w:t>
      </w:r>
      <w:hyperlink r:id="rId24" w:history="1">
        <w:r w:rsidRPr="00C06701">
          <w:rPr>
            <w:rStyle w:val="Hyperlink"/>
            <w:rFonts w:ascii="Times New Roman" w:hAnsi="Times New Roman"/>
            <w:sz w:val="20"/>
            <w:szCs w:val="20"/>
          </w:rPr>
          <w:t>https://cube-biotech.com/our-science/protein-purification/his-tag/</w:t>
        </w:r>
      </w:hyperlink>
      <w:r w:rsidRPr="004E7BAE">
        <w:rPr>
          <w:rFonts w:ascii="Times New Roman" w:hAnsi="Times New Roman"/>
          <w:sz w:val="20"/>
          <w:szCs w:val="20"/>
        </w:rPr>
        <w:t>.</w:t>
      </w:r>
      <w:r>
        <w:rPr>
          <w:rFonts w:ascii="Times New Roman" w:hAnsi="Times New Roman"/>
          <w:sz w:val="20"/>
          <w:szCs w:val="20"/>
        </w:rPr>
        <w:t xml:space="preserve"> </w:t>
      </w:r>
      <w:r w:rsidRPr="00A875AA">
        <w:rPr>
          <w:rFonts w:ascii="Times New Roman" w:hAnsi="Times New Roman"/>
          <w:sz w:val="20"/>
          <w:szCs w:val="20"/>
        </w:rPr>
        <w:t>(Accessed</w:t>
      </w:r>
      <w:r w:rsidRPr="007B7A73">
        <w:rPr>
          <w:rFonts w:ascii="Times New Roman" w:hAnsi="Times New Roman"/>
          <w:sz w:val="20"/>
          <w:szCs w:val="20"/>
        </w:rPr>
        <w:t xml:space="preserve">: </w:t>
      </w:r>
      <w:r>
        <w:rPr>
          <w:rFonts w:ascii="Times New Roman" w:hAnsi="Times New Roman"/>
          <w:sz w:val="20"/>
          <w:szCs w:val="20"/>
        </w:rPr>
        <w:t>10.0</w:t>
      </w:r>
      <w:r w:rsidR="007851C1">
        <w:rPr>
          <w:rFonts w:ascii="Times New Roman" w:hAnsi="Times New Roman"/>
          <w:sz w:val="20"/>
          <w:szCs w:val="20"/>
        </w:rPr>
        <w:t>4</w:t>
      </w:r>
      <w:r>
        <w:rPr>
          <w:rFonts w:ascii="Times New Roman" w:hAnsi="Times New Roman"/>
          <w:sz w:val="20"/>
          <w:szCs w:val="20"/>
        </w:rPr>
        <w:t>.</w:t>
      </w:r>
      <w:r w:rsidRPr="007B7A73">
        <w:rPr>
          <w:rFonts w:ascii="Times New Roman" w:hAnsi="Times New Roman"/>
          <w:sz w:val="20"/>
          <w:szCs w:val="20"/>
        </w:rPr>
        <w:t>2025).</w:t>
      </w:r>
    </w:p>
    <w:p w14:paraId="6B44373E" w14:textId="77777777" w:rsidR="001E6AC3" w:rsidRPr="007B7A73" w:rsidRDefault="001E6AC3" w:rsidP="004F634B">
      <w:pPr>
        <w:spacing w:after="0" w:line="240" w:lineRule="auto"/>
        <w:rPr>
          <w:rFonts w:ascii="Times New Roman" w:hAnsi="Times New Roman"/>
          <w:sz w:val="20"/>
          <w:szCs w:val="20"/>
        </w:rPr>
      </w:pPr>
    </w:p>
    <w:p w14:paraId="5E6ACDB2" w14:textId="170AA995" w:rsidR="001E6AC3" w:rsidRPr="007B7A73" w:rsidRDefault="001E6AC3" w:rsidP="004F634B">
      <w:pPr>
        <w:spacing w:after="0" w:line="240" w:lineRule="auto"/>
        <w:rPr>
          <w:rFonts w:ascii="Times New Roman" w:hAnsi="Times New Roman"/>
          <w:sz w:val="20"/>
          <w:szCs w:val="20"/>
        </w:rPr>
      </w:pPr>
      <w:r w:rsidRPr="007B7A73">
        <w:rPr>
          <w:rFonts w:ascii="Times New Roman" w:hAnsi="Times New Roman"/>
          <w:sz w:val="20"/>
          <w:szCs w:val="20"/>
        </w:rPr>
        <w:t xml:space="preserve">Cytiva (n.d.) </w:t>
      </w:r>
      <w:r w:rsidRPr="007B7A73">
        <w:rPr>
          <w:rFonts w:ascii="Times New Roman" w:hAnsi="Times New Roman"/>
          <w:i/>
          <w:iCs/>
          <w:sz w:val="20"/>
          <w:szCs w:val="20"/>
        </w:rPr>
        <w:t>Affinity chromatography in biopharmaceutical downstream processing</w:t>
      </w:r>
      <w:r w:rsidRPr="007B7A73">
        <w:rPr>
          <w:rFonts w:ascii="Times New Roman" w:hAnsi="Times New Roman"/>
          <w:sz w:val="20"/>
          <w:szCs w:val="20"/>
        </w:rPr>
        <w:t xml:space="preserve">. Available at: </w:t>
      </w:r>
      <w:hyperlink r:id="rId25" w:tgtFrame="_new" w:history="1">
        <w:r w:rsidRPr="007B7A73">
          <w:rPr>
            <w:rStyle w:val="Hyperlink"/>
            <w:rFonts w:ascii="Times New Roman" w:hAnsi="Times New Roman"/>
            <w:sz w:val="20"/>
            <w:szCs w:val="20"/>
          </w:rPr>
          <w:t>https://cdn.cytivalifesciences.com/api/public/content/digi-11495-pdf</w:t>
        </w:r>
      </w:hyperlink>
      <w:r w:rsidR="00A875AA" w:rsidRPr="00A875AA">
        <w:rPr>
          <w:rFonts w:ascii="Times New Roman" w:hAnsi="Times New Roman"/>
          <w:sz w:val="20"/>
          <w:szCs w:val="20"/>
        </w:rPr>
        <w:t>.</w:t>
      </w:r>
      <w:r w:rsidRPr="00A875AA">
        <w:rPr>
          <w:rFonts w:ascii="Times New Roman" w:hAnsi="Times New Roman"/>
          <w:sz w:val="20"/>
          <w:szCs w:val="20"/>
        </w:rPr>
        <w:t xml:space="preserve"> (Accessed</w:t>
      </w:r>
      <w:r w:rsidRPr="007B7A73">
        <w:rPr>
          <w:rFonts w:ascii="Times New Roman" w:hAnsi="Times New Roman"/>
          <w:sz w:val="20"/>
          <w:szCs w:val="20"/>
        </w:rPr>
        <w:t xml:space="preserve">: </w:t>
      </w:r>
      <w:r w:rsidR="00732172">
        <w:rPr>
          <w:rFonts w:ascii="Times New Roman" w:hAnsi="Times New Roman"/>
          <w:sz w:val="20"/>
          <w:szCs w:val="20"/>
        </w:rPr>
        <w:t>10.03.</w:t>
      </w:r>
      <w:r w:rsidRPr="007B7A73">
        <w:rPr>
          <w:rFonts w:ascii="Times New Roman" w:hAnsi="Times New Roman"/>
          <w:sz w:val="20"/>
          <w:szCs w:val="20"/>
        </w:rPr>
        <w:t>2025).</w:t>
      </w:r>
    </w:p>
    <w:p w14:paraId="03462500" w14:textId="77777777" w:rsidR="00863540" w:rsidRPr="007B7A73" w:rsidRDefault="00863540" w:rsidP="004F634B">
      <w:pPr>
        <w:spacing w:after="0" w:line="240" w:lineRule="auto"/>
        <w:rPr>
          <w:rFonts w:ascii="Times New Roman" w:hAnsi="Times New Roman"/>
          <w:sz w:val="20"/>
          <w:szCs w:val="20"/>
        </w:rPr>
      </w:pPr>
    </w:p>
    <w:p w14:paraId="07499EEF" w14:textId="06F1834E" w:rsidR="002D2E74" w:rsidRPr="007B7A73" w:rsidRDefault="009A577E" w:rsidP="004F634B">
      <w:pPr>
        <w:spacing w:after="0" w:line="240" w:lineRule="auto"/>
        <w:rPr>
          <w:rFonts w:ascii="Times New Roman" w:hAnsi="Times New Roman"/>
          <w:sz w:val="20"/>
          <w:szCs w:val="20"/>
        </w:rPr>
      </w:pPr>
      <w:r w:rsidRPr="007B7A73">
        <w:rPr>
          <w:rFonts w:ascii="Times New Roman" w:hAnsi="Times New Roman"/>
          <w:sz w:val="20"/>
          <w:szCs w:val="20"/>
        </w:rPr>
        <w:t xml:space="preserve">Dewar, E.A., </w:t>
      </w:r>
      <w:proofErr w:type="spellStart"/>
      <w:r w:rsidRPr="007B7A73">
        <w:rPr>
          <w:rFonts w:ascii="Times New Roman" w:hAnsi="Times New Roman"/>
          <w:sz w:val="20"/>
          <w:szCs w:val="20"/>
        </w:rPr>
        <w:t>Guterstam</w:t>
      </w:r>
      <w:proofErr w:type="spellEnd"/>
      <w:r w:rsidRPr="007B7A73">
        <w:rPr>
          <w:rFonts w:ascii="Times New Roman" w:hAnsi="Times New Roman"/>
          <w:sz w:val="20"/>
          <w:szCs w:val="20"/>
        </w:rPr>
        <w:t xml:space="preserve">, P., Holland, D., Lindman, S., </w:t>
      </w:r>
      <w:proofErr w:type="spellStart"/>
      <w:r w:rsidRPr="007B7A73">
        <w:rPr>
          <w:rFonts w:ascii="Times New Roman" w:hAnsi="Times New Roman"/>
          <w:sz w:val="20"/>
          <w:szCs w:val="20"/>
        </w:rPr>
        <w:t>Lundbäck</w:t>
      </w:r>
      <w:proofErr w:type="spellEnd"/>
      <w:r w:rsidRPr="007B7A73">
        <w:rPr>
          <w:rFonts w:ascii="Times New Roman" w:hAnsi="Times New Roman"/>
          <w:sz w:val="20"/>
          <w:szCs w:val="20"/>
        </w:rPr>
        <w:t xml:space="preserve">, P., Brito dos Santos, S., Wang, S. and Swartz, A.R. (2024). Improved mRNA affinity chromatography binding capacity and throughput using an oligo-dT immobilized </w:t>
      </w:r>
      <w:proofErr w:type="spellStart"/>
      <w:r w:rsidRPr="007B7A73">
        <w:rPr>
          <w:rFonts w:ascii="Times New Roman" w:hAnsi="Times New Roman"/>
          <w:sz w:val="20"/>
          <w:szCs w:val="20"/>
        </w:rPr>
        <w:t>electrospun</w:t>
      </w:r>
      <w:proofErr w:type="spellEnd"/>
      <w:r w:rsidRPr="007B7A73">
        <w:rPr>
          <w:rFonts w:ascii="Times New Roman" w:hAnsi="Times New Roman"/>
          <w:sz w:val="20"/>
          <w:szCs w:val="20"/>
        </w:rPr>
        <w:t xml:space="preserve"> polymer nanofiber adsorbent. </w:t>
      </w:r>
      <w:r w:rsidRPr="007B7A73">
        <w:rPr>
          <w:rFonts w:ascii="Times New Roman" w:hAnsi="Times New Roman"/>
          <w:i/>
          <w:iCs/>
          <w:sz w:val="20"/>
          <w:szCs w:val="20"/>
        </w:rPr>
        <w:t>Journal of Chromatography A</w:t>
      </w:r>
      <w:r w:rsidRPr="007B7A73">
        <w:rPr>
          <w:rFonts w:ascii="Times New Roman" w:hAnsi="Times New Roman"/>
          <w:sz w:val="20"/>
          <w:szCs w:val="20"/>
        </w:rPr>
        <w:t>, 1717, p.464670</w:t>
      </w:r>
      <w:r w:rsidR="00863540" w:rsidRPr="007B7A73">
        <w:rPr>
          <w:rFonts w:ascii="Times New Roman" w:hAnsi="Times New Roman"/>
          <w:sz w:val="20"/>
          <w:szCs w:val="20"/>
        </w:rPr>
        <w:t>.</w:t>
      </w:r>
    </w:p>
    <w:p w14:paraId="17392949" w14:textId="77777777" w:rsidR="00863540" w:rsidRPr="007B7A73" w:rsidRDefault="00863540" w:rsidP="004F634B">
      <w:pPr>
        <w:spacing w:after="0" w:line="240" w:lineRule="auto"/>
        <w:rPr>
          <w:rFonts w:ascii="Times New Roman" w:hAnsi="Times New Roman"/>
          <w:sz w:val="20"/>
          <w:szCs w:val="20"/>
        </w:rPr>
      </w:pPr>
    </w:p>
    <w:p w14:paraId="31A92F24" w14:textId="68F17801" w:rsidR="009A577E" w:rsidRPr="007B7A73" w:rsidRDefault="004253A5" w:rsidP="004F634B">
      <w:pPr>
        <w:spacing w:after="0" w:line="240" w:lineRule="auto"/>
        <w:rPr>
          <w:rFonts w:ascii="Times New Roman" w:hAnsi="Times New Roman"/>
          <w:sz w:val="20"/>
          <w:szCs w:val="20"/>
        </w:rPr>
      </w:pPr>
      <w:r w:rsidRPr="007B7A73">
        <w:rPr>
          <w:rFonts w:ascii="Times New Roman" w:hAnsi="Times New Roman"/>
          <w:sz w:val="20"/>
          <w:szCs w:val="20"/>
        </w:rPr>
        <w:t xml:space="preserve">Egbers, P.H., </w:t>
      </w:r>
      <w:proofErr w:type="spellStart"/>
      <w:r w:rsidRPr="007B7A73">
        <w:rPr>
          <w:rFonts w:ascii="Times New Roman" w:hAnsi="Times New Roman"/>
          <w:sz w:val="20"/>
          <w:szCs w:val="20"/>
        </w:rPr>
        <w:t>Zurhelle</w:t>
      </w:r>
      <w:proofErr w:type="spellEnd"/>
      <w:r w:rsidRPr="007B7A73">
        <w:rPr>
          <w:rFonts w:ascii="Times New Roman" w:hAnsi="Times New Roman"/>
          <w:sz w:val="20"/>
          <w:szCs w:val="20"/>
        </w:rPr>
        <w:t xml:space="preserve">, C., Koch, B.P., </w:t>
      </w:r>
      <w:proofErr w:type="spellStart"/>
      <w:r w:rsidRPr="007B7A73">
        <w:rPr>
          <w:rFonts w:ascii="Times New Roman" w:hAnsi="Times New Roman"/>
          <w:sz w:val="20"/>
          <w:szCs w:val="20"/>
        </w:rPr>
        <w:t>Dürwald</w:t>
      </w:r>
      <w:proofErr w:type="spellEnd"/>
      <w:r w:rsidRPr="007B7A73">
        <w:rPr>
          <w:rFonts w:ascii="Times New Roman" w:hAnsi="Times New Roman"/>
          <w:sz w:val="20"/>
          <w:szCs w:val="20"/>
        </w:rPr>
        <w:t>, A., Harder, T. and Tebben, J. (2022). Selective purification of catecholate, hydroxamate and α-</w:t>
      </w:r>
      <w:proofErr w:type="spellStart"/>
      <w:r w:rsidRPr="007B7A73">
        <w:rPr>
          <w:rFonts w:ascii="Times New Roman" w:hAnsi="Times New Roman"/>
          <w:sz w:val="20"/>
          <w:szCs w:val="20"/>
        </w:rPr>
        <w:t>hydroxycarboxylate</w:t>
      </w:r>
      <w:proofErr w:type="spellEnd"/>
      <w:r w:rsidRPr="007B7A73">
        <w:rPr>
          <w:rFonts w:ascii="Times New Roman" w:hAnsi="Times New Roman"/>
          <w:sz w:val="20"/>
          <w:szCs w:val="20"/>
        </w:rPr>
        <w:t xml:space="preserve"> siderophores with titanium dioxide affinity chromatography. </w:t>
      </w:r>
      <w:r w:rsidRPr="007B7A73">
        <w:rPr>
          <w:rFonts w:ascii="Times New Roman" w:hAnsi="Times New Roman"/>
          <w:i/>
          <w:iCs/>
          <w:sz w:val="20"/>
          <w:szCs w:val="20"/>
        </w:rPr>
        <w:t>Separation and Purification Technology</w:t>
      </w:r>
      <w:r w:rsidRPr="007B7A73">
        <w:rPr>
          <w:rFonts w:ascii="Times New Roman" w:hAnsi="Times New Roman"/>
          <w:sz w:val="20"/>
          <w:szCs w:val="20"/>
        </w:rPr>
        <w:t xml:space="preserve">, 307, p.122639. </w:t>
      </w:r>
    </w:p>
    <w:p w14:paraId="13892BB3" w14:textId="77777777" w:rsidR="004F634B" w:rsidRPr="007B7A73" w:rsidRDefault="004F634B" w:rsidP="004F634B">
      <w:pPr>
        <w:spacing w:after="0" w:line="240" w:lineRule="auto"/>
        <w:rPr>
          <w:rFonts w:ascii="Times New Roman" w:hAnsi="Times New Roman"/>
          <w:sz w:val="20"/>
          <w:szCs w:val="20"/>
        </w:rPr>
      </w:pPr>
    </w:p>
    <w:p w14:paraId="4BE69720" w14:textId="0710D4B2" w:rsidR="00735275" w:rsidRPr="007B7A73" w:rsidRDefault="00735275" w:rsidP="004F634B">
      <w:pPr>
        <w:spacing w:after="0" w:line="240" w:lineRule="auto"/>
        <w:rPr>
          <w:rFonts w:ascii="Times New Roman" w:hAnsi="Times New Roman"/>
          <w:sz w:val="20"/>
          <w:szCs w:val="20"/>
        </w:rPr>
      </w:pPr>
      <w:r w:rsidRPr="007B7A73">
        <w:rPr>
          <w:rFonts w:ascii="Times New Roman" w:hAnsi="Times New Roman"/>
          <w:sz w:val="20"/>
          <w:szCs w:val="20"/>
        </w:rPr>
        <w:t xml:space="preserve">European Medicines Agency (EMA) (2016) </w:t>
      </w:r>
      <w:r w:rsidRPr="007B7A73">
        <w:rPr>
          <w:rFonts w:ascii="Times New Roman" w:hAnsi="Times New Roman"/>
          <w:i/>
          <w:iCs/>
          <w:sz w:val="20"/>
          <w:szCs w:val="20"/>
        </w:rPr>
        <w:t>Guideline on process validation for the manufacture of biotechnology-derived active substances and data to be provided in the regulatory submission</w:t>
      </w:r>
      <w:r w:rsidRPr="007B7A73">
        <w:rPr>
          <w:rFonts w:ascii="Times New Roman" w:hAnsi="Times New Roman"/>
          <w:sz w:val="20"/>
          <w:szCs w:val="20"/>
        </w:rPr>
        <w:t xml:space="preserve">. EMA/CHMP/BWP/187338/2014. Committee for Medicinal Products for Human Use (CHMP), 28 April. Available at: </w:t>
      </w:r>
      <w:hyperlink r:id="rId26" w:history="1">
        <w:r w:rsidRPr="007B7A73">
          <w:rPr>
            <w:rStyle w:val="Hyperlink"/>
            <w:rFonts w:ascii="Times New Roman" w:hAnsi="Times New Roman"/>
            <w:sz w:val="20"/>
            <w:szCs w:val="20"/>
          </w:rPr>
          <w:t>https://www.ema.europa.eu/en/documents/scientific-guideline/guideline-process-validation-manufacture-biotechnology-derived-active-substances-and-data-be-provided-regulatory-submission_en.pdf</w:t>
        </w:r>
      </w:hyperlink>
      <w:r w:rsidRPr="007B7A73">
        <w:rPr>
          <w:rFonts w:ascii="Times New Roman" w:hAnsi="Times New Roman"/>
          <w:sz w:val="20"/>
          <w:szCs w:val="20"/>
        </w:rPr>
        <w:t>. (Accessed: 08.0</w:t>
      </w:r>
      <w:r w:rsidR="004F634B" w:rsidRPr="007B7A73">
        <w:rPr>
          <w:rFonts w:ascii="Times New Roman" w:hAnsi="Times New Roman"/>
          <w:sz w:val="20"/>
          <w:szCs w:val="20"/>
        </w:rPr>
        <w:t>3</w:t>
      </w:r>
      <w:r w:rsidRPr="007B7A73">
        <w:rPr>
          <w:rFonts w:ascii="Times New Roman" w:hAnsi="Times New Roman"/>
          <w:sz w:val="20"/>
          <w:szCs w:val="20"/>
        </w:rPr>
        <w:t>.2025).</w:t>
      </w:r>
    </w:p>
    <w:p w14:paraId="68409691" w14:textId="77777777" w:rsidR="00735275" w:rsidRPr="007B7A73" w:rsidRDefault="00735275" w:rsidP="004F634B">
      <w:pPr>
        <w:spacing w:after="0" w:line="240" w:lineRule="auto"/>
        <w:rPr>
          <w:rFonts w:ascii="Times New Roman" w:hAnsi="Times New Roman"/>
          <w:sz w:val="20"/>
          <w:szCs w:val="20"/>
        </w:rPr>
      </w:pPr>
    </w:p>
    <w:p w14:paraId="22F296E7" w14:textId="78BA5621" w:rsidR="004D455F" w:rsidRPr="007B7A73" w:rsidRDefault="004D455F" w:rsidP="004F634B">
      <w:pPr>
        <w:spacing w:after="0" w:line="240" w:lineRule="auto"/>
        <w:rPr>
          <w:rFonts w:ascii="Times New Roman" w:hAnsi="Times New Roman"/>
          <w:sz w:val="20"/>
          <w:szCs w:val="20"/>
        </w:rPr>
      </w:pPr>
      <w:r w:rsidRPr="007B7A73">
        <w:rPr>
          <w:rFonts w:ascii="Times New Roman" w:hAnsi="Times New Roman"/>
          <w:sz w:val="20"/>
          <w:szCs w:val="20"/>
        </w:rPr>
        <w:t xml:space="preserve">Fernandes, R.P., Ruiz, A.B., </w:t>
      </w:r>
      <w:proofErr w:type="spellStart"/>
      <w:r w:rsidRPr="007B7A73">
        <w:rPr>
          <w:rFonts w:ascii="Times New Roman" w:hAnsi="Times New Roman"/>
          <w:sz w:val="20"/>
          <w:szCs w:val="20"/>
        </w:rPr>
        <w:t>Bezemer</w:t>
      </w:r>
      <w:proofErr w:type="spellEnd"/>
      <w:r w:rsidRPr="007B7A73">
        <w:rPr>
          <w:rFonts w:ascii="Times New Roman" w:hAnsi="Times New Roman"/>
          <w:sz w:val="20"/>
          <w:szCs w:val="20"/>
        </w:rPr>
        <w:t>, S., Detmers, F., Hermans, P. and Peixoto, C. (2024). Targeted isolation of extracellular vesicles from cell culture supernatant using immuno-affinity chromatography. </w:t>
      </w:r>
      <w:r w:rsidRPr="007B7A73">
        <w:rPr>
          <w:rFonts w:ascii="Times New Roman" w:hAnsi="Times New Roman"/>
          <w:i/>
          <w:iCs/>
          <w:sz w:val="20"/>
          <w:szCs w:val="20"/>
        </w:rPr>
        <w:t>Separation and Purification Technology</w:t>
      </w:r>
      <w:r w:rsidRPr="007B7A73">
        <w:rPr>
          <w:rFonts w:ascii="Times New Roman" w:hAnsi="Times New Roman"/>
          <w:sz w:val="20"/>
          <w:szCs w:val="20"/>
        </w:rPr>
        <w:t xml:space="preserve">, pp.130312–130312. </w:t>
      </w:r>
    </w:p>
    <w:p w14:paraId="7332A394" w14:textId="77777777" w:rsidR="004F634B" w:rsidRPr="007B7A73" w:rsidRDefault="004F634B" w:rsidP="004F634B">
      <w:pPr>
        <w:spacing w:after="0" w:line="240" w:lineRule="auto"/>
        <w:rPr>
          <w:rFonts w:ascii="Times New Roman" w:hAnsi="Times New Roman"/>
          <w:sz w:val="20"/>
          <w:szCs w:val="20"/>
        </w:rPr>
      </w:pPr>
    </w:p>
    <w:p w14:paraId="0E3E4B0E" w14:textId="1F4DE530" w:rsidR="00735275" w:rsidRPr="007B7A73" w:rsidRDefault="004A0A7F" w:rsidP="004F634B">
      <w:pPr>
        <w:spacing w:after="0" w:line="240" w:lineRule="auto"/>
        <w:rPr>
          <w:rFonts w:ascii="Times New Roman" w:hAnsi="Times New Roman"/>
          <w:sz w:val="20"/>
          <w:szCs w:val="20"/>
        </w:rPr>
      </w:pPr>
      <w:r w:rsidRPr="007B7A73">
        <w:rPr>
          <w:rFonts w:ascii="Times New Roman" w:hAnsi="Times New Roman"/>
          <w:sz w:val="20"/>
          <w:szCs w:val="20"/>
        </w:rPr>
        <w:t xml:space="preserve">Florea, M., Nicolaou, F., </w:t>
      </w:r>
      <w:proofErr w:type="spellStart"/>
      <w:r w:rsidRPr="007B7A73">
        <w:rPr>
          <w:rFonts w:ascii="Times New Roman" w:hAnsi="Times New Roman"/>
          <w:sz w:val="20"/>
          <w:szCs w:val="20"/>
        </w:rPr>
        <w:t>Pacouret</w:t>
      </w:r>
      <w:proofErr w:type="spellEnd"/>
      <w:r w:rsidRPr="007B7A73">
        <w:rPr>
          <w:rFonts w:ascii="Times New Roman" w:hAnsi="Times New Roman"/>
          <w:sz w:val="20"/>
          <w:szCs w:val="20"/>
        </w:rPr>
        <w:t xml:space="preserve">, S., Zinn, E., Sanmiguel, J., Andres-Mateos, E., </w:t>
      </w:r>
      <w:proofErr w:type="spellStart"/>
      <w:r w:rsidRPr="007B7A73">
        <w:rPr>
          <w:rFonts w:ascii="Times New Roman" w:hAnsi="Times New Roman"/>
          <w:sz w:val="20"/>
          <w:szCs w:val="20"/>
        </w:rPr>
        <w:t>Unzu</w:t>
      </w:r>
      <w:proofErr w:type="spellEnd"/>
      <w:r w:rsidRPr="007B7A73">
        <w:rPr>
          <w:rFonts w:ascii="Times New Roman" w:hAnsi="Times New Roman"/>
          <w:sz w:val="20"/>
          <w:szCs w:val="20"/>
        </w:rPr>
        <w:t>, C., Wagers, A.J. and Vandenberghe, L. (2023). High-efficiency purification of divergent AAV serotypes using AAVX affinity chromatography. </w:t>
      </w:r>
      <w:r w:rsidRPr="007B7A73">
        <w:rPr>
          <w:rFonts w:ascii="Times New Roman" w:hAnsi="Times New Roman"/>
          <w:i/>
          <w:iCs/>
          <w:sz w:val="20"/>
          <w:szCs w:val="20"/>
        </w:rPr>
        <w:t>Molecular therapy. Methods &amp; clinical development</w:t>
      </w:r>
      <w:r w:rsidRPr="007B7A73">
        <w:rPr>
          <w:rFonts w:ascii="Times New Roman" w:hAnsi="Times New Roman"/>
          <w:sz w:val="20"/>
          <w:szCs w:val="20"/>
        </w:rPr>
        <w:t xml:space="preserve">, 28, pp.146–159. </w:t>
      </w:r>
    </w:p>
    <w:p w14:paraId="5B4CAC33" w14:textId="77777777" w:rsidR="004F634B" w:rsidRPr="007B7A73" w:rsidRDefault="004F634B" w:rsidP="004F634B">
      <w:pPr>
        <w:spacing w:after="0" w:line="240" w:lineRule="auto"/>
        <w:rPr>
          <w:rFonts w:ascii="Times New Roman" w:hAnsi="Times New Roman"/>
          <w:sz w:val="20"/>
          <w:szCs w:val="20"/>
        </w:rPr>
      </w:pPr>
    </w:p>
    <w:p w14:paraId="06D221BF" w14:textId="19E2E029" w:rsidR="00735275" w:rsidRPr="007B7A73" w:rsidRDefault="00735275" w:rsidP="004F634B">
      <w:pPr>
        <w:spacing w:after="0" w:line="240" w:lineRule="auto"/>
        <w:rPr>
          <w:rFonts w:ascii="Times New Roman" w:hAnsi="Times New Roman"/>
          <w:sz w:val="20"/>
          <w:szCs w:val="20"/>
        </w:rPr>
      </w:pPr>
      <w:r w:rsidRPr="007B7A73">
        <w:rPr>
          <w:rFonts w:ascii="Times New Roman" w:hAnsi="Times New Roman"/>
          <w:sz w:val="20"/>
          <w:szCs w:val="20"/>
        </w:rPr>
        <w:t xml:space="preserve">Food and Drug Administration (FDA) (2011) </w:t>
      </w:r>
      <w:r w:rsidRPr="007B7A73">
        <w:rPr>
          <w:rFonts w:ascii="Times New Roman" w:hAnsi="Times New Roman"/>
          <w:i/>
          <w:iCs/>
          <w:sz w:val="20"/>
          <w:szCs w:val="20"/>
        </w:rPr>
        <w:t>Guidance for industry: process validation – general principles and practices</w:t>
      </w:r>
      <w:r w:rsidRPr="007B7A73">
        <w:rPr>
          <w:rFonts w:ascii="Times New Roman" w:hAnsi="Times New Roman"/>
          <w:sz w:val="20"/>
          <w:szCs w:val="20"/>
        </w:rPr>
        <w:t xml:space="preserve">. Revision 1. </w:t>
      </w:r>
      <w:proofErr w:type="spellStart"/>
      <w:r w:rsidRPr="007B7A73">
        <w:rPr>
          <w:rFonts w:ascii="Times New Roman" w:hAnsi="Times New Roman"/>
          <w:sz w:val="20"/>
          <w:szCs w:val="20"/>
        </w:rPr>
        <w:t>Center</w:t>
      </w:r>
      <w:proofErr w:type="spellEnd"/>
      <w:r w:rsidRPr="007B7A73">
        <w:rPr>
          <w:rFonts w:ascii="Times New Roman" w:hAnsi="Times New Roman"/>
          <w:sz w:val="20"/>
          <w:szCs w:val="20"/>
        </w:rPr>
        <w:t xml:space="preserve"> for Drug Evaluation and Research (CDER), </w:t>
      </w:r>
      <w:proofErr w:type="spellStart"/>
      <w:r w:rsidRPr="007B7A73">
        <w:rPr>
          <w:rFonts w:ascii="Times New Roman" w:hAnsi="Times New Roman"/>
          <w:sz w:val="20"/>
          <w:szCs w:val="20"/>
        </w:rPr>
        <w:t>Center</w:t>
      </w:r>
      <w:proofErr w:type="spellEnd"/>
      <w:r w:rsidRPr="007B7A73">
        <w:rPr>
          <w:rFonts w:ascii="Times New Roman" w:hAnsi="Times New Roman"/>
          <w:sz w:val="20"/>
          <w:szCs w:val="20"/>
        </w:rPr>
        <w:t xml:space="preserve"> for Biologics Evaluation and Research (CBER), and </w:t>
      </w:r>
      <w:proofErr w:type="spellStart"/>
      <w:r w:rsidRPr="007B7A73">
        <w:rPr>
          <w:rFonts w:ascii="Times New Roman" w:hAnsi="Times New Roman"/>
          <w:sz w:val="20"/>
          <w:szCs w:val="20"/>
        </w:rPr>
        <w:t>Center</w:t>
      </w:r>
      <w:proofErr w:type="spellEnd"/>
      <w:r w:rsidRPr="007B7A73">
        <w:rPr>
          <w:rFonts w:ascii="Times New Roman" w:hAnsi="Times New Roman"/>
          <w:sz w:val="20"/>
          <w:szCs w:val="20"/>
        </w:rPr>
        <w:t xml:space="preserve"> for Veterinary Medicine (CVM), January. Available at: </w:t>
      </w:r>
      <w:hyperlink r:id="rId27" w:history="1">
        <w:r w:rsidRPr="007B7A73">
          <w:rPr>
            <w:rStyle w:val="Hyperlink"/>
            <w:rFonts w:ascii="Times New Roman" w:hAnsi="Times New Roman"/>
            <w:sz w:val="20"/>
            <w:szCs w:val="20"/>
          </w:rPr>
          <w:t>https://www.fda.gov/files/drugs/published/Process-Validation--General-Principles-and-Practices.pdf</w:t>
        </w:r>
      </w:hyperlink>
      <w:r w:rsidRPr="007B7A73">
        <w:rPr>
          <w:rFonts w:ascii="Times New Roman" w:hAnsi="Times New Roman"/>
          <w:sz w:val="20"/>
          <w:szCs w:val="20"/>
        </w:rPr>
        <w:t>. (Accessed: 08.0</w:t>
      </w:r>
      <w:r w:rsidR="004F634B" w:rsidRPr="007B7A73">
        <w:rPr>
          <w:rFonts w:ascii="Times New Roman" w:hAnsi="Times New Roman"/>
          <w:sz w:val="20"/>
          <w:szCs w:val="20"/>
        </w:rPr>
        <w:t>3</w:t>
      </w:r>
      <w:r w:rsidRPr="007B7A73">
        <w:rPr>
          <w:rFonts w:ascii="Times New Roman" w:hAnsi="Times New Roman"/>
          <w:sz w:val="20"/>
          <w:szCs w:val="20"/>
        </w:rPr>
        <w:t>.2025).</w:t>
      </w:r>
    </w:p>
    <w:p w14:paraId="30F83580" w14:textId="77777777" w:rsidR="004F634B" w:rsidRDefault="004F634B" w:rsidP="004F634B">
      <w:pPr>
        <w:spacing w:after="0" w:line="240" w:lineRule="auto"/>
        <w:rPr>
          <w:rFonts w:ascii="Times New Roman" w:hAnsi="Times New Roman"/>
          <w:sz w:val="20"/>
          <w:szCs w:val="20"/>
        </w:rPr>
      </w:pPr>
    </w:p>
    <w:p w14:paraId="24328D6B" w14:textId="7CE94C11" w:rsidR="009568BF" w:rsidRPr="007B7A73" w:rsidRDefault="009568BF" w:rsidP="009568BF">
      <w:pPr>
        <w:spacing w:after="0" w:line="240" w:lineRule="auto"/>
        <w:rPr>
          <w:rFonts w:ascii="Times New Roman" w:hAnsi="Times New Roman"/>
          <w:sz w:val="20"/>
          <w:szCs w:val="20"/>
        </w:rPr>
      </w:pPr>
      <w:r w:rsidRPr="007B7A73">
        <w:rPr>
          <w:rFonts w:ascii="Times New Roman" w:hAnsi="Times New Roman"/>
          <w:sz w:val="20"/>
          <w:szCs w:val="20"/>
        </w:rPr>
        <w:t>International Conference on Harmonisation of Technical Requirements for Registration of Pharmaceuticals for Human Use (ICH). (</w:t>
      </w:r>
      <w:r w:rsidR="0012584B">
        <w:rPr>
          <w:rFonts w:ascii="Times New Roman" w:hAnsi="Times New Roman"/>
          <w:sz w:val="20"/>
          <w:szCs w:val="20"/>
        </w:rPr>
        <w:t>1995</w:t>
      </w:r>
      <w:r w:rsidRPr="007B7A73">
        <w:rPr>
          <w:rFonts w:ascii="Times New Roman" w:hAnsi="Times New Roman"/>
          <w:sz w:val="20"/>
          <w:szCs w:val="20"/>
        </w:rPr>
        <w:t xml:space="preserve">) </w:t>
      </w:r>
      <w:r w:rsidRPr="007B7A73">
        <w:rPr>
          <w:rFonts w:ascii="Times New Roman" w:hAnsi="Times New Roman"/>
          <w:i/>
          <w:iCs/>
          <w:sz w:val="20"/>
          <w:szCs w:val="20"/>
        </w:rPr>
        <w:t xml:space="preserve">ICH Harmonised Tripartite Guideline: </w:t>
      </w:r>
      <w:r w:rsidR="00213EB9" w:rsidRPr="00213EB9">
        <w:rPr>
          <w:rFonts w:ascii="Times New Roman" w:hAnsi="Times New Roman"/>
          <w:i/>
          <w:iCs/>
          <w:sz w:val="20"/>
          <w:szCs w:val="20"/>
        </w:rPr>
        <w:t>Quality of Biotechnical Products: Stability Testing of Biotechnological/Biological Products</w:t>
      </w:r>
      <w:r w:rsidR="00BD36B1">
        <w:rPr>
          <w:rFonts w:ascii="Times New Roman" w:hAnsi="Times New Roman"/>
          <w:i/>
          <w:iCs/>
          <w:sz w:val="20"/>
          <w:szCs w:val="20"/>
        </w:rPr>
        <w:t xml:space="preserve"> </w:t>
      </w:r>
      <w:r w:rsidR="00F72BE0" w:rsidRPr="00F72BE0">
        <w:rPr>
          <w:rFonts w:ascii="Times New Roman" w:hAnsi="Times New Roman"/>
          <w:i/>
          <w:iCs/>
          <w:sz w:val="20"/>
          <w:szCs w:val="20"/>
        </w:rPr>
        <w:t>Q5C</w:t>
      </w:r>
      <w:r w:rsidRPr="007B7A73">
        <w:rPr>
          <w:rFonts w:ascii="Times New Roman" w:hAnsi="Times New Roman"/>
          <w:i/>
          <w:iCs/>
          <w:sz w:val="20"/>
          <w:szCs w:val="20"/>
        </w:rPr>
        <w:t xml:space="preserve"> </w:t>
      </w:r>
      <w:r w:rsidRPr="007B7A73">
        <w:rPr>
          <w:rFonts w:ascii="Times New Roman" w:hAnsi="Times New Roman"/>
          <w:sz w:val="20"/>
          <w:szCs w:val="20"/>
        </w:rPr>
        <w:t>Available at:</w:t>
      </w:r>
      <w:r w:rsidR="00E94BA7" w:rsidRPr="00E94BA7">
        <w:t xml:space="preserve"> </w:t>
      </w:r>
      <w:hyperlink r:id="rId28" w:history="1">
        <w:r w:rsidR="00E94BA7" w:rsidRPr="004E1199">
          <w:rPr>
            <w:rStyle w:val="Hyperlink"/>
            <w:rFonts w:ascii="Times New Roman" w:hAnsi="Times New Roman"/>
            <w:sz w:val="20"/>
            <w:szCs w:val="20"/>
          </w:rPr>
          <w:t>https://database.ich.org/sites/default/files/Q5C%20Guideline.pdf</w:t>
        </w:r>
      </w:hyperlink>
      <w:r w:rsidR="00E94BA7">
        <w:rPr>
          <w:rFonts w:ascii="Times New Roman" w:hAnsi="Times New Roman"/>
          <w:sz w:val="20"/>
          <w:szCs w:val="20"/>
        </w:rPr>
        <w:t>.</w:t>
      </w:r>
      <w:r w:rsidR="00E94BA7" w:rsidRPr="00A875AA">
        <w:rPr>
          <w:rFonts w:ascii="Times New Roman" w:hAnsi="Times New Roman"/>
          <w:sz w:val="20"/>
          <w:szCs w:val="20"/>
        </w:rPr>
        <w:t xml:space="preserve"> </w:t>
      </w:r>
      <w:r w:rsidR="00A875AA" w:rsidRPr="00A875AA">
        <w:rPr>
          <w:rFonts w:ascii="Times New Roman" w:hAnsi="Times New Roman"/>
          <w:sz w:val="20"/>
          <w:szCs w:val="20"/>
        </w:rPr>
        <w:t>(</w:t>
      </w:r>
      <w:r w:rsidRPr="007B7A73">
        <w:rPr>
          <w:rFonts w:ascii="Times New Roman" w:hAnsi="Times New Roman"/>
          <w:sz w:val="20"/>
          <w:szCs w:val="20"/>
        </w:rPr>
        <w:t xml:space="preserve">Accessed: </w:t>
      </w:r>
      <w:r w:rsidR="00F72BE0">
        <w:rPr>
          <w:rFonts w:ascii="Times New Roman" w:hAnsi="Times New Roman"/>
          <w:sz w:val="20"/>
          <w:szCs w:val="20"/>
        </w:rPr>
        <w:t>30</w:t>
      </w:r>
      <w:r w:rsidRPr="007B7A73">
        <w:rPr>
          <w:rFonts w:ascii="Times New Roman" w:hAnsi="Times New Roman"/>
          <w:sz w:val="20"/>
          <w:szCs w:val="20"/>
        </w:rPr>
        <w:t>.03.2025).</w:t>
      </w:r>
    </w:p>
    <w:p w14:paraId="205069F9" w14:textId="77777777" w:rsidR="009568BF" w:rsidRDefault="009568BF" w:rsidP="004F634B">
      <w:pPr>
        <w:spacing w:after="0" w:line="240" w:lineRule="auto"/>
        <w:rPr>
          <w:rFonts w:ascii="Times New Roman" w:hAnsi="Times New Roman"/>
          <w:sz w:val="20"/>
          <w:szCs w:val="20"/>
        </w:rPr>
      </w:pPr>
    </w:p>
    <w:p w14:paraId="7CAC966A" w14:textId="75FA7802" w:rsidR="009568BF" w:rsidRPr="007B7A73" w:rsidRDefault="009568BF" w:rsidP="009568BF">
      <w:pPr>
        <w:spacing w:after="0" w:line="240" w:lineRule="auto"/>
        <w:rPr>
          <w:rFonts w:ascii="Times New Roman" w:hAnsi="Times New Roman"/>
          <w:sz w:val="20"/>
          <w:szCs w:val="20"/>
        </w:rPr>
      </w:pPr>
      <w:r w:rsidRPr="007B7A73">
        <w:rPr>
          <w:rFonts w:ascii="Times New Roman" w:hAnsi="Times New Roman"/>
          <w:sz w:val="20"/>
          <w:szCs w:val="20"/>
        </w:rPr>
        <w:t>International Conference on Harmonisation of Technical Requirements for Registration of Pharmaceuticals for Human Use (ICH). (</w:t>
      </w:r>
      <w:r w:rsidR="0012584B">
        <w:rPr>
          <w:rFonts w:ascii="Times New Roman" w:hAnsi="Times New Roman"/>
          <w:sz w:val="20"/>
          <w:szCs w:val="20"/>
        </w:rPr>
        <w:t>1999</w:t>
      </w:r>
      <w:r w:rsidRPr="007B7A73">
        <w:rPr>
          <w:rFonts w:ascii="Times New Roman" w:hAnsi="Times New Roman"/>
          <w:sz w:val="20"/>
          <w:szCs w:val="20"/>
        </w:rPr>
        <w:t xml:space="preserve">) </w:t>
      </w:r>
      <w:r w:rsidRPr="007B7A73">
        <w:rPr>
          <w:rFonts w:ascii="Times New Roman" w:hAnsi="Times New Roman"/>
          <w:i/>
          <w:iCs/>
          <w:sz w:val="20"/>
          <w:szCs w:val="20"/>
        </w:rPr>
        <w:t>ICH Harmonised Tripartite Guideline:</w:t>
      </w:r>
      <w:r w:rsidR="00AB102F" w:rsidRPr="00AB102F">
        <w:t xml:space="preserve"> </w:t>
      </w:r>
      <w:r w:rsidR="00AB102F" w:rsidRPr="00AB102F">
        <w:rPr>
          <w:rFonts w:ascii="Times New Roman" w:hAnsi="Times New Roman"/>
          <w:i/>
          <w:iCs/>
          <w:sz w:val="20"/>
          <w:szCs w:val="20"/>
        </w:rPr>
        <w:t>Specifications: Test Procedures and Acceptance Criteria for Biotechnological/Biological Products</w:t>
      </w:r>
      <w:r w:rsidRPr="007B7A73">
        <w:rPr>
          <w:rFonts w:ascii="Times New Roman" w:hAnsi="Times New Roman"/>
          <w:i/>
          <w:iCs/>
          <w:sz w:val="20"/>
          <w:szCs w:val="20"/>
        </w:rPr>
        <w:t xml:space="preserve"> </w:t>
      </w:r>
      <w:r w:rsidR="00932D91" w:rsidRPr="00932D91">
        <w:rPr>
          <w:rFonts w:ascii="Times New Roman" w:hAnsi="Times New Roman"/>
          <w:i/>
          <w:iCs/>
          <w:sz w:val="20"/>
          <w:szCs w:val="20"/>
        </w:rPr>
        <w:t xml:space="preserve">Q6B </w:t>
      </w:r>
      <w:r w:rsidRPr="007B7A73">
        <w:rPr>
          <w:rFonts w:ascii="Times New Roman" w:hAnsi="Times New Roman"/>
          <w:sz w:val="20"/>
          <w:szCs w:val="20"/>
        </w:rPr>
        <w:t>Available at</w:t>
      </w:r>
      <w:r w:rsidR="00E94BA7">
        <w:rPr>
          <w:rFonts w:ascii="Times New Roman" w:hAnsi="Times New Roman"/>
          <w:sz w:val="20"/>
          <w:szCs w:val="20"/>
        </w:rPr>
        <w:t xml:space="preserve">: </w:t>
      </w:r>
      <w:hyperlink r:id="rId29" w:history="1">
        <w:r w:rsidR="00535F4B" w:rsidRPr="004E1199">
          <w:rPr>
            <w:rStyle w:val="Hyperlink"/>
            <w:rFonts w:ascii="Times New Roman" w:hAnsi="Times New Roman"/>
            <w:sz w:val="20"/>
            <w:szCs w:val="20"/>
          </w:rPr>
          <w:t>https://database.ich.org/sites/default/files/Q6B%20Guideline.pdf</w:t>
        </w:r>
      </w:hyperlink>
      <w:r w:rsidR="00535F4B">
        <w:rPr>
          <w:rFonts w:ascii="Times New Roman" w:hAnsi="Times New Roman"/>
          <w:sz w:val="20"/>
          <w:szCs w:val="20"/>
        </w:rPr>
        <w:t>.</w:t>
      </w:r>
      <w:r w:rsidR="00FA0D7E">
        <w:rPr>
          <w:rFonts w:ascii="Times New Roman" w:hAnsi="Times New Roman"/>
          <w:sz w:val="20"/>
          <w:szCs w:val="20"/>
        </w:rPr>
        <w:t xml:space="preserve"> </w:t>
      </w:r>
      <w:r w:rsidRPr="007B7A73">
        <w:rPr>
          <w:rFonts w:ascii="Times New Roman" w:hAnsi="Times New Roman"/>
          <w:sz w:val="20"/>
          <w:szCs w:val="20"/>
        </w:rPr>
        <w:t xml:space="preserve">(Accessed: </w:t>
      </w:r>
      <w:r w:rsidR="007E3D24">
        <w:rPr>
          <w:rFonts w:ascii="Times New Roman" w:hAnsi="Times New Roman"/>
          <w:sz w:val="20"/>
          <w:szCs w:val="20"/>
        </w:rPr>
        <w:t>30</w:t>
      </w:r>
      <w:r w:rsidRPr="007B7A73">
        <w:rPr>
          <w:rFonts w:ascii="Times New Roman" w:hAnsi="Times New Roman"/>
          <w:sz w:val="20"/>
          <w:szCs w:val="20"/>
        </w:rPr>
        <w:t>.03.2025).</w:t>
      </w:r>
    </w:p>
    <w:p w14:paraId="7C780A5D" w14:textId="77777777" w:rsidR="009568BF" w:rsidRPr="007B7A73" w:rsidRDefault="009568BF" w:rsidP="004F634B">
      <w:pPr>
        <w:spacing w:after="0" w:line="240" w:lineRule="auto"/>
        <w:rPr>
          <w:rFonts w:ascii="Times New Roman" w:hAnsi="Times New Roman"/>
          <w:sz w:val="20"/>
          <w:szCs w:val="20"/>
        </w:rPr>
      </w:pPr>
    </w:p>
    <w:p w14:paraId="18E68E3F" w14:textId="12B724C7" w:rsidR="007828B7" w:rsidRPr="007B7A73" w:rsidRDefault="007828B7" w:rsidP="004F634B">
      <w:pPr>
        <w:spacing w:after="0" w:line="240" w:lineRule="auto"/>
        <w:rPr>
          <w:rFonts w:ascii="Times New Roman" w:hAnsi="Times New Roman"/>
          <w:sz w:val="20"/>
          <w:szCs w:val="20"/>
        </w:rPr>
      </w:pPr>
      <w:r w:rsidRPr="007B7A73">
        <w:rPr>
          <w:rFonts w:ascii="Times New Roman" w:hAnsi="Times New Roman"/>
          <w:sz w:val="20"/>
          <w:szCs w:val="20"/>
        </w:rPr>
        <w:t xml:space="preserve">International Conference on Harmonisation of Technical Requirements for Registration of Pharmaceuticals for Human Use (ICH). (2023) </w:t>
      </w:r>
      <w:r w:rsidRPr="007B7A73">
        <w:rPr>
          <w:rFonts w:ascii="Times New Roman" w:hAnsi="Times New Roman"/>
          <w:i/>
          <w:iCs/>
          <w:sz w:val="20"/>
          <w:szCs w:val="20"/>
        </w:rPr>
        <w:t>ICH Harmonised Tripartite Guideline: Quality Risk Management Q9(R1)</w:t>
      </w:r>
      <w:r w:rsidRPr="007B7A73">
        <w:rPr>
          <w:rFonts w:ascii="Times New Roman" w:hAnsi="Times New Roman"/>
          <w:sz w:val="20"/>
          <w:szCs w:val="20"/>
        </w:rPr>
        <w:t xml:space="preserve">Available </w:t>
      </w:r>
      <w:r w:rsidRPr="007B7A73">
        <w:rPr>
          <w:rFonts w:ascii="Times New Roman" w:hAnsi="Times New Roman"/>
          <w:sz w:val="20"/>
          <w:szCs w:val="20"/>
        </w:rPr>
        <w:lastRenderedPageBreak/>
        <w:t xml:space="preserve">at: </w:t>
      </w:r>
      <w:hyperlink r:id="rId30" w:history="1">
        <w:r w:rsidRPr="007B7A73">
          <w:rPr>
            <w:rStyle w:val="Hyperlink"/>
            <w:rFonts w:ascii="Times New Roman" w:hAnsi="Times New Roman"/>
            <w:sz w:val="20"/>
            <w:szCs w:val="20"/>
          </w:rPr>
          <w:t>https://database.ich.org/sites/default/files/ICH_Q9%28R1%29_Guideline_Step4_2025_0115.pdf</w:t>
        </w:r>
      </w:hyperlink>
      <w:r w:rsidRPr="007B7A73">
        <w:rPr>
          <w:rFonts w:ascii="Times New Roman" w:hAnsi="Times New Roman"/>
          <w:sz w:val="20"/>
          <w:szCs w:val="20"/>
        </w:rPr>
        <w:t>.</w:t>
      </w:r>
      <w:r w:rsidR="00A875AA">
        <w:rPr>
          <w:rFonts w:ascii="Times New Roman" w:hAnsi="Times New Roman"/>
          <w:sz w:val="20"/>
          <w:szCs w:val="20"/>
        </w:rPr>
        <w:t xml:space="preserve"> </w:t>
      </w:r>
      <w:r w:rsidRPr="007B7A73">
        <w:rPr>
          <w:rFonts w:ascii="Times New Roman" w:hAnsi="Times New Roman"/>
          <w:sz w:val="20"/>
          <w:szCs w:val="20"/>
        </w:rPr>
        <w:t>(Accessed: 0</w:t>
      </w:r>
      <w:r w:rsidR="004F634B" w:rsidRPr="007B7A73">
        <w:rPr>
          <w:rFonts w:ascii="Times New Roman" w:hAnsi="Times New Roman"/>
          <w:sz w:val="20"/>
          <w:szCs w:val="20"/>
        </w:rPr>
        <w:t>8</w:t>
      </w:r>
      <w:r w:rsidRPr="007B7A73">
        <w:rPr>
          <w:rFonts w:ascii="Times New Roman" w:hAnsi="Times New Roman"/>
          <w:sz w:val="20"/>
          <w:szCs w:val="20"/>
        </w:rPr>
        <w:t>.03.2025).</w:t>
      </w:r>
    </w:p>
    <w:p w14:paraId="21287BA6" w14:textId="77777777" w:rsidR="002D2E74" w:rsidRPr="007B7A73" w:rsidRDefault="002D2E74" w:rsidP="004F634B">
      <w:pPr>
        <w:spacing w:after="0" w:line="240" w:lineRule="auto"/>
        <w:rPr>
          <w:rFonts w:ascii="Times New Roman" w:hAnsi="Times New Roman"/>
          <w:sz w:val="20"/>
          <w:szCs w:val="20"/>
        </w:rPr>
      </w:pPr>
    </w:p>
    <w:p w14:paraId="50B9DBB7" w14:textId="74AFF79C" w:rsidR="001C7B5B" w:rsidRPr="007B7A73" w:rsidRDefault="001C7B5B" w:rsidP="004F634B">
      <w:pPr>
        <w:spacing w:after="0" w:line="240" w:lineRule="auto"/>
        <w:rPr>
          <w:rFonts w:ascii="Times New Roman" w:hAnsi="Times New Roman"/>
          <w:sz w:val="20"/>
          <w:szCs w:val="20"/>
        </w:rPr>
      </w:pPr>
      <w:r w:rsidRPr="007B7A73">
        <w:rPr>
          <w:rFonts w:ascii="Times New Roman" w:hAnsi="Times New Roman"/>
          <w:sz w:val="20"/>
          <w:szCs w:val="20"/>
        </w:rPr>
        <w:t xml:space="preserve">International Conference on Harmonisation of Technical Requirements for Registration of Pharmaceuticals for Human Use (ICH). (2012) </w:t>
      </w:r>
      <w:r w:rsidRPr="007B7A73">
        <w:rPr>
          <w:rFonts w:ascii="Times New Roman" w:hAnsi="Times New Roman"/>
          <w:i/>
          <w:iCs/>
          <w:sz w:val="20"/>
          <w:szCs w:val="20"/>
        </w:rPr>
        <w:t>ICH Harmonised Tripartite Guideline: Development and Manufacture of Drug Substances (Chemical Entities and Biotechnological/Biological Entities) Q11</w:t>
      </w:r>
      <w:r w:rsidRPr="007B7A73">
        <w:rPr>
          <w:rFonts w:ascii="Times New Roman" w:hAnsi="Times New Roman"/>
          <w:sz w:val="20"/>
          <w:szCs w:val="20"/>
        </w:rPr>
        <w:t xml:space="preserve">. Available at: </w:t>
      </w:r>
      <w:hyperlink r:id="rId31" w:history="1">
        <w:r w:rsidRPr="007B7A73">
          <w:rPr>
            <w:rStyle w:val="Hyperlink"/>
            <w:rFonts w:ascii="Times New Roman" w:hAnsi="Times New Roman"/>
            <w:sz w:val="20"/>
            <w:szCs w:val="20"/>
          </w:rPr>
          <w:t>https://database.ich.org/sites/default/files/Q11%20Guideline.pdf</w:t>
        </w:r>
      </w:hyperlink>
      <w:r w:rsidRPr="007B7A73">
        <w:rPr>
          <w:rFonts w:ascii="Times New Roman" w:hAnsi="Times New Roman"/>
          <w:sz w:val="20"/>
          <w:szCs w:val="20"/>
        </w:rPr>
        <w:t>. (Accessed: 08.0</w:t>
      </w:r>
      <w:r w:rsidR="004F634B" w:rsidRPr="007B7A73">
        <w:rPr>
          <w:rFonts w:ascii="Times New Roman" w:hAnsi="Times New Roman"/>
          <w:sz w:val="20"/>
          <w:szCs w:val="20"/>
        </w:rPr>
        <w:t>3</w:t>
      </w:r>
      <w:r w:rsidRPr="007B7A73">
        <w:rPr>
          <w:rFonts w:ascii="Times New Roman" w:hAnsi="Times New Roman"/>
          <w:sz w:val="20"/>
          <w:szCs w:val="20"/>
        </w:rPr>
        <w:t>.2025).</w:t>
      </w:r>
    </w:p>
    <w:p w14:paraId="7479D44E" w14:textId="77777777" w:rsidR="00AD2686" w:rsidRPr="007B7A73" w:rsidRDefault="00AD2686" w:rsidP="004F634B">
      <w:pPr>
        <w:spacing w:after="0" w:line="240" w:lineRule="auto"/>
        <w:rPr>
          <w:rFonts w:ascii="Times New Roman" w:hAnsi="Times New Roman"/>
          <w:sz w:val="20"/>
          <w:szCs w:val="20"/>
        </w:rPr>
      </w:pPr>
    </w:p>
    <w:p w14:paraId="2B908479" w14:textId="31564148" w:rsidR="00AD2686" w:rsidRDefault="00AD2686" w:rsidP="004F634B">
      <w:pPr>
        <w:spacing w:after="0" w:line="240" w:lineRule="auto"/>
        <w:rPr>
          <w:rFonts w:ascii="Times New Roman" w:hAnsi="Times New Roman"/>
          <w:sz w:val="20"/>
          <w:szCs w:val="20"/>
        </w:rPr>
      </w:pPr>
      <w:r w:rsidRPr="007B7A73">
        <w:rPr>
          <w:rFonts w:ascii="Times New Roman" w:hAnsi="Times New Roman"/>
          <w:sz w:val="20"/>
          <w:szCs w:val="20"/>
        </w:rPr>
        <w:t xml:space="preserve">Kadoi, K., Toba, J., Uehara, A., Isoda, N., Sakoda, Y. and Iwamoto, E. (2025). Enhanced </w:t>
      </w:r>
      <w:proofErr w:type="spellStart"/>
      <w:r w:rsidRPr="007B7A73">
        <w:rPr>
          <w:rFonts w:ascii="Times New Roman" w:hAnsi="Times New Roman"/>
          <w:sz w:val="20"/>
          <w:szCs w:val="20"/>
        </w:rPr>
        <w:t>sulfate</w:t>
      </w:r>
      <w:proofErr w:type="spellEnd"/>
      <w:r w:rsidRPr="007B7A73">
        <w:rPr>
          <w:rFonts w:ascii="Times New Roman" w:hAnsi="Times New Roman"/>
          <w:sz w:val="20"/>
          <w:szCs w:val="20"/>
        </w:rPr>
        <w:t xml:space="preserve"> pseudo-affinity chromatography using monolith-like particle architecture for purifying SARS-CoV-2. </w:t>
      </w:r>
      <w:r w:rsidRPr="007B7A73">
        <w:rPr>
          <w:rFonts w:ascii="Times New Roman" w:hAnsi="Times New Roman"/>
          <w:i/>
          <w:iCs/>
          <w:sz w:val="20"/>
          <w:szCs w:val="20"/>
        </w:rPr>
        <w:t>Vaccine</w:t>
      </w:r>
      <w:r w:rsidRPr="007B7A73">
        <w:rPr>
          <w:rFonts w:ascii="Times New Roman" w:hAnsi="Times New Roman"/>
          <w:sz w:val="20"/>
          <w:szCs w:val="20"/>
        </w:rPr>
        <w:t xml:space="preserve">, 53, </w:t>
      </w:r>
    </w:p>
    <w:p w14:paraId="3B301443" w14:textId="77777777" w:rsidR="002D4EAD" w:rsidRDefault="002D4EAD" w:rsidP="004F634B">
      <w:pPr>
        <w:spacing w:after="0" w:line="240" w:lineRule="auto"/>
        <w:rPr>
          <w:rFonts w:ascii="Times New Roman" w:hAnsi="Times New Roman"/>
          <w:sz w:val="20"/>
          <w:szCs w:val="20"/>
        </w:rPr>
      </w:pPr>
    </w:p>
    <w:p w14:paraId="3BDFDCF6" w14:textId="06F4589E" w:rsidR="002D4EAD" w:rsidRPr="007B7A73" w:rsidRDefault="002D4EAD" w:rsidP="004F634B">
      <w:pPr>
        <w:spacing w:after="0" w:line="240" w:lineRule="auto"/>
        <w:rPr>
          <w:rFonts w:ascii="Times New Roman" w:hAnsi="Times New Roman"/>
          <w:sz w:val="20"/>
          <w:szCs w:val="20"/>
        </w:rPr>
      </w:pPr>
      <w:r w:rsidRPr="002D4EAD">
        <w:rPr>
          <w:rFonts w:ascii="Times New Roman" w:hAnsi="Times New Roman"/>
          <w:sz w:val="20"/>
          <w:szCs w:val="20"/>
        </w:rPr>
        <w:t>Lee, H.G., Kang, S. and Lee, J.S. (2021). Binding characteristics of staphylococcal protein A and streptococcal protein G for fragment crystallizable portion of human immunoglobulin G. Computational and Structural</w:t>
      </w:r>
      <w:r w:rsidR="00BD0542">
        <w:rPr>
          <w:rFonts w:ascii="Times New Roman" w:hAnsi="Times New Roman"/>
          <w:sz w:val="20"/>
          <w:szCs w:val="20"/>
        </w:rPr>
        <w:t xml:space="preserve">. </w:t>
      </w:r>
      <w:r w:rsidRPr="00BD0542">
        <w:rPr>
          <w:rFonts w:ascii="Times New Roman" w:hAnsi="Times New Roman"/>
          <w:i/>
          <w:iCs/>
          <w:sz w:val="20"/>
          <w:szCs w:val="20"/>
        </w:rPr>
        <w:t>Biotechnology Journal</w:t>
      </w:r>
      <w:r w:rsidRPr="002D4EAD">
        <w:rPr>
          <w:rFonts w:ascii="Times New Roman" w:hAnsi="Times New Roman"/>
          <w:sz w:val="20"/>
          <w:szCs w:val="20"/>
        </w:rPr>
        <w:t>, 19, pp.3372–3383</w:t>
      </w:r>
      <w:r>
        <w:rPr>
          <w:rFonts w:ascii="Times New Roman" w:hAnsi="Times New Roman"/>
          <w:sz w:val="20"/>
          <w:szCs w:val="20"/>
        </w:rPr>
        <w:t>.</w:t>
      </w:r>
    </w:p>
    <w:p w14:paraId="5B8F4C64" w14:textId="77777777" w:rsidR="004F634B" w:rsidRPr="007B7A73" w:rsidRDefault="004F634B" w:rsidP="004F634B">
      <w:pPr>
        <w:spacing w:after="0" w:line="240" w:lineRule="auto"/>
        <w:rPr>
          <w:rFonts w:ascii="Times New Roman" w:hAnsi="Times New Roman"/>
          <w:sz w:val="20"/>
          <w:szCs w:val="20"/>
        </w:rPr>
      </w:pPr>
    </w:p>
    <w:p w14:paraId="1ECA057B" w14:textId="23727099" w:rsidR="004B3FD6" w:rsidRPr="007B7A73" w:rsidRDefault="005A5CC5" w:rsidP="004F634B">
      <w:pPr>
        <w:spacing w:after="0" w:line="240" w:lineRule="auto"/>
        <w:rPr>
          <w:rFonts w:ascii="Times New Roman" w:hAnsi="Times New Roman"/>
          <w:sz w:val="20"/>
          <w:szCs w:val="20"/>
        </w:rPr>
      </w:pPr>
      <w:r w:rsidRPr="007B7A73">
        <w:rPr>
          <w:rFonts w:ascii="Times New Roman" w:hAnsi="Times New Roman"/>
          <w:sz w:val="20"/>
          <w:szCs w:val="20"/>
        </w:rPr>
        <w:t xml:space="preserve">Leibiger, T.M., Min, L. and Lee, K.H. (2024) ‘Quantitative proteomic analysis of residual host cell protein retention across adeno-associated virus affinity chromatography’, </w:t>
      </w:r>
      <w:r w:rsidRPr="007B7A73">
        <w:rPr>
          <w:rFonts w:ascii="Times New Roman" w:hAnsi="Times New Roman"/>
          <w:i/>
          <w:iCs/>
          <w:sz w:val="20"/>
          <w:szCs w:val="20"/>
        </w:rPr>
        <w:t>Molecular Therapy: Methods &amp; Clinical Development</w:t>
      </w:r>
      <w:r w:rsidRPr="007B7A73">
        <w:rPr>
          <w:rFonts w:ascii="Times New Roman" w:hAnsi="Times New Roman"/>
          <w:sz w:val="20"/>
          <w:szCs w:val="20"/>
        </w:rPr>
        <w:t xml:space="preserve">, 32, p. 101235. </w:t>
      </w:r>
    </w:p>
    <w:p w14:paraId="22483FEF" w14:textId="77777777" w:rsidR="004F634B" w:rsidRPr="007B7A73" w:rsidRDefault="004F634B" w:rsidP="004F634B">
      <w:pPr>
        <w:spacing w:after="0" w:line="240" w:lineRule="auto"/>
        <w:rPr>
          <w:rFonts w:ascii="Times New Roman" w:hAnsi="Times New Roman"/>
          <w:sz w:val="20"/>
          <w:szCs w:val="20"/>
        </w:rPr>
      </w:pPr>
    </w:p>
    <w:p w14:paraId="494677F1" w14:textId="48C97A2F" w:rsidR="00EF31D3" w:rsidRPr="007B7A73" w:rsidRDefault="00EF31D3" w:rsidP="004F634B">
      <w:pPr>
        <w:spacing w:after="0" w:line="240" w:lineRule="auto"/>
        <w:rPr>
          <w:rFonts w:ascii="Times New Roman" w:hAnsi="Times New Roman"/>
          <w:sz w:val="20"/>
          <w:szCs w:val="20"/>
        </w:rPr>
      </w:pPr>
      <w:r w:rsidRPr="007B7A73">
        <w:rPr>
          <w:rFonts w:ascii="Times New Roman" w:hAnsi="Times New Roman"/>
          <w:sz w:val="20"/>
          <w:szCs w:val="20"/>
        </w:rPr>
        <w:t xml:space="preserve">Narges Lali, </w:t>
      </w:r>
      <w:proofErr w:type="spellStart"/>
      <w:r w:rsidRPr="007B7A73">
        <w:rPr>
          <w:rFonts w:ascii="Times New Roman" w:hAnsi="Times New Roman"/>
          <w:sz w:val="20"/>
          <w:szCs w:val="20"/>
        </w:rPr>
        <w:t>Satzer</w:t>
      </w:r>
      <w:proofErr w:type="spellEnd"/>
      <w:r w:rsidRPr="007B7A73">
        <w:rPr>
          <w:rFonts w:ascii="Times New Roman" w:hAnsi="Times New Roman"/>
          <w:sz w:val="20"/>
          <w:szCs w:val="20"/>
        </w:rPr>
        <w:t xml:space="preserve">, P. and Jungbauer, A. (2022). Residence time distribution in counter-current protein </w:t>
      </w:r>
      <w:proofErr w:type="spellStart"/>
      <w:r w:rsidRPr="007B7A73">
        <w:rPr>
          <w:rFonts w:ascii="Times New Roman" w:hAnsi="Times New Roman"/>
          <w:sz w:val="20"/>
          <w:szCs w:val="20"/>
        </w:rPr>
        <w:t>A</w:t>
      </w:r>
      <w:proofErr w:type="spellEnd"/>
      <w:r w:rsidRPr="007B7A73">
        <w:rPr>
          <w:rFonts w:ascii="Times New Roman" w:hAnsi="Times New Roman"/>
          <w:sz w:val="20"/>
          <w:szCs w:val="20"/>
        </w:rPr>
        <w:t xml:space="preserve"> affinity chromatography using an inert tracer. </w:t>
      </w:r>
      <w:r w:rsidRPr="007B7A73">
        <w:rPr>
          <w:rFonts w:ascii="Times New Roman" w:hAnsi="Times New Roman"/>
          <w:i/>
          <w:iCs/>
          <w:sz w:val="20"/>
          <w:szCs w:val="20"/>
        </w:rPr>
        <w:t>Journal of Chromatography A</w:t>
      </w:r>
      <w:r w:rsidRPr="007B7A73">
        <w:rPr>
          <w:rFonts w:ascii="Times New Roman" w:hAnsi="Times New Roman"/>
          <w:sz w:val="20"/>
          <w:szCs w:val="20"/>
        </w:rPr>
        <w:t xml:space="preserve">, 1683, pp.463530–463530. </w:t>
      </w:r>
    </w:p>
    <w:p w14:paraId="71296B89" w14:textId="77777777" w:rsidR="00E23881" w:rsidRDefault="00E23881" w:rsidP="004F634B">
      <w:pPr>
        <w:spacing w:after="0" w:line="240" w:lineRule="auto"/>
        <w:rPr>
          <w:rFonts w:ascii="Times New Roman" w:hAnsi="Times New Roman"/>
          <w:sz w:val="20"/>
          <w:szCs w:val="20"/>
        </w:rPr>
      </w:pPr>
    </w:p>
    <w:p w14:paraId="6F143D5B" w14:textId="0C8FA087" w:rsidR="004B4771" w:rsidRDefault="004B4771" w:rsidP="004F634B">
      <w:pPr>
        <w:spacing w:after="0" w:line="240" w:lineRule="auto"/>
        <w:rPr>
          <w:rFonts w:ascii="Times New Roman" w:hAnsi="Times New Roman"/>
          <w:sz w:val="20"/>
          <w:szCs w:val="20"/>
        </w:rPr>
      </w:pPr>
      <w:r w:rsidRPr="004B4771">
        <w:rPr>
          <w:rFonts w:ascii="Times New Roman" w:hAnsi="Times New Roman"/>
          <w:sz w:val="20"/>
          <w:szCs w:val="20"/>
        </w:rPr>
        <w:t xml:space="preserve">Neuromics.com. (2023). Protein Affinity Chromatography. [online] Available at: </w:t>
      </w:r>
      <w:hyperlink r:id="rId32" w:history="1">
        <w:r w:rsidRPr="00C06701">
          <w:rPr>
            <w:rStyle w:val="Hyperlink"/>
            <w:rFonts w:ascii="Times New Roman" w:hAnsi="Times New Roman"/>
            <w:sz w:val="20"/>
            <w:szCs w:val="20"/>
          </w:rPr>
          <w:t>https://www.neuromics.com/protein-affinity-chromatography</w:t>
        </w:r>
      </w:hyperlink>
      <w:r>
        <w:rPr>
          <w:rFonts w:ascii="Times New Roman" w:hAnsi="Times New Roman"/>
          <w:sz w:val="20"/>
          <w:szCs w:val="20"/>
        </w:rPr>
        <w:t xml:space="preserve">. </w:t>
      </w:r>
      <w:r w:rsidRPr="007B7A73">
        <w:rPr>
          <w:rFonts w:ascii="Times New Roman" w:hAnsi="Times New Roman"/>
          <w:sz w:val="20"/>
          <w:szCs w:val="20"/>
        </w:rPr>
        <w:t>(Accessed: 0</w:t>
      </w:r>
      <w:r w:rsidR="007B14D4">
        <w:rPr>
          <w:rFonts w:ascii="Times New Roman" w:hAnsi="Times New Roman"/>
          <w:sz w:val="20"/>
          <w:szCs w:val="20"/>
        </w:rPr>
        <w:t>5</w:t>
      </w:r>
      <w:r w:rsidRPr="007B7A73">
        <w:rPr>
          <w:rFonts w:ascii="Times New Roman" w:hAnsi="Times New Roman"/>
          <w:sz w:val="20"/>
          <w:szCs w:val="20"/>
        </w:rPr>
        <w:t>.0</w:t>
      </w:r>
      <w:r w:rsidR="007B14D4">
        <w:rPr>
          <w:rFonts w:ascii="Times New Roman" w:hAnsi="Times New Roman"/>
          <w:sz w:val="20"/>
          <w:szCs w:val="20"/>
        </w:rPr>
        <w:t>4</w:t>
      </w:r>
      <w:r w:rsidRPr="007B7A73">
        <w:rPr>
          <w:rFonts w:ascii="Times New Roman" w:hAnsi="Times New Roman"/>
          <w:sz w:val="20"/>
          <w:szCs w:val="20"/>
        </w:rPr>
        <w:t>.2025).</w:t>
      </w:r>
    </w:p>
    <w:p w14:paraId="13B7AE85" w14:textId="77777777" w:rsidR="004B4771" w:rsidRPr="007B7A73" w:rsidRDefault="004B4771" w:rsidP="004F634B">
      <w:pPr>
        <w:spacing w:after="0" w:line="240" w:lineRule="auto"/>
        <w:rPr>
          <w:rFonts w:ascii="Times New Roman" w:hAnsi="Times New Roman"/>
          <w:sz w:val="20"/>
          <w:szCs w:val="20"/>
        </w:rPr>
      </w:pPr>
    </w:p>
    <w:p w14:paraId="2E8D22A4" w14:textId="51C4C70C" w:rsidR="00E23881" w:rsidRPr="007B7A73" w:rsidRDefault="00E23881" w:rsidP="004F634B">
      <w:pPr>
        <w:spacing w:after="0" w:line="240" w:lineRule="auto"/>
        <w:rPr>
          <w:rFonts w:ascii="Times New Roman" w:hAnsi="Times New Roman"/>
          <w:sz w:val="20"/>
          <w:szCs w:val="20"/>
        </w:rPr>
      </w:pPr>
      <w:r w:rsidRPr="007B7A73">
        <w:rPr>
          <w:rFonts w:ascii="Times New Roman" w:hAnsi="Times New Roman"/>
          <w:sz w:val="20"/>
          <w:szCs w:val="20"/>
        </w:rPr>
        <w:t xml:space="preserve">Prabhala, S.V. and Wood, D.W. (2024). Scalable dual column cation exchange affinity </w:t>
      </w:r>
      <w:r w:rsidR="001179BF" w:rsidRPr="007B7A73">
        <w:rPr>
          <w:rFonts w:ascii="Times New Roman" w:hAnsi="Times New Roman"/>
          <w:sz w:val="20"/>
          <w:szCs w:val="20"/>
        </w:rPr>
        <w:t>chromatography-based</w:t>
      </w:r>
      <w:r w:rsidRPr="007B7A73">
        <w:rPr>
          <w:rFonts w:ascii="Times New Roman" w:hAnsi="Times New Roman"/>
          <w:sz w:val="20"/>
          <w:szCs w:val="20"/>
        </w:rPr>
        <w:t xml:space="preserve"> platform process for recombinant protein purification. </w:t>
      </w:r>
      <w:r w:rsidRPr="007B7A73">
        <w:rPr>
          <w:rFonts w:ascii="Times New Roman" w:hAnsi="Times New Roman"/>
          <w:i/>
          <w:iCs/>
          <w:sz w:val="20"/>
          <w:szCs w:val="20"/>
        </w:rPr>
        <w:t>Protein Expression and Purification</w:t>
      </w:r>
      <w:r w:rsidRPr="007B7A73">
        <w:rPr>
          <w:rFonts w:ascii="Times New Roman" w:hAnsi="Times New Roman"/>
          <w:sz w:val="20"/>
          <w:szCs w:val="20"/>
        </w:rPr>
        <w:t xml:space="preserve">, 217, p.106442. </w:t>
      </w:r>
    </w:p>
    <w:p w14:paraId="1A665B47" w14:textId="77777777" w:rsidR="004F634B" w:rsidRDefault="004F634B" w:rsidP="004F634B">
      <w:pPr>
        <w:spacing w:after="0" w:line="240" w:lineRule="auto"/>
        <w:rPr>
          <w:rFonts w:ascii="Times New Roman" w:hAnsi="Times New Roman"/>
          <w:sz w:val="20"/>
          <w:szCs w:val="20"/>
        </w:rPr>
      </w:pPr>
    </w:p>
    <w:p w14:paraId="6E5996C7" w14:textId="607B8493" w:rsidR="001C3230" w:rsidRDefault="001C3230" w:rsidP="004F634B">
      <w:pPr>
        <w:spacing w:after="0" w:line="240" w:lineRule="auto"/>
        <w:rPr>
          <w:rFonts w:ascii="Times New Roman" w:hAnsi="Times New Roman"/>
          <w:sz w:val="20"/>
          <w:szCs w:val="20"/>
        </w:rPr>
      </w:pPr>
      <w:r w:rsidRPr="001C3230">
        <w:rPr>
          <w:rFonts w:ascii="Times New Roman" w:hAnsi="Times New Roman"/>
          <w:sz w:val="20"/>
          <w:szCs w:val="20"/>
        </w:rPr>
        <w:t>Ptglab.com. (2024). </w:t>
      </w:r>
      <w:r w:rsidRPr="001C3230">
        <w:rPr>
          <w:rFonts w:ascii="Times New Roman" w:hAnsi="Times New Roman"/>
          <w:i/>
          <w:iCs/>
          <w:sz w:val="20"/>
          <w:szCs w:val="20"/>
        </w:rPr>
        <w:t>What is a Nanobody?</w:t>
      </w:r>
      <w:r w:rsidRPr="001C3230">
        <w:rPr>
          <w:rFonts w:ascii="Times New Roman" w:hAnsi="Times New Roman"/>
          <w:sz w:val="20"/>
          <w:szCs w:val="20"/>
        </w:rPr>
        <w:t xml:space="preserve"> [online] Available at: </w:t>
      </w:r>
      <w:hyperlink r:id="rId33" w:history="1">
        <w:r w:rsidRPr="00C06701">
          <w:rPr>
            <w:rStyle w:val="Hyperlink"/>
            <w:rFonts w:ascii="Times New Roman" w:hAnsi="Times New Roman"/>
            <w:sz w:val="20"/>
            <w:szCs w:val="20"/>
          </w:rPr>
          <w:t>https://www.ptglab.com/news/blog/what-is-a-nanobody/</w:t>
        </w:r>
      </w:hyperlink>
      <w:r w:rsidRPr="001C3230">
        <w:rPr>
          <w:rFonts w:ascii="Times New Roman" w:hAnsi="Times New Roman"/>
          <w:sz w:val="20"/>
          <w:szCs w:val="20"/>
        </w:rPr>
        <w:t>.</w:t>
      </w:r>
      <w:r>
        <w:rPr>
          <w:rFonts w:ascii="Times New Roman" w:hAnsi="Times New Roman"/>
          <w:sz w:val="20"/>
          <w:szCs w:val="20"/>
        </w:rPr>
        <w:t xml:space="preserve"> </w:t>
      </w:r>
      <w:r w:rsidRPr="007B7A73">
        <w:rPr>
          <w:rFonts w:ascii="Times New Roman" w:hAnsi="Times New Roman"/>
          <w:sz w:val="20"/>
          <w:szCs w:val="20"/>
        </w:rPr>
        <w:t>(Accessed: 0</w:t>
      </w:r>
      <w:r>
        <w:rPr>
          <w:rFonts w:ascii="Times New Roman" w:hAnsi="Times New Roman"/>
          <w:sz w:val="20"/>
          <w:szCs w:val="20"/>
        </w:rPr>
        <w:t>5</w:t>
      </w:r>
      <w:r w:rsidRPr="007B7A73">
        <w:rPr>
          <w:rFonts w:ascii="Times New Roman" w:hAnsi="Times New Roman"/>
          <w:sz w:val="20"/>
          <w:szCs w:val="20"/>
        </w:rPr>
        <w:t>.0</w:t>
      </w:r>
      <w:r>
        <w:rPr>
          <w:rFonts w:ascii="Times New Roman" w:hAnsi="Times New Roman"/>
          <w:sz w:val="20"/>
          <w:szCs w:val="20"/>
        </w:rPr>
        <w:t>4</w:t>
      </w:r>
      <w:r w:rsidRPr="007B7A73">
        <w:rPr>
          <w:rFonts w:ascii="Times New Roman" w:hAnsi="Times New Roman"/>
          <w:sz w:val="20"/>
          <w:szCs w:val="20"/>
        </w:rPr>
        <w:t>.2025).</w:t>
      </w:r>
    </w:p>
    <w:p w14:paraId="028DDC53" w14:textId="77777777" w:rsidR="001C3230" w:rsidRPr="007B7A73" w:rsidRDefault="001C3230" w:rsidP="004F634B">
      <w:pPr>
        <w:spacing w:after="0" w:line="240" w:lineRule="auto"/>
        <w:rPr>
          <w:rFonts w:ascii="Times New Roman" w:hAnsi="Times New Roman"/>
          <w:sz w:val="20"/>
          <w:szCs w:val="20"/>
        </w:rPr>
      </w:pPr>
    </w:p>
    <w:p w14:paraId="35DB14EC" w14:textId="5EE579B6" w:rsidR="00AD2686" w:rsidRDefault="001D19D3" w:rsidP="004F634B">
      <w:pPr>
        <w:spacing w:after="0" w:line="240" w:lineRule="auto"/>
        <w:rPr>
          <w:rFonts w:ascii="Times New Roman" w:hAnsi="Times New Roman"/>
          <w:sz w:val="20"/>
          <w:szCs w:val="20"/>
        </w:rPr>
      </w:pPr>
      <w:r w:rsidRPr="007B7A73">
        <w:rPr>
          <w:rFonts w:ascii="Times New Roman" w:hAnsi="Times New Roman"/>
          <w:sz w:val="20"/>
          <w:szCs w:val="20"/>
        </w:rPr>
        <w:t xml:space="preserve">Qu, Y., </w:t>
      </w:r>
      <w:proofErr w:type="spellStart"/>
      <w:r w:rsidRPr="007B7A73">
        <w:rPr>
          <w:rFonts w:ascii="Times New Roman" w:hAnsi="Times New Roman"/>
          <w:sz w:val="20"/>
          <w:szCs w:val="20"/>
        </w:rPr>
        <w:t>Bekard</w:t>
      </w:r>
      <w:proofErr w:type="spellEnd"/>
      <w:r w:rsidRPr="007B7A73">
        <w:rPr>
          <w:rFonts w:ascii="Times New Roman" w:hAnsi="Times New Roman"/>
          <w:sz w:val="20"/>
          <w:szCs w:val="20"/>
        </w:rPr>
        <w:t xml:space="preserve">, I., Hunt, B., Black, J., Fabri, L., Gras, S.L. and Kentish, </w:t>
      </w:r>
      <w:proofErr w:type="spellStart"/>
      <w:r w:rsidRPr="007B7A73">
        <w:rPr>
          <w:rFonts w:ascii="Times New Roman" w:hAnsi="Times New Roman"/>
          <w:sz w:val="20"/>
          <w:szCs w:val="20"/>
        </w:rPr>
        <w:t>Sandra.E</w:t>
      </w:r>
      <w:proofErr w:type="spellEnd"/>
      <w:r w:rsidRPr="007B7A73">
        <w:rPr>
          <w:rFonts w:ascii="Times New Roman" w:hAnsi="Times New Roman"/>
          <w:sz w:val="20"/>
          <w:szCs w:val="20"/>
        </w:rPr>
        <w:t xml:space="preserve">. (2024). Economic optimization of antibody </w:t>
      </w:r>
      <w:proofErr w:type="gramStart"/>
      <w:r w:rsidRPr="007B7A73">
        <w:rPr>
          <w:rFonts w:ascii="Times New Roman" w:hAnsi="Times New Roman"/>
          <w:sz w:val="20"/>
          <w:szCs w:val="20"/>
        </w:rPr>
        <w:t>capture</w:t>
      </w:r>
      <w:proofErr w:type="gramEnd"/>
      <w:r w:rsidRPr="007B7A73">
        <w:rPr>
          <w:rFonts w:ascii="Times New Roman" w:hAnsi="Times New Roman"/>
          <w:sz w:val="20"/>
          <w:szCs w:val="20"/>
        </w:rPr>
        <w:t xml:space="preserve"> through Protein </w:t>
      </w:r>
      <w:proofErr w:type="spellStart"/>
      <w:r w:rsidRPr="007B7A73">
        <w:rPr>
          <w:rFonts w:ascii="Times New Roman" w:hAnsi="Times New Roman"/>
          <w:sz w:val="20"/>
          <w:szCs w:val="20"/>
        </w:rPr>
        <w:t>A</w:t>
      </w:r>
      <w:proofErr w:type="spellEnd"/>
      <w:r w:rsidRPr="007B7A73">
        <w:rPr>
          <w:rFonts w:ascii="Times New Roman" w:hAnsi="Times New Roman"/>
          <w:sz w:val="20"/>
          <w:szCs w:val="20"/>
        </w:rPr>
        <w:t xml:space="preserve"> affinity nanofiber chromatography. </w:t>
      </w:r>
      <w:r w:rsidRPr="007B7A73">
        <w:rPr>
          <w:rFonts w:ascii="Times New Roman" w:hAnsi="Times New Roman"/>
          <w:i/>
          <w:iCs/>
          <w:sz w:val="20"/>
          <w:szCs w:val="20"/>
        </w:rPr>
        <w:t>Biochemical Engineering Journal</w:t>
      </w:r>
      <w:r w:rsidRPr="007B7A73">
        <w:rPr>
          <w:rFonts w:ascii="Times New Roman" w:hAnsi="Times New Roman"/>
          <w:sz w:val="20"/>
          <w:szCs w:val="20"/>
        </w:rPr>
        <w:t xml:space="preserve">, 201, p.109141. </w:t>
      </w:r>
    </w:p>
    <w:p w14:paraId="66C03AC3" w14:textId="77777777" w:rsidR="00737E4C" w:rsidRDefault="00737E4C" w:rsidP="004F634B">
      <w:pPr>
        <w:spacing w:after="0" w:line="240" w:lineRule="auto"/>
        <w:rPr>
          <w:rFonts w:ascii="Times New Roman" w:hAnsi="Times New Roman"/>
          <w:sz w:val="20"/>
          <w:szCs w:val="20"/>
        </w:rPr>
      </w:pPr>
    </w:p>
    <w:p w14:paraId="1A0848C7" w14:textId="0E62F864" w:rsidR="00737E4C" w:rsidRPr="007B7A73" w:rsidRDefault="00737E4C" w:rsidP="004F634B">
      <w:pPr>
        <w:spacing w:after="0" w:line="240" w:lineRule="auto"/>
        <w:rPr>
          <w:rFonts w:ascii="Times New Roman" w:hAnsi="Times New Roman"/>
          <w:sz w:val="20"/>
          <w:szCs w:val="20"/>
        </w:rPr>
      </w:pPr>
      <w:r w:rsidRPr="00737E4C">
        <w:rPr>
          <w:rFonts w:ascii="Times New Roman" w:hAnsi="Times New Roman"/>
          <w:sz w:val="20"/>
          <w:szCs w:val="20"/>
        </w:rPr>
        <w:t xml:space="preserve">Raja, A., Abhishek </w:t>
      </w:r>
      <w:proofErr w:type="spellStart"/>
      <w:r w:rsidRPr="00737E4C">
        <w:rPr>
          <w:rFonts w:ascii="Times New Roman" w:hAnsi="Times New Roman"/>
          <w:sz w:val="20"/>
          <w:szCs w:val="20"/>
        </w:rPr>
        <w:t>Kasana</w:t>
      </w:r>
      <w:proofErr w:type="spellEnd"/>
      <w:r w:rsidRPr="00737E4C">
        <w:rPr>
          <w:rFonts w:ascii="Times New Roman" w:hAnsi="Times New Roman"/>
          <w:sz w:val="20"/>
          <w:szCs w:val="20"/>
        </w:rPr>
        <w:t xml:space="preserve"> and Verma, V. (2024). Next-Generation Therapeutic Antibodies for Cancer Treatment: Advancements, Applications, and Challenges. </w:t>
      </w:r>
      <w:r w:rsidRPr="00737E4C">
        <w:rPr>
          <w:rFonts w:ascii="Times New Roman" w:hAnsi="Times New Roman"/>
          <w:i/>
          <w:iCs/>
          <w:sz w:val="20"/>
          <w:szCs w:val="20"/>
        </w:rPr>
        <w:t>Molecular Biotechnology</w:t>
      </w:r>
      <w:r w:rsidRPr="00737E4C">
        <w:rPr>
          <w:rFonts w:ascii="Times New Roman" w:hAnsi="Times New Roman"/>
          <w:sz w:val="20"/>
          <w:szCs w:val="20"/>
        </w:rPr>
        <w:t xml:space="preserve">. </w:t>
      </w:r>
    </w:p>
    <w:p w14:paraId="244C853C" w14:textId="77777777" w:rsidR="004F634B" w:rsidRPr="007B7A73" w:rsidRDefault="004F634B" w:rsidP="004F634B">
      <w:pPr>
        <w:spacing w:after="0" w:line="240" w:lineRule="auto"/>
        <w:rPr>
          <w:rFonts w:ascii="Times New Roman" w:hAnsi="Times New Roman"/>
          <w:sz w:val="20"/>
          <w:szCs w:val="20"/>
        </w:rPr>
      </w:pPr>
    </w:p>
    <w:p w14:paraId="0710E021" w14:textId="64FF9542" w:rsidR="00B81C50" w:rsidRPr="007B7A73" w:rsidRDefault="00B81C50" w:rsidP="004F634B">
      <w:pPr>
        <w:spacing w:after="0" w:line="240" w:lineRule="auto"/>
        <w:rPr>
          <w:rFonts w:ascii="Times New Roman" w:hAnsi="Times New Roman"/>
          <w:sz w:val="20"/>
          <w:szCs w:val="20"/>
        </w:rPr>
      </w:pPr>
      <w:r w:rsidRPr="007B7A73">
        <w:rPr>
          <w:rFonts w:ascii="Times New Roman" w:hAnsi="Times New Roman"/>
          <w:sz w:val="20"/>
          <w:szCs w:val="20"/>
        </w:rPr>
        <w:t>Ransdell, A.S., Reed, M., Herrington, J., Cain, P. and Kelly, R.M. (2023). Creation of a versatile automated two-step purification system with increased throughput capacity for preclinical mAb material generation. </w:t>
      </w:r>
      <w:r w:rsidRPr="007B7A73">
        <w:rPr>
          <w:rFonts w:ascii="Times New Roman" w:hAnsi="Times New Roman"/>
          <w:i/>
          <w:iCs/>
          <w:sz w:val="20"/>
          <w:szCs w:val="20"/>
        </w:rPr>
        <w:t>Protein Expression and Purification</w:t>
      </w:r>
      <w:r w:rsidRPr="007B7A73">
        <w:rPr>
          <w:rFonts w:ascii="Times New Roman" w:hAnsi="Times New Roman"/>
          <w:sz w:val="20"/>
          <w:szCs w:val="20"/>
        </w:rPr>
        <w:t>, 207, p.106269.</w:t>
      </w:r>
    </w:p>
    <w:p w14:paraId="7FE11347" w14:textId="77777777" w:rsidR="004F634B" w:rsidRPr="007B7A73" w:rsidRDefault="004F634B" w:rsidP="004F634B">
      <w:pPr>
        <w:spacing w:after="0" w:line="240" w:lineRule="auto"/>
        <w:rPr>
          <w:rFonts w:ascii="Times New Roman" w:hAnsi="Times New Roman"/>
          <w:sz w:val="20"/>
          <w:szCs w:val="20"/>
        </w:rPr>
      </w:pPr>
    </w:p>
    <w:p w14:paraId="30BE7E46" w14:textId="76D1853F" w:rsidR="00AD2686" w:rsidRPr="007B7A73" w:rsidRDefault="00AD2686" w:rsidP="004F634B">
      <w:pPr>
        <w:spacing w:after="0" w:line="240" w:lineRule="auto"/>
        <w:rPr>
          <w:rFonts w:ascii="Times New Roman" w:hAnsi="Times New Roman"/>
          <w:sz w:val="20"/>
          <w:szCs w:val="20"/>
        </w:rPr>
      </w:pPr>
      <w:r w:rsidRPr="007B7A73">
        <w:rPr>
          <w:rFonts w:ascii="Times New Roman" w:hAnsi="Times New Roman"/>
          <w:sz w:val="20"/>
          <w:szCs w:val="20"/>
        </w:rPr>
        <w:t>Rezvani, K. and Aspelund, M.T. (2024). Impact of photo-oxidation on long term storage of affinity chromatography media used in multi-specific antibody manufacturing processes. </w:t>
      </w:r>
      <w:r w:rsidRPr="007B7A73">
        <w:rPr>
          <w:rFonts w:ascii="Times New Roman" w:hAnsi="Times New Roman"/>
          <w:i/>
          <w:iCs/>
          <w:sz w:val="20"/>
          <w:szCs w:val="20"/>
        </w:rPr>
        <w:t>Journal of Chromatography A</w:t>
      </w:r>
      <w:r w:rsidRPr="007B7A73">
        <w:rPr>
          <w:rFonts w:ascii="Times New Roman" w:hAnsi="Times New Roman"/>
          <w:sz w:val="20"/>
          <w:szCs w:val="20"/>
        </w:rPr>
        <w:t>, 1732, p.465247.</w:t>
      </w:r>
    </w:p>
    <w:p w14:paraId="57962375" w14:textId="77777777" w:rsidR="00AD2686" w:rsidRPr="007B7A73" w:rsidRDefault="00AD2686" w:rsidP="004F634B">
      <w:pPr>
        <w:spacing w:after="0" w:line="240" w:lineRule="auto"/>
        <w:rPr>
          <w:rFonts w:ascii="Times New Roman" w:hAnsi="Times New Roman"/>
          <w:sz w:val="20"/>
          <w:szCs w:val="20"/>
        </w:rPr>
      </w:pPr>
    </w:p>
    <w:p w14:paraId="243E40BB" w14:textId="5EF1C6F5" w:rsidR="004B3FD6" w:rsidRPr="007B7A73" w:rsidRDefault="004B3FD6" w:rsidP="004F634B">
      <w:pPr>
        <w:spacing w:after="0" w:line="240" w:lineRule="auto"/>
        <w:rPr>
          <w:rFonts w:ascii="Times New Roman" w:hAnsi="Times New Roman"/>
          <w:sz w:val="20"/>
          <w:szCs w:val="20"/>
        </w:rPr>
      </w:pPr>
      <w:r w:rsidRPr="007B7A73">
        <w:rPr>
          <w:rFonts w:ascii="Times New Roman" w:hAnsi="Times New Roman"/>
          <w:sz w:val="20"/>
          <w:szCs w:val="20"/>
        </w:rPr>
        <w:t xml:space="preserve">Sachio, S., Blaž </w:t>
      </w:r>
      <w:proofErr w:type="spellStart"/>
      <w:r w:rsidRPr="007B7A73">
        <w:rPr>
          <w:rFonts w:ascii="Times New Roman" w:hAnsi="Times New Roman"/>
          <w:sz w:val="20"/>
          <w:szCs w:val="20"/>
        </w:rPr>
        <w:t>Likozar</w:t>
      </w:r>
      <w:proofErr w:type="spellEnd"/>
      <w:r w:rsidRPr="007B7A73">
        <w:rPr>
          <w:rFonts w:ascii="Times New Roman" w:hAnsi="Times New Roman"/>
          <w:sz w:val="20"/>
          <w:szCs w:val="20"/>
        </w:rPr>
        <w:t xml:space="preserve">, </w:t>
      </w:r>
      <w:proofErr w:type="spellStart"/>
      <w:r w:rsidRPr="007B7A73">
        <w:rPr>
          <w:rFonts w:ascii="Times New Roman" w:hAnsi="Times New Roman"/>
          <w:sz w:val="20"/>
          <w:szCs w:val="20"/>
        </w:rPr>
        <w:t>Kontoravdi</w:t>
      </w:r>
      <w:proofErr w:type="spellEnd"/>
      <w:r w:rsidRPr="007B7A73">
        <w:rPr>
          <w:rFonts w:ascii="Times New Roman" w:hAnsi="Times New Roman"/>
          <w:sz w:val="20"/>
          <w:szCs w:val="20"/>
        </w:rPr>
        <w:t xml:space="preserve">, C. and Papathanasiou, M.M. (2024). Computer-aided design space identification for screening of protein </w:t>
      </w:r>
      <w:proofErr w:type="spellStart"/>
      <w:r w:rsidRPr="007B7A73">
        <w:rPr>
          <w:rFonts w:ascii="Times New Roman" w:hAnsi="Times New Roman"/>
          <w:sz w:val="20"/>
          <w:szCs w:val="20"/>
        </w:rPr>
        <w:t>A</w:t>
      </w:r>
      <w:proofErr w:type="spellEnd"/>
      <w:r w:rsidRPr="007B7A73">
        <w:rPr>
          <w:rFonts w:ascii="Times New Roman" w:hAnsi="Times New Roman"/>
          <w:sz w:val="20"/>
          <w:szCs w:val="20"/>
        </w:rPr>
        <w:t xml:space="preserve"> affinity chromatography resins. </w:t>
      </w:r>
      <w:r w:rsidRPr="007B7A73">
        <w:rPr>
          <w:rFonts w:ascii="Times New Roman" w:hAnsi="Times New Roman"/>
          <w:i/>
          <w:iCs/>
          <w:sz w:val="20"/>
          <w:szCs w:val="20"/>
        </w:rPr>
        <w:t>Journal of chromatography A/Journal of chromatography</w:t>
      </w:r>
      <w:r w:rsidRPr="007B7A73">
        <w:rPr>
          <w:rFonts w:ascii="Times New Roman" w:hAnsi="Times New Roman"/>
          <w:sz w:val="20"/>
          <w:szCs w:val="20"/>
        </w:rPr>
        <w:t xml:space="preserve">, 1722, pp.464890–464890. </w:t>
      </w:r>
    </w:p>
    <w:p w14:paraId="1FFACED4" w14:textId="77777777" w:rsidR="004F634B" w:rsidRDefault="004F634B" w:rsidP="004F634B">
      <w:pPr>
        <w:spacing w:after="0" w:line="240" w:lineRule="auto"/>
        <w:rPr>
          <w:rFonts w:ascii="Times New Roman" w:hAnsi="Times New Roman"/>
          <w:sz w:val="20"/>
          <w:szCs w:val="20"/>
        </w:rPr>
      </w:pPr>
    </w:p>
    <w:p w14:paraId="082988C5" w14:textId="5CEFAFA3" w:rsidR="001179BF" w:rsidRDefault="001179BF" w:rsidP="004F634B">
      <w:pPr>
        <w:spacing w:after="0" w:line="240" w:lineRule="auto"/>
        <w:rPr>
          <w:rFonts w:ascii="Times New Roman" w:hAnsi="Times New Roman"/>
          <w:sz w:val="20"/>
          <w:szCs w:val="20"/>
        </w:rPr>
      </w:pPr>
      <w:r w:rsidRPr="001179BF">
        <w:rPr>
          <w:rFonts w:ascii="Times New Roman" w:hAnsi="Times New Roman"/>
          <w:sz w:val="20"/>
          <w:szCs w:val="20"/>
        </w:rPr>
        <w:t xml:space="preserve">SinoBiological (n.d.). Protein Purification by Affinity Chromatography | Sino Biological. [online] www.sinobiological.com. Available at: </w:t>
      </w:r>
      <w:hyperlink r:id="rId34" w:history="1">
        <w:r w:rsidRPr="00C06701">
          <w:rPr>
            <w:rStyle w:val="Hyperlink"/>
            <w:rFonts w:ascii="Times New Roman" w:hAnsi="Times New Roman"/>
            <w:sz w:val="20"/>
            <w:szCs w:val="20"/>
          </w:rPr>
          <w:t>https://www.sinobiological.com/resource/protein-review/protein-purification-by-ac</w:t>
        </w:r>
      </w:hyperlink>
      <w:r w:rsidRPr="001179BF">
        <w:rPr>
          <w:rFonts w:ascii="Times New Roman" w:hAnsi="Times New Roman"/>
          <w:sz w:val="20"/>
          <w:szCs w:val="20"/>
        </w:rPr>
        <w:t>.</w:t>
      </w:r>
      <w:r>
        <w:rPr>
          <w:rFonts w:ascii="Times New Roman" w:hAnsi="Times New Roman"/>
          <w:sz w:val="20"/>
          <w:szCs w:val="20"/>
        </w:rPr>
        <w:t xml:space="preserve"> </w:t>
      </w:r>
      <w:r w:rsidRPr="007B7A73">
        <w:rPr>
          <w:rFonts w:ascii="Times New Roman" w:hAnsi="Times New Roman"/>
          <w:sz w:val="20"/>
          <w:szCs w:val="20"/>
        </w:rPr>
        <w:t>(Accessed: 0</w:t>
      </w:r>
      <w:r>
        <w:rPr>
          <w:rFonts w:ascii="Times New Roman" w:hAnsi="Times New Roman"/>
          <w:sz w:val="20"/>
          <w:szCs w:val="20"/>
        </w:rPr>
        <w:t>5</w:t>
      </w:r>
      <w:r w:rsidRPr="007B7A73">
        <w:rPr>
          <w:rFonts w:ascii="Times New Roman" w:hAnsi="Times New Roman"/>
          <w:sz w:val="20"/>
          <w:szCs w:val="20"/>
        </w:rPr>
        <w:t>.0</w:t>
      </w:r>
      <w:r>
        <w:rPr>
          <w:rFonts w:ascii="Times New Roman" w:hAnsi="Times New Roman"/>
          <w:sz w:val="20"/>
          <w:szCs w:val="20"/>
        </w:rPr>
        <w:t>4</w:t>
      </w:r>
      <w:r w:rsidRPr="007B7A73">
        <w:rPr>
          <w:rFonts w:ascii="Times New Roman" w:hAnsi="Times New Roman"/>
          <w:sz w:val="20"/>
          <w:szCs w:val="20"/>
        </w:rPr>
        <w:t>.2025).</w:t>
      </w:r>
    </w:p>
    <w:p w14:paraId="4977224E" w14:textId="77777777" w:rsidR="001179BF" w:rsidRPr="007B7A73" w:rsidRDefault="001179BF" w:rsidP="004F634B">
      <w:pPr>
        <w:spacing w:after="0" w:line="240" w:lineRule="auto"/>
        <w:rPr>
          <w:rFonts w:ascii="Times New Roman" w:hAnsi="Times New Roman"/>
          <w:sz w:val="20"/>
          <w:szCs w:val="20"/>
        </w:rPr>
      </w:pPr>
    </w:p>
    <w:p w14:paraId="063A6991" w14:textId="73DD5B60" w:rsidR="004B3FD6" w:rsidRPr="007B7A73" w:rsidRDefault="001358B8" w:rsidP="004F634B">
      <w:pPr>
        <w:spacing w:after="0" w:line="240" w:lineRule="auto"/>
        <w:rPr>
          <w:rFonts w:ascii="Times New Roman" w:hAnsi="Times New Roman"/>
          <w:sz w:val="20"/>
          <w:szCs w:val="20"/>
        </w:rPr>
      </w:pPr>
      <w:r w:rsidRPr="007B7A73">
        <w:rPr>
          <w:rFonts w:ascii="Times New Roman" w:hAnsi="Times New Roman"/>
          <w:sz w:val="20"/>
          <w:szCs w:val="20"/>
        </w:rPr>
        <w:t>Stern, D., Dettmann, P., Dorner, B.G. and Hans Werner Mages (2024). Protein G affinity chromatography is an underrated but very potent purification method for a broad range of species-independent and tag-less Fab-fragments. </w:t>
      </w:r>
      <w:r w:rsidRPr="007B7A73">
        <w:rPr>
          <w:rFonts w:ascii="Times New Roman" w:hAnsi="Times New Roman"/>
          <w:i/>
          <w:iCs/>
          <w:sz w:val="20"/>
          <w:szCs w:val="20"/>
        </w:rPr>
        <w:t>Journal of immunological methods</w:t>
      </w:r>
      <w:r w:rsidRPr="007B7A73">
        <w:rPr>
          <w:rFonts w:ascii="Times New Roman" w:hAnsi="Times New Roman"/>
          <w:sz w:val="20"/>
          <w:szCs w:val="20"/>
        </w:rPr>
        <w:t xml:space="preserve">, 529, pp.113669–113669. </w:t>
      </w:r>
    </w:p>
    <w:p w14:paraId="3ED70006" w14:textId="77777777" w:rsidR="004745AA" w:rsidRPr="007B7A73" w:rsidRDefault="004745AA" w:rsidP="004F634B">
      <w:pPr>
        <w:spacing w:after="0" w:line="240" w:lineRule="auto"/>
        <w:rPr>
          <w:rFonts w:ascii="Times New Roman" w:hAnsi="Times New Roman"/>
          <w:sz w:val="20"/>
          <w:szCs w:val="20"/>
        </w:rPr>
      </w:pPr>
    </w:p>
    <w:p w14:paraId="0AEE1668" w14:textId="4FF7D6AD" w:rsidR="004745AA" w:rsidRPr="007B7A73" w:rsidRDefault="004745AA" w:rsidP="004F634B">
      <w:pPr>
        <w:spacing w:after="0" w:line="240" w:lineRule="auto"/>
        <w:rPr>
          <w:rFonts w:ascii="Times New Roman" w:hAnsi="Times New Roman"/>
          <w:sz w:val="20"/>
          <w:szCs w:val="20"/>
        </w:rPr>
      </w:pPr>
      <w:r w:rsidRPr="007B7A73">
        <w:rPr>
          <w:rFonts w:ascii="Times New Roman" w:hAnsi="Times New Roman"/>
          <w:sz w:val="20"/>
          <w:szCs w:val="20"/>
        </w:rPr>
        <w:lastRenderedPageBreak/>
        <w:t>Tallvod, S., Espinoza, D., Joaquín Gomis-Fons, Andersson, N. and Nilsson, B. (2023). Automated quality analysis in continuous downstream processes for small-scale applications. </w:t>
      </w:r>
      <w:r w:rsidRPr="007B7A73">
        <w:rPr>
          <w:rFonts w:ascii="Times New Roman" w:hAnsi="Times New Roman"/>
          <w:i/>
          <w:iCs/>
          <w:sz w:val="20"/>
          <w:szCs w:val="20"/>
        </w:rPr>
        <w:t>Journal of Chromatography A</w:t>
      </w:r>
      <w:r w:rsidRPr="007B7A73">
        <w:rPr>
          <w:rFonts w:ascii="Times New Roman" w:hAnsi="Times New Roman"/>
          <w:sz w:val="20"/>
          <w:szCs w:val="20"/>
        </w:rPr>
        <w:t>, 1702, pp.464085–464085.</w:t>
      </w:r>
    </w:p>
    <w:p w14:paraId="4EDB5926" w14:textId="77777777" w:rsidR="004F634B" w:rsidRDefault="004F634B" w:rsidP="004F634B">
      <w:pPr>
        <w:spacing w:after="0" w:line="240" w:lineRule="auto"/>
        <w:rPr>
          <w:rFonts w:ascii="Times New Roman" w:hAnsi="Times New Roman"/>
          <w:sz w:val="20"/>
          <w:szCs w:val="20"/>
        </w:rPr>
      </w:pPr>
    </w:p>
    <w:p w14:paraId="3F906E8D" w14:textId="356581EE" w:rsidR="00F2585B" w:rsidRDefault="00F2585B" w:rsidP="004F634B">
      <w:pPr>
        <w:spacing w:after="0" w:line="240" w:lineRule="auto"/>
        <w:rPr>
          <w:rFonts w:ascii="Times New Roman" w:hAnsi="Times New Roman"/>
          <w:sz w:val="20"/>
          <w:szCs w:val="20"/>
        </w:rPr>
      </w:pPr>
      <w:r w:rsidRPr="00F2585B">
        <w:rPr>
          <w:rFonts w:ascii="Times New Roman" w:hAnsi="Times New Roman"/>
          <w:sz w:val="20"/>
          <w:szCs w:val="20"/>
        </w:rPr>
        <w:t xml:space="preserve">Tischler, D. (2022). What is upstream and downstream processing? [online] Susupport.com. Available at: https://www.susupport.com/knowledge/manufacturing-processes/bioprocessing/what-upstream-downstream-processing. </w:t>
      </w:r>
      <w:r w:rsidRPr="007B7A73">
        <w:rPr>
          <w:rFonts w:ascii="Times New Roman" w:hAnsi="Times New Roman"/>
          <w:sz w:val="20"/>
          <w:szCs w:val="20"/>
        </w:rPr>
        <w:t xml:space="preserve">(Accessed: </w:t>
      </w:r>
      <w:r w:rsidR="00D57A03">
        <w:rPr>
          <w:rFonts w:ascii="Times New Roman" w:hAnsi="Times New Roman"/>
          <w:sz w:val="20"/>
          <w:szCs w:val="20"/>
        </w:rPr>
        <w:t>03</w:t>
      </w:r>
      <w:r w:rsidRPr="007B7A73">
        <w:rPr>
          <w:rFonts w:ascii="Times New Roman" w:hAnsi="Times New Roman"/>
          <w:sz w:val="20"/>
          <w:szCs w:val="20"/>
        </w:rPr>
        <w:t>.0</w:t>
      </w:r>
      <w:r w:rsidR="00D57A03">
        <w:rPr>
          <w:rFonts w:ascii="Times New Roman" w:hAnsi="Times New Roman"/>
          <w:sz w:val="20"/>
          <w:szCs w:val="20"/>
        </w:rPr>
        <w:t>4</w:t>
      </w:r>
      <w:r w:rsidRPr="007B7A73">
        <w:rPr>
          <w:rFonts w:ascii="Times New Roman" w:hAnsi="Times New Roman"/>
          <w:sz w:val="20"/>
          <w:szCs w:val="20"/>
        </w:rPr>
        <w:t>.2025).</w:t>
      </w:r>
    </w:p>
    <w:p w14:paraId="1CD2C9A9" w14:textId="77777777" w:rsidR="00F2585B" w:rsidRPr="007B7A73" w:rsidRDefault="00F2585B" w:rsidP="004F634B">
      <w:pPr>
        <w:spacing w:after="0" w:line="240" w:lineRule="auto"/>
        <w:rPr>
          <w:rFonts w:ascii="Times New Roman" w:hAnsi="Times New Roman"/>
          <w:sz w:val="20"/>
          <w:szCs w:val="20"/>
        </w:rPr>
      </w:pPr>
    </w:p>
    <w:p w14:paraId="6C4F1D5E" w14:textId="12A53455" w:rsidR="00B354B0" w:rsidRPr="007B7A73" w:rsidRDefault="00B354B0" w:rsidP="004F634B">
      <w:pPr>
        <w:spacing w:after="0" w:line="240" w:lineRule="auto"/>
        <w:rPr>
          <w:rFonts w:ascii="Times New Roman" w:hAnsi="Times New Roman"/>
          <w:sz w:val="20"/>
          <w:szCs w:val="20"/>
        </w:rPr>
      </w:pPr>
      <w:r w:rsidRPr="007B7A73">
        <w:rPr>
          <w:rFonts w:ascii="Times New Roman" w:hAnsi="Times New Roman"/>
          <w:sz w:val="20"/>
          <w:szCs w:val="20"/>
        </w:rPr>
        <w:t xml:space="preserve">Tran, T., Gustavsson, R., Martinsson, E., Bergqvist, F., Axen, A., Lundström, I., </w:t>
      </w:r>
      <w:proofErr w:type="spellStart"/>
      <w:r w:rsidRPr="007B7A73">
        <w:rPr>
          <w:rFonts w:ascii="Times New Roman" w:hAnsi="Times New Roman"/>
          <w:sz w:val="20"/>
          <w:szCs w:val="20"/>
        </w:rPr>
        <w:t>Mandenius</w:t>
      </w:r>
      <w:proofErr w:type="spellEnd"/>
      <w:r w:rsidRPr="007B7A73">
        <w:rPr>
          <w:rFonts w:ascii="Times New Roman" w:hAnsi="Times New Roman"/>
          <w:sz w:val="20"/>
          <w:szCs w:val="20"/>
        </w:rPr>
        <w:t xml:space="preserve">, C.-F. and Aili, D. (2024). In-line </w:t>
      </w:r>
      <w:proofErr w:type="spellStart"/>
      <w:r w:rsidRPr="007B7A73">
        <w:rPr>
          <w:rFonts w:ascii="Times New Roman" w:hAnsi="Times New Roman"/>
          <w:sz w:val="20"/>
          <w:szCs w:val="20"/>
        </w:rPr>
        <w:t>fiber</w:t>
      </w:r>
      <w:proofErr w:type="spellEnd"/>
      <w:r w:rsidRPr="007B7A73">
        <w:rPr>
          <w:rFonts w:ascii="Times New Roman" w:hAnsi="Times New Roman"/>
          <w:sz w:val="20"/>
          <w:szCs w:val="20"/>
        </w:rPr>
        <w:t xml:space="preserve"> optical sensor for detection of IgG aggregates in affinity chromatography. </w:t>
      </w:r>
      <w:r w:rsidRPr="007B7A73">
        <w:rPr>
          <w:rFonts w:ascii="Times New Roman" w:hAnsi="Times New Roman"/>
          <w:i/>
          <w:iCs/>
          <w:sz w:val="20"/>
          <w:szCs w:val="20"/>
        </w:rPr>
        <w:t>Journal of Chromatography A</w:t>
      </w:r>
      <w:r w:rsidRPr="007B7A73">
        <w:rPr>
          <w:rFonts w:ascii="Times New Roman" w:hAnsi="Times New Roman"/>
          <w:sz w:val="20"/>
          <w:szCs w:val="20"/>
        </w:rPr>
        <w:t xml:space="preserve">, 1730, p.465129. </w:t>
      </w:r>
    </w:p>
    <w:p w14:paraId="29D3BBF8" w14:textId="77777777" w:rsidR="004F634B" w:rsidRPr="007B7A73" w:rsidRDefault="004F634B" w:rsidP="004F634B">
      <w:pPr>
        <w:spacing w:after="0" w:line="240" w:lineRule="auto"/>
        <w:rPr>
          <w:rFonts w:ascii="Times New Roman" w:hAnsi="Times New Roman"/>
          <w:sz w:val="20"/>
          <w:szCs w:val="20"/>
        </w:rPr>
      </w:pPr>
    </w:p>
    <w:p w14:paraId="007D2DCC" w14:textId="217F33D1" w:rsidR="00166BD8" w:rsidRPr="007B7A73" w:rsidRDefault="00166BD8" w:rsidP="004F634B">
      <w:pPr>
        <w:spacing w:after="0" w:line="240" w:lineRule="auto"/>
        <w:rPr>
          <w:rFonts w:ascii="Times New Roman" w:hAnsi="Times New Roman"/>
          <w:sz w:val="20"/>
          <w:szCs w:val="20"/>
        </w:rPr>
      </w:pPr>
      <w:r w:rsidRPr="007B7A73">
        <w:rPr>
          <w:rFonts w:ascii="Times New Roman" w:hAnsi="Times New Roman"/>
          <w:sz w:val="20"/>
          <w:szCs w:val="20"/>
        </w:rPr>
        <w:t>Yang, Y.X. and Zhu, B.T. (2025). Further exploration of the quantitative distance-energy and contact number-energy relationships for predicting the binding affinity of protein-ligand complexes. </w:t>
      </w:r>
      <w:r w:rsidRPr="007B7A73">
        <w:rPr>
          <w:rFonts w:ascii="Times New Roman" w:hAnsi="Times New Roman"/>
          <w:i/>
          <w:iCs/>
          <w:sz w:val="20"/>
          <w:szCs w:val="20"/>
        </w:rPr>
        <w:t>Biophysical Journal</w:t>
      </w:r>
      <w:r w:rsidRPr="007B7A73">
        <w:rPr>
          <w:rFonts w:ascii="Times New Roman" w:hAnsi="Times New Roman"/>
          <w:sz w:val="20"/>
          <w:szCs w:val="20"/>
        </w:rPr>
        <w:t xml:space="preserve">, 124(7), pp.1166–1177. </w:t>
      </w:r>
    </w:p>
    <w:p w14:paraId="4A93E115" w14:textId="77777777" w:rsidR="004F634B" w:rsidRPr="007B7A73" w:rsidRDefault="004F634B" w:rsidP="004F634B">
      <w:pPr>
        <w:spacing w:after="0" w:line="240" w:lineRule="auto"/>
        <w:rPr>
          <w:rFonts w:ascii="Times New Roman" w:hAnsi="Times New Roman"/>
          <w:sz w:val="20"/>
          <w:szCs w:val="20"/>
        </w:rPr>
      </w:pPr>
    </w:p>
    <w:p w14:paraId="0F550153" w14:textId="278DBB01" w:rsidR="00FB0C4E" w:rsidRPr="007B7A73" w:rsidRDefault="00FB0C4E" w:rsidP="004F634B">
      <w:pPr>
        <w:spacing w:after="0" w:line="240" w:lineRule="auto"/>
        <w:rPr>
          <w:rFonts w:ascii="Times New Roman" w:hAnsi="Times New Roman"/>
          <w:sz w:val="20"/>
          <w:szCs w:val="20"/>
        </w:rPr>
      </w:pPr>
      <w:r w:rsidRPr="007B7A73">
        <w:rPr>
          <w:rFonts w:ascii="Times New Roman" w:hAnsi="Times New Roman"/>
          <w:sz w:val="20"/>
          <w:szCs w:val="20"/>
        </w:rPr>
        <w:t xml:space="preserve">Zimmermann, I., Eilts, F., Galler, A.-S., Bayer, J., Hober, S. and </w:t>
      </w:r>
      <w:proofErr w:type="spellStart"/>
      <w:r w:rsidRPr="007B7A73">
        <w:rPr>
          <w:rFonts w:ascii="Times New Roman" w:hAnsi="Times New Roman"/>
          <w:sz w:val="20"/>
          <w:szCs w:val="20"/>
        </w:rPr>
        <w:t>Berensmeier</w:t>
      </w:r>
      <w:proofErr w:type="spellEnd"/>
      <w:r w:rsidRPr="007B7A73">
        <w:rPr>
          <w:rFonts w:ascii="Times New Roman" w:hAnsi="Times New Roman"/>
          <w:sz w:val="20"/>
          <w:szCs w:val="20"/>
        </w:rPr>
        <w:t>, S. (2024). Immobilizing calcium-dependent affinity ligand onto iron oxide nanoparticles for mild magnetic mAb separation. </w:t>
      </w:r>
      <w:r w:rsidRPr="007B7A73">
        <w:rPr>
          <w:rFonts w:ascii="Times New Roman" w:hAnsi="Times New Roman"/>
          <w:i/>
          <w:iCs/>
          <w:sz w:val="20"/>
          <w:szCs w:val="20"/>
        </w:rPr>
        <w:t>Biotechnology Reports</w:t>
      </w:r>
      <w:r w:rsidRPr="007B7A73">
        <w:rPr>
          <w:rFonts w:ascii="Times New Roman" w:hAnsi="Times New Roman"/>
          <w:sz w:val="20"/>
          <w:szCs w:val="20"/>
        </w:rPr>
        <w:t>, 45, p.e00864.</w:t>
      </w:r>
    </w:p>
    <w:p w14:paraId="0FD195D9" w14:textId="77777777" w:rsidR="004F634B" w:rsidRPr="007B7A73" w:rsidRDefault="004F634B" w:rsidP="004F634B">
      <w:pPr>
        <w:spacing w:after="0" w:line="240" w:lineRule="auto"/>
        <w:rPr>
          <w:rFonts w:ascii="Times New Roman" w:hAnsi="Times New Roman"/>
          <w:sz w:val="20"/>
          <w:szCs w:val="20"/>
        </w:rPr>
      </w:pPr>
    </w:p>
    <w:p w14:paraId="5EBA3631" w14:textId="7FE11824" w:rsidR="0030232B" w:rsidRPr="007B7A73" w:rsidRDefault="00211CEA" w:rsidP="004F634B">
      <w:pPr>
        <w:spacing w:after="0" w:line="240" w:lineRule="auto"/>
        <w:rPr>
          <w:rFonts w:ascii="Times New Roman" w:hAnsi="Times New Roman"/>
          <w:sz w:val="20"/>
          <w:szCs w:val="20"/>
        </w:rPr>
      </w:pPr>
      <w:r w:rsidRPr="007B7A73">
        <w:rPr>
          <w:rFonts w:ascii="Times New Roman" w:hAnsi="Times New Roman"/>
          <w:sz w:val="20"/>
          <w:szCs w:val="20"/>
        </w:rPr>
        <w:t xml:space="preserve">Zollner, A.M., Leticia Guzman Ruiz, Mayer, V., Stohl, S., Jakob, L.A., Lingg, N., </w:t>
      </w:r>
      <w:proofErr w:type="spellStart"/>
      <w:r w:rsidRPr="007B7A73">
        <w:rPr>
          <w:rFonts w:ascii="Times New Roman" w:hAnsi="Times New Roman"/>
          <w:sz w:val="20"/>
          <w:szCs w:val="20"/>
        </w:rPr>
        <w:t>Klausberger</w:t>
      </w:r>
      <w:proofErr w:type="spellEnd"/>
      <w:r w:rsidRPr="007B7A73">
        <w:rPr>
          <w:rFonts w:ascii="Times New Roman" w:hAnsi="Times New Roman"/>
          <w:sz w:val="20"/>
          <w:szCs w:val="20"/>
        </w:rPr>
        <w:t>, M., Jungbauer, A. and Patricia Pereira Aguilar (2024). Heparin-affinity chromatography is a generic purification platform for chimeric gag VLPs displaying different viral surface antigens. </w:t>
      </w:r>
      <w:r w:rsidRPr="007B7A73">
        <w:rPr>
          <w:rFonts w:ascii="Times New Roman" w:hAnsi="Times New Roman"/>
          <w:i/>
          <w:iCs/>
          <w:sz w:val="20"/>
          <w:szCs w:val="20"/>
        </w:rPr>
        <w:t>Separation and purification technology</w:t>
      </w:r>
      <w:r w:rsidRPr="007B7A73">
        <w:rPr>
          <w:rFonts w:ascii="Times New Roman" w:hAnsi="Times New Roman"/>
          <w:sz w:val="20"/>
          <w:szCs w:val="20"/>
        </w:rPr>
        <w:t xml:space="preserve">, pp.126673–126673. </w:t>
      </w:r>
    </w:p>
    <w:sectPr w:rsidR="0030232B" w:rsidRPr="007B7A73" w:rsidSect="00777A30">
      <w:footerReference w:type="default" r:id="rId35"/>
      <w:pgSz w:w="11906" w:h="16838"/>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868105" w14:textId="77777777" w:rsidR="00FD58A2" w:rsidRDefault="00FD58A2">
      <w:pPr>
        <w:spacing w:after="0" w:line="240" w:lineRule="auto"/>
      </w:pPr>
      <w:r>
        <w:separator/>
      </w:r>
    </w:p>
  </w:endnote>
  <w:endnote w:type="continuationSeparator" w:id="0">
    <w:p w14:paraId="70B7F6BC" w14:textId="77777777" w:rsidR="00FD58A2" w:rsidRDefault="00FD5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0474751"/>
      <w:docPartObj>
        <w:docPartGallery w:val="Page Numbers (Bottom of Page)"/>
        <w:docPartUnique/>
      </w:docPartObj>
    </w:sdtPr>
    <w:sdtEndPr>
      <w:rPr>
        <w:rFonts w:ascii="Times New Roman" w:hAnsi="Times New Roman"/>
        <w:noProof/>
      </w:rPr>
    </w:sdtEndPr>
    <w:sdtContent>
      <w:p w14:paraId="2DBBFB9C" w14:textId="1F69182E" w:rsidR="00D279E1" w:rsidRPr="005C063E" w:rsidRDefault="00D279E1">
        <w:pPr>
          <w:pStyle w:val="Footer"/>
          <w:jc w:val="right"/>
          <w:rPr>
            <w:rFonts w:ascii="Times New Roman" w:hAnsi="Times New Roman"/>
          </w:rPr>
        </w:pPr>
        <w:r w:rsidRPr="005C063E">
          <w:rPr>
            <w:rFonts w:ascii="Times New Roman" w:hAnsi="Times New Roman"/>
          </w:rPr>
          <w:fldChar w:fldCharType="begin"/>
        </w:r>
        <w:r w:rsidRPr="005C063E">
          <w:rPr>
            <w:rFonts w:ascii="Times New Roman" w:hAnsi="Times New Roman"/>
          </w:rPr>
          <w:instrText xml:space="preserve"> PAGE   \* MERGEFORMAT </w:instrText>
        </w:r>
        <w:r w:rsidRPr="005C063E">
          <w:rPr>
            <w:rFonts w:ascii="Times New Roman" w:hAnsi="Times New Roman"/>
          </w:rPr>
          <w:fldChar w:fldCharType="separate"/>
        </w:r>
        <w:r w:rsidRPr="005C063E">
          <w:rPr>
            <w:rFonts w:ascii="Times New Roman" w:hAnsi="Times New Roman"/>
            <w:noProof/>
          </w:rPr>
          <w:t>2</w:t>
        </w:r>
        <w:r w:rsidRPr="005C063E">
          <w:rPr>
            <w:rFonts w:ascii="Times New Roman" w:hAnsi="Times New Roman"/>
            <w:noProof/>
          </w:rPr>
          <w:fldChar w:fldCharType="end"/>
        </w:r>
      </w:p>
    </w:sdtContent>
  </w:sdt>
  <w:p w14:paraId="15317CFD" w14:textId="77777777" w:rsidR="00D279E1" w:rsidRDefault="00D279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ED47D3" w14:textId="77777777" w:rsidR="00FD58A2" w:rsidRDefault="00FD58A2">
      <w:pPr>
        <w:spacing w:after="0" w:line="240" w:lineRule="auto"/>
      </w:pPr>
      <w:r>
        <w:rPr>
          <w:color w:val="000000"/>
        </w:rPr>
        <w:separator/>
      </w:r>
    </w:p>
  </w:footnote>
  <w:footnote w:type="continuationSeparator" w:id="0">
    <w:p w14:paraId="49991AF1" w14:textId="77777777" w:rsidR="00FD58A2" w:rsidRDefault="00FD5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B720A"/>
    <w:multiLevelType w:val="multilevel"/>
    <w:tmpl w:val="62946252"/>
    <w:lvl w:ilvl="0">
      <w:start w:val="1"/>
      <w:numFmt w:val="bullet"/>
      <w:lvlText w:val=""/>
      <w:lvlJc w:val="left"/>
      <w:pPr>
        <w:tabs>
          <w:tab w:val="num" w:pos="2126"/>
        </w:tabs>
        <w:ind w:left="2126" w:hanging="360"/>
      </w:pPr>
      <w:rPr>
        <w:rFonts w:ascii="Symbol" w:hAnsi="Symbol" w:hint="default"/>
        <w:sz w:val="20"/>
      </w:rPr>
    </w:lvl>
    <w:lvl w:ilvl="1" w:tentative="1">
      <w:start w:val="1"/>
      <w:numFmt w:val="bullet"/>
      <w:lvlText w:val="o"/>
      <w:lvlJc w:val="left"/>
      <w:pPr>
        <w:tabs>
          <w:tab w:val="num" w:pos="2846"/>
        </w:tabs>
        <w:ind w:left="2846" w:hanging="360"/>
      </w:pPr>
      <w:rPr>
        <w:rFonts w:ascii="Courier New" w:hAnsi="Courier New" w:hint="default"/>
        <w:sz w:val="20"/>
      </w:rPr>
    </w:lvl>
    <w:lvl w:ilvl="2" w:tentative="1">
      <w:start w:val="1"/>
      <w:numFmt w:val="bullet"/>
      <w:lvlText w:val=""/>
      <w:lvlJc w:val="left"/>
      <w:pPr>
        <w:tabs>
          <w:tab w:val="num" w:pos="3566"/>
        </w:tabs>
        <w:ind w:left="3566" w:hanging="360"/>
      </w:pPr>
      <w:rPr>
        <w:rFonts w:ascii="Wingdings" w:hAnsi="Wingdings" w:hint="default"/>
        <w:sz w:val="20"/>
      </w:rPr>
    </w:lvl>
    <w:lvl w:ilvl="3" w:tentative="1">
      <w:start w:val="1"/>
      <w:numFmt w:val="bullet"/>
      <w:lvlText w:val=""/>
      <w:lvlJc w:val="left"/>
      <w:pPr>
        <w:tabs>
          <w:tab w:val="num" w:pos="4286"/>
        </w:tabs>
        <w:ind w:left="4286" w:hanging="360"/>
      </w:pPr>
      <w:rPr>
        <w:rFonts w:ascii="Wingdings" w:hAnsi="Wingdings" w:hint="default"/>
        <w:sz w:val="20"/>
      </w:rPr>
    </w:lvl>
    <w:lvl w:ilvl="4" w:tentative="1">
      <w:start w:val="1"/>
      <w:numFmt w:val="bullet"/>
      <w:lvlText w:val=""/>
      <w:lvlJc w:val="left"/>
      <w:pPr>
        <w:tabs>
          <w:tab w:val="num" w:pos="5006"/>
        </w:tabs>
        <w:ind w:left="5006" w:hanging="360"/>
      </w:pPr>
      <w:rPr>
        <w:rFonts w:ascii="Wingdings" w:hAnsi="Wingdings" w:hint="default"/>
        <w:sz w:val="20"/>
      </w:rPr>
    </w:lvl>
    <w:lvl w:ilvl="5" w:tentative="1">
      <w:start w:val="1"/>
      <w:numFmt w:val="bullet"/>
      <w:lvlText w:val=""/>
      <w:lvlJc w:val="left"/>
      <w:pPr>
        <w:tabs>
          <w:tab w:val="num" w:pos="5726"/>
        </w:tabs>
        <w:ind w:left="5726" w:hanging="360"/>
      </w:pPr>
      <w:rPr>
        <w:rFonts w:ascii="Wingdings" w:hAnsi="Wingdings" w:hint="default"/>
        <w:sz w:val="20"/>
      </w:rPr>
    </w:lvl>
    <w:lvl w:ilvl="6" w:tentative="1">
      <w:start w:val="1"/>
      <w:numFmt w:val="bullet"/>
      <w:lvlText w:val=""/>
      <w:lvlJc w:val="left"/>
      <w:pPr>
        <w:tabs>
          <w:tab w:val="num" w:pos="6446"/>
        </w:tabs>
        <w:ind w:left="6446" w:hanging="360"/>
      </w:pPr>
      <w:rPr>
        <w:rFonts w:ascii="Wingdings" w:hAnsi="Wingdings" w:hint="default"/>
        <w:sz w:val="20"/>
      </w:rPr>
    </w:lvl>
    <w:lvl w:ilvl="7" w:tentative="1">
      <w:start w:val="1"/>
      <w:numFmt w:val="bullet"/>
      <w:lvlText w:val=""/>
      <w:lvlJc w:val="left"/>
      <w:pPr>
        <w:tabs>
          <w:tab w:val="num" w:pos="7166"/>
        </w:tabs>
        <w:ind w:left="7166" w:hanging="360"/>
      </w:pPr>
      <w:rPr>
        <w:rFonts w:ascii="Wingdings" w:hAnsi="Wingdings" w:hint="default"/>
        <w:sz w:val="20"/>
      </w:rPr>
    </w:lvl>
    <w:lvl w:ilvl="8" w:tentative="1">
      <w:start w:val="1"/>
      <w:numFmt w:val="bullet"/>
      <w:lvlText w:val=""/>
      <w:lvlJc w:val="left"/>
      <w:pPr>
        <w:tabs>
          <w:tab w:val="num" w:pos="7886"/>
        </w:tabs>
        <w:ind w:left="7886" w:hanging="360"/>
      </w:pPr>
      <w:rPr>
        <w:rFonts w:ascii="Wingdings" w:hAnsi="Wingdings" w:hint="default"/>
        <w:sz w:val="20"/>
      </w:rPr>
    </w:lvl>
  </w:abstractNum>
  <w:abstractNum w:abstractNumId="1" w15:restartNumberingAfterBreak="0">
    <w:nsid w:val="13B37B14"/>
    <w:multiLevelType w:val="hybridMultilevel"/>
    <w:tmpl w:val="4F32A3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22086E"/>
    <w:multiLevelType w:val="multilevel"/>
    <w:tmpl w:val="352A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A2470B"/>
    <w:multiLevelType w:val="multilevel"/>
    <w:tmpl w:val="845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955570"/>
    <w:multiLevelType w:val="multilevel"/>
    <w:tmpl w:val="EAAA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C5234D"/>
    <w:multiLevelType w:val="multilevel"/>
    <w:tmpl w:val="E73E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E02EA8"/>
    <w:multiLevelType w:val="multilevel"/>
    <w:tmpl w:val="5B80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4311AB"/>
    <w:multiLevelType w:val="multilevel"/>
    <w:tmpl w:val="F324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870F3D"/>
    <w:multiLevelType w:val="multilevel"/>
    <w:tmpl w:val="A61CE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F43EE"/>
    <w:multiLevelType w:val="multilevel"/>
    <w:tmpl w:val="9E46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172CC1"/>
    <w:multiLevelType w:val="multilevel"/>
    <w:tmpl w:val="29808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5228D6"/>
    <w:multiLevelType w:val="multilevel"/>
    <w:tmpl w:val="8D6A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A608BC"/>
    <w:multiLevelType w:val="multilevel"/>
    <w:tmpl w:val="AB4E5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053321">
    <w:abstractNumId w:val="8"/>
  </w:num>
  <w:num w:numId="2" w16cid:durableId="22901151">
    <w:abstractNumId w:val="2"/>
  </w:num>
  <w:num w:numId="3" w16cid:durableId="804007026">
    <w:abstractNumId w:val="3"/>
  </w:num>
  <w:num w:numId="4" w16cid:durableId="2142725927">
    <w:abstractNumId w:val="7"/>
  </w:num>
  <w:num w:numId="5" w16cid:durableId="395785234">
    <w:abstractNumId w:val="6"/>
  </w:num>
  <w:num w:numId="6" w16cid:durableId="2008634940">
    <w:abstractNumId w:val="5"/>
  </w:num>
  <w:num w:numId="7" w16cid:durableId="1172254879">
    <w:abstractNumId w:val="9"/>
  </w:num>
  <w:num w:numId="8" w16cid:durableId="1274287424">
    <w:abstractNumId w:val="12"/>
  </w:num>
  <w:num w:numId="9" w16cid:durableId="1482431229">
    <w:abstractNumId w:val="10"/>
  </w:num>
  <w:num w:numId="10" w16cid:durableId="515075981">
    <w:abstractNumId w:val="0"/>
  </w:num>
  <w:num w:numId="11" w16cid:durableId="1753428774">
    <w:abstractNumId w:val="4"/>
  </w:num>
  <w:num w:numId="12" w16cid:durableId="1213031848">
    <w:abstractNumId w:val="11"/>
  </w:num>
  <w:num w:numId="13" w16cid:durableId="13652113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3D"/>
    <w:rsid w:val="00000F46"/>
    <w:rsid w:val="000118DB"/>
    <w:rsid w:val="00025EA7"/>
    <w:rsid w:val="00031904"/>
    <w:rsid w:val="00032D4C"/>
    <w:rsid w:val="00034DBD"/>
    <w:rsid w:val="00052BA1"/>
    <w:rsid w:val="00053732"/>
    <w:rsid w:val="00056703"/>
    <w:rsid w:val="00073CF7"/>
    <w:rsid w:val="00082FC4"/>
    <w:rsid w:val="0008479C"/>
    <w:rsid w:val="00091842"/>
    <w:rsid w:val="000A095E"/>
    <w:rsid w:val="000A3E1E"/>
    <w:rsid w:val="000A5DBE"/>
    <w:rsid w:val="000A64C4"/>
    <w:rsid w:val="000B304B"/>
    <w:rsid w:val="000C2EB2"/>
    <w:rsid w:val="000D7910"/>
    <w:rsid w:val="000E5F4F"/>
    <w:rsid w:val="00107DCC"/>
    <w:rsid w:val="00113539"/>
    <w:rsid w:val="001179BF"/>
    <w:rsid w:val="00122721"/>
    <w:rsid w:val="0012584B"/>
    <w:rsid w:val="001358B8"/>
    <w:rsid w:val="00136437"/>
    <w:rsid w:val="00147EDB"/>
    <w:rsid w:val="00150F58"/>
    <w:rsid w:val="00164161"/>
    <w:rsid w:val="00166BD8"/>
    <w:rsid w:val="001756B9"/>
    <w:rsid w:val="00186276"/>
    <w:rsid w:val="00194A92"/>
    <w:rsid w:val="001A7D71"/>
    <w:rsid w:val="001C0B2A"/>
    <w:rsid w:val="001C3230"/>
    <w:rsid w:val="001C7B5B"/>
    <w:rsid w:val="001D19D3"/>
    <w:rsid w:val="001E1BB0"/>
    <w:rsid w:val="001E301D"/>
    <w:rsid w:val="001E6AC3"/>
    <w:rsid w:val="001E6B4F"/>
    <w:rsid w:val="001F4853"/>
    <w:rsid w:val="001F519F"/>
    <w:rsid w:val="0020104C"/>
    <w:rsid w:val="00211CEA"/>
    <w:rsid w:val="00213EB9"/>
    <w:rsid w:val="00213F7C"/>
    <w:rsid w:val="00214D76"/>
    <w:rsid w:val="00222DAC"/>
    <w:rsid w:val="00225C7D"/>
    <w:rsid w:val="0023667B"/>
    <w:rsid w:val="002410E7"/>
    <w:rsid w:val="00244115"/>
    <w:rsid w:val="002474BB"/>
    <w:rsid w:val="0025020C"/>
    <w:rsid w:val="002544EF"/>
    <w:rsid w:val="00257F39"/>
    <w:rsid w:val="00257FEF"/>
    <w:rsid w:val="0026144F"/>
    <w:rsid w:val="00272752"/>
    <w:rsid w:val="00276A26"/>
    <w:rsid w:val="0029572C"/>
    <w:rsid w:val="002A6CE5"/>
    <w:rsid w:val="002B04CF"/>
    <w:rsid w:val="002B2C04"/>
    <w:rsid w:val="002B64B5"/>
    <w:rsid w:val="002B6DE4"/>
    <w:rsid w:val="002C147C"/>
    <w:rsid w:val="002C2528"/>
    <w:rsid w:val="002C2554"/>
    <w:rsid w:val="002C7639"/>
    <w:rsid w:val="002D2E74"/>
    <w:rsid w:val="002D4EAD"/>
    <w:rsid w:val="002D5F11"/>
    <w:rsid w:val="002D7699"/>
    <w:rsid w:val="002E484A"/>
    <w:rsid w:val="002F1000"/>
    <w:rsid w:val="002F2C6B"/>
    <w:rsid w:val="00301D83"/>
    <w:rsid w:val="0030232B"/>
    <w:rsid w:val="00304204"/>
    <w:rsid w:val="003053C5"/>
    <w:rsid w:val="00307F3C"/>
    <w:rsid w:val="003122F4"/>
    <w:rsid w:val="0031323C"/>
    <w:rsid w:val="00322924"/>
    <w:rsid w:val="003426E3"/>
    <w:rsid w:val="00345F2A"/>
    <w:rsid w:val="003523F0"/>
    <w:rsid w:val="00357CCA"/>
    <w:rsid w:val="00357D81"/>
    <w:rsid w:val="00370A6A"/>
    <w:rsid w:val="003878D5"/>
    <w:rsid w:val="003932F6"/>
    <w:rsid w:val="0039471C"/>
    <w:rsid w:val="003A3847"/>
    <w:rsid w:val="003B0EAA"/>
    <w:rsid w:val="003B122D"/>
    <w:rsid w:val="003B1773"/>
    <w:rsid w:val="003B5CAC"/>
    <w:rsid w:val="003C7726"/>
    <w:rsid w:val="003D4B8A"/>
    <w:rsid w:val="003D54A1"/>
    <w:rsid w:val="003D66BE"/>
    <w:rsid w:val="003E0C19"/>
    <w:rsid w:val="003E0CAE"/>
    <w:rsid w:val="003E48CE"/>
    <w:rsid w:val="003F60AC"/>
    <w:rsid w:val="00412983"/>
    <w:rsid w:val="004148BA"/>
    <w:rsid w:val="00415204"/>
    <w:rsid w:val="00417C79"/>
    <w:rsid w:val="00421454"/>
    <w:rsid w:val="004251E0"/>
    <w:rsid w:val="004253A5"/>
    <w:rsid w:val="004343CF"/>
    <w:rsid w:val="004346F3"/>
    <w:rsid w:val="0044076E"/>
    <w:rsid w:val="004409FA"/>
    <w:rsid w:val="0045210A"/>
    <w:rsid w:val="0045492C"/>
    <w:rsid w:val="00455F8F"/>
    <w:rsid w:val="004566EA"/>
    <w:rsid w:val="004601CF"/>
    <w:rsid w:val="004745AA"/>
    <w:rsid w:val="00475CA7"/>
    <w:rsid w:val="00475D13"/>
    <w:rsid w:val="004868A6"/>
    <w:rsid w:val="0049332E"/>
    <w:rsid w:val="00495567"/>
    <w:rsid w:val="004A0A7F"/>
    <w:rsid w:val="004A4FF9"/>
    <w:rsid w:val="004B3FD6"/>
    <w:rsid w:val="004B4771"/>
    <w:rsid w:val="004B7DB7"/>
    <w:rsid w:val="004C395E"/>
    <w:rsid w:val="004C3AB8"/>
    <w:rsid w:val="004C3DEC"/>
    <w:rsid w:val="004C46F9"/>
    <w:rsid w:val="004C5204"/>
    <w:rsid w:val="004C737D"/>
    <w:rsid w:val="004C7BE5"/>
    <w:rsid w:val="004D455F"/>
    <w:rsid w:val="004D5F77"/>
    <w:rsid w:val="004E0ECA"/>
    <w:rsid w:val="004E3BB5"/>
    <w:rsid w:val="004E7BAE"/>
    <w:rsid w:val="004F4E7E"/>
    <w:rsid w:val="004F634B"/>
    <w:rsid w:val="004F6659"/>
    <w:rsid w:val="004F7D38"/>
    <w:rsid w:val="00500651"/>
    <w:rsid w:val="00500DD2"/>
    <w:rsid w:val="00505320"/>
    <w:rsid w:val="00513525"/>
    <w:rsid w:val="005233A0"/>
    <w:rsid w:val="00531B71"/>
    <w:rsid w:val="00535455"/>
    <w:rsid w:val="00535F4B"/>
    <w:rsid w:val="00556AD9"/>
    <w:rsid w:val="005615D3"/>
    <w:rsid w:val="00566512"/>
    <w:rsid w:val="00571E75"/>
    <w:rsid w:val="0057285A"/>
    <w:rsid w:val="00575929"/>
    <w:rsid w:val="00584D64"/>
    <w:rsid w:val="00594EDF"/>
    <w:rsid w:val="005A5CC5"/>
    <w:rsid w:val="005B169E"/>
    <w:rsid w:val="005B45CA"/>
    <w:rsid w:val="005C063E"/>
    <w:rsid w:val="005D2A6A"/>
    <w:rsid w:val="005D4E04"/>
    <w:rsid w:val="005D4F44"/>
    <w:rsid w:val="005D7DFE"/>
    <w:rsid w:val="005E31EA"/>
    <w:rsid w:val="005E53F8"/>
    <w:rsid w:val="005E7852"/>
    <w:rsid w:val="005F3D83"/>
    <w:rsid w:val="005F5A7B"/>
    <w:rsid w:val="0061066B"/>
    <w:rsid w:val="006339FA"/>
    <w:rsid w:val="00643A3C"/>
    <w:rsid w:val="00647097"/>
    <w:rsid w:val="0065607F"/>
    <w:rsid w:val="00663FF8"/>
    <w:rsid w:val="0066686B"/>
    <w:rsid w:val="00686494"/>
    <w:rsid w:val="006872E7"/>
    <w:rsid w:val="00693D16"/>
    <w:rsid w:val="00697C4D"/>
    <w:rsid w:val="006A0337"/>
    <w:rsid w:val="006B7358"/>
    <w:rsid w:val="006C114F"/>
    <w:rsid w:val="006C43BD"/>
    <w:rsid w:val="006D10A5"/>
    <w:rsid w:val="006D30CC"/>
    <w:rsid w:val="006D35C0"/>
    <w:rsid w:val="006E0B6B"/>
    <w:rsid w:val="006E232A"/>
    <w:rsid w:val="006E5FE0"/>
    <w:rsid w:val="00706066"/>
    <w:rsid w:val="0071374B"/>
    <w:rsid w:val="00723AEC"/>
    <w:rsid w:val="007253AE"/>
    <w:rsid w:val="00727448"/>
    <w:rsid w:val="00732172"/>
    <w:rsid w:val="00735275"/>
    <w:rsid w:val="00735920"/>
    <w:rsid w:val="00737E4C"/>
    <w:rsid w:val="00743A7E"/>
    <w:rsid w:val="00747321"/>
    <w:rsid w:val="00751FCA"/>
    <w:rsid w:val="007542D2"/>
    <w:rsid w:val="00756983"/>
    <w:rsid w:val="00765D3F"/>
    <w:rsid w:val="00770F75"/>
    <w:rsid w:val="00771645"/>
    <w:rsid w:val="007722BF"/>
    <w:rsid w:val="00775680"/>
    <w:rsid w:val="00777A30"/>
    <w:rsid w:val="007828B7"/>
    <w:rsid w:val="007851C1"/>
    <w:rsid w:val="00791FEB"/>
    <w:rsid w:val="007A45D0"/>
    <w:rsid w:val="007A4DBF"/>
    <w:rsid w:val="007A772F"/>
    <w:rsid w:val="007B14D4"/>
    <w:rsid w:val="007B698E"/>
    <w:rsid w:val="007B7A73"/>
    <w:rsid w:val="007C0AE2"/>
    <w:rsid w:val="007C5E67"/>
    <w:rsid w:val="007E3D24"/>
    <w:rsid w:val="007F3416"/>
    <w:rsid w:val="0080002B"/>
    <w:rsid w:val="00807108"/>
    <w:rsid w:val="008134D5"/>
    <w:rsid w:val="00813D3A"/>
    <w:rsid w:val="00814CBA"/>
    <w:rsid w:val="008169DD"/>
    <w:rsid w:val="0082339C"/>
    <w:rsid w:val="008308B3"/>
    <w:rsid w:val="00832D65"/>
    <w:rsid w:val="00835E1E"/>
    <w:rsid w:val="00836BB8"/>
    <w:rsid w:val="008522D0"/>
    <w:rsid w:val="00852DCB"/>
    <w:rsid w:val="0085437D"/>
    <w:rsid w:val="00855495"/>
    <w:rsid w:val="00857A87"/>
    <w:rsid w:val="00863540"/>
    <w:rsid w:val="00864A82"/>
    <w:rsid w:val="00874324"/>
    <w:rsid w:val="00881A2A"/>
    <w:rsid w:val="0088488F"/>
    <w:rsid w:val="00896463"/>
    <w:rsid w:val="008C1300"/>
    <w:rsid w:val="008C1762"/>
    <w:rsid w:val="008D13DB"/>
    <w:rsid w:val="008D2998"/>
    <w:rsid w:val="008D3940"/>
    <w:rsid w:val="008D6877"/>
    <w:rsid w:val="008E1C15"/>
    <w:rsid w:val="008E259E"/>
    <w:rsid w:val="00900518"/>
    <w:rsid w:val="009040F8"/>
    <w:rsid w:val="009110DD"/>
    <w:rsid w:val="00911194"/>
    <w:rsid w:val="009148C8"/>
    <w:rsid w:val="0091525E"/>
    <w:rsid w:val="0091533A"/>
    <w:rsid w:val="00917E72"/>
    <w:rsid w:val="00924FAF"/>
    <w:rsid w:val="00932D91"/>
    <w:rsid w:val="00933A93"/>
    <w:rsid w:val="0094653D"/>
    <w:rsid w:val="009473FF"/>
    <w:rsid w:val="00947CED"/>
    <w:rsid w:val="0095264E"/>
    <w:rsid w:val="009568BF"/>
    <w:rsid w:val="00964BC7"/>
    <w:rsid w:val="0096704D"/>
    <w:rsid w:val="0097262C"/>
    <w:rsid w:val="00974271"/>
    <w:rsid w:val="00995C18"/>
    <w:rsid w:val="009A4417"/>
    <w:rsid w:val="009A577E"/>
    <w:rsid w:val="009C53A0"/>
    <w:rsid w:val="009C604B"/>
    <w:rsid w:val="009D5217"/>
    <w:rsid w:val="009D78F8"/>
    <w:rsid w:val="009E63D3"/>
    <w:rsid w:val="00A079AE"/>
    <w:rsid w:val="00A10DD8"/>
    <w:rsid w:val="00A15311"/>
    <w:rsid w:val="00A20321"/>
    <w:rsid w:val="00A2297C"/>
    <w:rsid w:val="00A26B58"/>
    <w:rsid w:val="00A338AF"/>
    <w:rsid w:val="00A4061D"/>
    <w:rsid w:val="00A47158"/>
    <w:rsid w:val="00A55A33"/>
    <w:rsid w:val="00A56FBF"/>
    <w:rsid w:val="00A63298"/>
    <w:rsid w:val="00A75BA7"/>
    <w:rsid w:val="00A875AA"/>
    <w:rsid w:val="00A93B18"/>
    <w:rsid w:val="00A96EAC"/>
    <w:rsid w:val="00AB0866"/>
    <w:rsid w:val="00AB102F"/>
    <w:rsid w:val="00AD2686"/>
    <w:rsid w:val="00AD4BC8"/>
    <w:rsid w:val="00AD76B3"/>
    <w:rsid w:val="00AE4F75"/>
    <w:rsid w:val="00B03B1A"/>
    <w:rsid w:val="00B0681F"/>
    <w:rsid w:val="00B11960"/>
    <w:rsid w:val="00B12EE7"/>
    <w:rsid w:val="00B14BE5"/>
    <w:rsid w:val="00B1612F"/>
    <w:rsid w:val="00B17691"/>
    <w:rsid w:val="00B21488"/>
    <w:rsid w:val="00B238C4"/>
    <w:rsid w:val="00B354B0"/>
    <w:rsid w:val="00B376DF"/>
    <w:rsid w:val="00B37733"/>
    <w:rsid w:val="00B474DA"/>
    <w:rsid w:val="00B545A5"/>
    <w:rsid w:val="00B56570"/>
    <w:rsid w:val="00B60FF2"/>
    <w:rsid w:val="00B661B0"/>
    <w:rsid w:val="00B67E3B"/>
    <w:rsid w:val="00B812CD"/>
    <w:rsid w:val="00B81C50"/>
    <w:rsid w:val="00B923EF"/>
    <w:rsid w:val="00BB15C3"/>
    <w:rsid w:val="00BB44D1"/>
    <w:rsid w:val="00BC2F9F"/>
    <w:rsid w:val="00BC78DF"/>
    <w:rsid w:val="00BD0542"/>
    <w:rsid w:val="00BD2AD9"/>
    <w:rsid w:val="00BD36B1"/>
    <w:rsid w:val="00BD6775"/>
    <w:rsid w:val="00BE1142"/>
    <w:rsid w:val="00BE71B1"/>
    <w:rsid w:val="00BE7DAA"/>
    <w:rsid w:val="00BF2E25"/>
    <w:rsid w:val="00C20BF8"/>
    <w:rsid w:val="00C274B7"/>
    <w:rsid w:val="00C304EE"/>
    <w:rsid w:val="00C30DD3"/>
    <w:rsid w:val="00C334DC"/>
    <w:rsid w:val="00C33682"/>
    <w:rsid w:val="00C415A2"/>
    <w:rsid w:val="00C475B2"/>
    <w:rsid w:val="00C534CB"/>
    <w:rsid w:val="00C53FA8"/>
    <w:rsid w:val="00C62641"/>
    <w:rsid w:val="00C633B2"/>
    <w:rsid w:val="00C6423A"/>
    <w:rsid w:val="00C67DF9"/>
    <w:rsid w:val="00C829EF"/>
    <w:rsid w:val="00C977EF"/>
    <w:rsid w:val="00CB0BF7"/>
    <w:rsid w:val="00CB5B72"/>
    <w:rsid w:val="00CC0E6F"/>
    <w:rsid w:val="00CD4F80"/>
    <w:rsid w:val="00CD6A28"/>
    <w:rsid w:val="00CE13F0"/>
    <w:rsid w:val="00CE14C9"/>
    <w:rsid w:val="00CE587A"/>
    <w:rsid w:val="00CE6DB4"/>
    <w:rsid w:val="00CF02AC"/>
    <w:rsid w:val="00CF18F4"/>
    <w:rsid w:val="00CF5B45"/>
    <w:rsid w:val="00D05DDE"/>
    <w:rsid w:val="00D063F3"/>
    <w:rsid w:val="00D07631"/>
    <w:rsid w:val="00D12E59"/>
    <w:rsid w:val="00D178AF"/>
    <w:rsid w:val="00D209B2"/>
    <w:rsid w:val="00D21330"/>
    <w:rsid w:val="00D244A9"/>
    <w:rsid w:val="00D253DF"/>
    <w:rsid w:val="00D279E1"/>
    <w:rsid w:val="00D41ED7"/>
    <w:rsid w:val="00D51DFC"/>
    <w:rsid w:val="00D57241"/>
    <w:rsid w:val="00D57A03"/>
    <w:rsid w:val="00D6745C"/>
    <w:rsid w:val="00D6774E"/>
    <w:rsid w:val="00D67C6A"/>
    <w:rsid w:val="00D72CD4"/>
    <w:rsid w:val="00D742A3"/>
    <w:rsid w:val="00D96FAC"/>
    <w:rsid w:val="00DA1CD8"/>
    <w:rsid w:val="00DA35E0"/>
    <w:rsid w:val="00DA5AC5"/>
    <w:rsid w:val="00DA6814"/>
    <w:rsid w:val="00DA6A07"/>
    <w:rsid w:val="00DB07EE"/>
    <w:rsid w:val="00DC501B"/>
    <w:rsid w:val="00DE3CC8"/>
    <w:rsid w:val="00DE5266"/>
    <w:rsid w:val="00DE5AEB"/>
    <w:rsid w:val="00DF36E7"/>
    <w:rsid w:val="00E15B82"/>
    <w:rsid w:val="00E2117B"/>
    <w:rsid w:val="00E23881"/>
    <w:rsid w:val="00E300BE"/>
    <w:rsid w:val="00E561E5"/>
    <w:rsid w:val="00E573F0"/>
    <w:rsid w:val="00E61577"/>
    <w:rsid w:val="00E63E05"/>
    <w:rsid w:val="00E72DDE"/>
    <w:rsid w:val="00E76E82"/>
    <w:rsid w:val="00E82880"/>
    <w:rsid w:val="00E8550E"/>
    <w:rsid w:val="00E9223A"/>
    <w:rsid w:val="00E929CB"/>
    <w:rsid w:val="00E94BA7"/>
    <w:rsid w:val="00E97C03"/>
    <w:rsid w:val="00EB277C"/>
    <w:rsid w:val="00ED32C2"/>
    <w:rsid w:val="00EE183E"/>
    <w:rsid w:val="00EE3B37"/>
    <w:rsid w:val="00EE72F4"/>
    <w:rsid w:val="00EF0107"/>
    <w:rsid w:val="00EF31D3"/>
    <w:rsid w:val="00EF5B2C"/>
    <w:rsid w:val="00EF751F"/>
    <w:rsid w:val="00F00BA9"/>
    <w:rsid w:val="00F04605"/>
    <w:rsid w:val="00F104E9"/>
    <w:rsid w:val="00F118E7"/>
    <w:rsid w:val="00F167D1"/>
    <w:rsid w:val="00F16A33"/>
    <w:rsid w:val="00F2585B"/>
    <w:rsid w:val="00F26B82"/>
    <w:rsid w:val="00F27895"/>
    <w:rsid w:val="00F473BE"/>
    <w:rsid w:val="00F508DC"/>
    <w:rsid w:val="00F51B35"/>
    <w:rsid w:val="00F6137B"/>
    <w:rsid w:val="00F7071A"/>
    <w:rsid w:val="00F71ECC"/>
    <w:rsid w:val="00F71F53"/>
    <w:rsid w:val="00F72BE0"/>
    <w:rsid w:val="00F763B4"/>
    <w:rsid w:val="00F83834"/>
    <w:rsid w:val="00F85686"/>
    <w:rsid w:val="00F862AB"/>
    <w:rsid w:val="00FA0D7E"/>
    <w:rsid w:val="00FA4C68"/>
    <w:rsid w:val="00FB0C4E"/>
    <w:rsid w:val="00FB7601"/>
    <w:rsid w:val="00FB7DB1"/>
    <w:rsid w:val="00FD03BE"/>
    <w:rsid w:val="00FD0473"/>
    <w:rsid w:val="00FD14FD"/>
    <w:rsid w:val="00FD1527"/>
    <w:rsid w:val="00FD214F"/>
    <w:rsid w:val="00FD324D"/>
    <w:rsid w:val="00FD3BEE"/>
    <w:rsid w:val="00FD58A2"/>
    <w:rsid w:val="00FE3FCE"/>
    <w:rsid w:val="00FE460B"/>
    <w:rsid w:val="00FF50C0"/>
    <w:rsid w:val="00FF52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8D76"/>
  <w15:docId w15:val="{254949A3-F770-44CD-9003-704FC5B7B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n-GB"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character" w:styleId="Hyperlink">
    <w:name w:val="Hyperlink"/>
    <w:basedOn w:val="DefaultParagraphFont"/>
    <w:uiPriority w:val="99"/>
    <w:unhideWhenUsed/>
    <w:rsid w:val="001E6AC3"/>
    <w:rPr>
      <w:color w:val="467886" w:themeColor="hyperlink"/>
      <w:u w:val="single"/>
    </w:rPr>
  </w:style>
  <w:style w:type="character" w:styleId="UnresolvedMention">
    <w:name w:val="Unresolved Mention"/>
    <w:basedOn w:val="DefaultParagraphFont"/>
    <w:uiPriority w:val="99"/>
    <w:semiHidden/>
    <w:unhideWhenUsed/>
    <w:rsid w:val="001E6AC3"/>
    <w:rPr>
      <w:color w:val="605E5C"/>
      <w:shd w:val="clear" w:color="auto" w:fill="E1DFDD"/>
    </w:rPr>
  </w:style>
  <w:style w:type="paragraph" w:styleId="NoSpacing">
    <w:name w:val="No Spacing"/>
    <w:link w:val="NoSpacingChar"/>
    <w:uiPriority w:val="1"/>
    <w:qFormat/>
    <w:rsid w:val="00777A30"/>
    <w:pPr>
      <w:autoSpaceDN/>
      <w:spacing w:after="0" w:line="240" w:lineRule="auto"/>
    </w:pPr>
    <w:rPr>
      <w:rFonts w:asciiTheme="minorHAnsi" w:eastAsiaTheme="minorEastAsia" w:hAnsiTheme="minorHAnsi" w:cstheme="minorBidi"/>
      <w:kern w:val="0"/>
      <w:sz w:val="22"/>
      <w:szCs w:val="22"/>
      <w:lang w:val="en-US"/>
    </w:rPr>
  </w:style>
  <w:style w:type="character" w:customStyle="1" w:styleId="NoSpacingChar">
    <w:name w:val="No Spacing Char"/>
    <w:basedOn w:val="DefaultParagraphFont"/>
    <w:link w:val="NoSpacing"/>
    <w:uiPriority w:val="1"/>
    <w:rsid w:val="00777A30"/>
    <w:rPr>
      <w:rFonts w:asciiTheme="minorHAnsi" w:eastAsiaTheme="minorEastAsia" w:hAnsiTheme="minorHAnsi" w:cstheme="minorBidi"/>
      <w:kern w:val="0"/>
      <w:sz w:val="22"/>
      <w:szCs w:val="22"/>
      <w:lang w:val="en-US"/>
    </w:rPr>
  </w:style>
  <w:style w:type="paragraph" w:styleId="Header">
    <w:name w:val="header"/>
    <w:basedOn w:val="Normal"/>
    <w:link w:val="HeaderChar"/>
    <w:uiPriority w:val="99"/>
    <w:unhideWhenUsed/>
    <w:rsid w:val="00D27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9E1"/>
  </w:style>
  <w:style w:type="paragraph" w:styleId="Footer">
    <w:name w:val="footer"/>
    <w:basedOn w:val="Normal"/>
    <w:link w:val="FooterChar"/>
    <w:uiPriority w:val="99"/>
    <w:unhideWhenUsed/>
    <w:rsid w:val="00D27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9E1"/>
  </w:style>
  <w:style w:type="character" w:styleId="FollowedHyperlink">
    <w:name w:val="FollowedHyperlink"/>
    <w:basedOn w:val="DefaultParagraphFont"/>
    <w:uiPriority w:val="99"/>
    <w:semiHidden/>
    <w:unhideWhenUsed/>
    <w:rsid w:val="002410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52258">
      <w:bodyDiv w:val="1"/>
      <w:marLeft w:val="0"/>
      <w:marRight w:val="0"/>
      <w:marTop w:val="0"/>
      <w:marBottom w:val="0"/>
      <w:divBdr>
        <w:top w:val="none" w:sz="0" w:space="0" w:color="auto"/>
        <w:left w:val="none" w:sz="0" w:space="0" w:color="auto"/>
        <w:bottom w:val="none" w:sz="0" w:space="0" w:color="auto"/>
        <w:right w:val="none" w:sz="0" w:space="0" w:color="auto"/>
      </w:divBdr>
    </w:div>
    <w:div w:id="197472656">
      <w:bodyDiv w:val="1"/>
      <w:marLeft w:val="0"/>
      <w:marRight w:val="0"/>
      <w:marTop w:val="0"/>
      <w:marBottom w:val="0"/>
      <w:divBdr>
        <w:top w:val="none" w:sz="0" w:space="0" w:color="auto"/>
        <w:left w:val="none" w:sz="0" w:space="0" w:color="auto"/>
        <w:bottom w:val="none" w:sz="0" w:space="0" w:color="auto"/>
        <w:right w:val="none" w:sz="0" w:space="0" w:color="auto"/>
      </w:divBdr>
    </w:div>
    <w:div w:id="416824875">
      <w:bodyDiv w:val="1"/>
      <w:marLeft w:val="0"/>
      <w:marRight w:val="0"/>
      <w:marTop w:val="0"/>
      <w:marBottom w:val="0"/>
      <w:divBdr>
        <w:top w:val="none" w:sz="0" w:space="0" w:color="auto"/>
        <w:left w:val="none" w:sz="0" w:space="0" w:color="auto"/>
        <w:bottom w:val="none" w:sz="0" w:space="0" w:color="auto"/>
        <w:right w:val="none" w:sz="0" w:space="0" w:color="auto"/>
      </w:divBdr>
      <w:divsChild>
        <w:div w:id="1220290216">
          <w:marLeft w:val="0"/>
          <w:marRight w:val="0"/>
          <w:marTop w:val="0"/>
          <w:marBottom w:val="0"/>
          <w:divBdr>
            <w:top w:val="none" w:sz="0" w:space="0" w:color="auto"/>
            <w:left w:val="none" w:sz="0" w:space="0" w:color="auto"/>
            <w:bottom w:val="none" w:sz="0" w:space="0" w:color="auto"/>
            <w:right w:val="none" w:sz="0" w:space="0" w:color="auto"/>
          </w:divBdr>
        </w:div>
        <w:div w:id="405153655">
          <w:marLeft w:val="0"/>
          <w:marRight w:val="0"/>
          <w:marTop w:val="0"/>
          <w:marBottom w:val="0"/>
          <w:divBdr>
            <w:top w:val="none" w:sz="0" w:space="0" w:color="auto"/>
            <w:left w:val="none" w:sz="0" w:space="0" w:color="auto"/>
            <w:bottom w:val="none" w:sz="0" w:space="0" w:color="auto"/>
            <w:right w:val="none" w:sz="0" w:space="0" w:color="auto"/>
          </w:divBdr>
        </w:div>
        <w:div w:id="58216154">
          <w:marLeft w:val="0"/>
          <w:marRight w:val="0"/>
          <w:marTop w:val="0"/>
          <w:marBottom w:val="0"/>
          <w:divBdr>
            <w:top w:val="none" w:sz="0" w:space="0" w:color="auto"/>
            <w:left w:val="none" w:sz="0" w:space="0" w:color="auto"/>
            <w:bottom w:val="none" w:sz="0" w:space="0" w:color="auto"/>
            <w:right w:val="none" w:sz="0" w:space="0" w:color="auto"/>
          </w:divBdr>
        </w:div>
      </w:divsChild>
    </w:div>
    <w:div w:id="457064620">
      <w:bodyDiv w:val="1"/>
      <w:marLeft w:val="0"/>
      <w:marRight w:val="0"/>
      <w:marTop w:val="0"/>
      <w:marBottom w:val="0"/>
      <w:divBdr>
        <w:top w:val="none" w:sz="0" w:space="0" w:color="auto"/>
        <w:left w:val="none" w:sz="0" w:space="0" w:color="auto"/>
        <w:bottom w:val="none" w:sz="0" w:space="0" w:color="auto"/>
        <w:right w:val="none" w:sz="0" w:space="0" w:color="auto"/>
      </w:divBdr>
      <w:divsChild>
        <w:div w:id="100613491">
          <w:marLeft w:val="0"/>
          <w:marRight w:val="0"/>
          <w:marTop w:val="0"/>
          <w:marBottom w:val="0"/>
          <w:divBdr>
            <w:top w:val="none" w:sz="0" w:space="0" w:color="auto"/>
            <w:left w:val="none" w:sz="0" w:space="0" w:color="auto"/>
            <w:bottom w:val="none" w:sz="0" w:space="0" w:color="auto"/>
            <w:right w:val="none" w:sz="0" w:space="0" w:color="auto"/>
          </w:divBdr>
        </w:div>
        <w:div w:id="2114670566">
          <w:marLeft w:val="0"/>
          <w:marRight w:val="0"/>
          <w:marTop w:val="0"/>
          <w:marBottom w:val="0"/>
          <w:divBdr>
            <w:top w:val="none" w:sz="0" w:space="0" w:color="auto"/>
            <w:left w:val="none" w:sz="0" w:space="0" w:color="auto"/>
            <w:bottom w:val="none" w:sz="0" w:space="0" w:color="auto"/>
            <w:right w:val="none" w:sz="0" w:space="0" w:color="auto"/>
          </w:divBdr>
        </w:div>
        <w:div w:id="1000503098">
          <w:marLeft w:val="0"/>
          <w:marRight w:val="0"/>
          <w:marTop w:val="0"/>
          <w:marBottom w:val="0"/>
          <w:divBdr>
            <w:top w:val="none" w:sz="0" w:space="0" w:color="auto"/>
            <w:left w:val="none" w:sz="0" w:space="0" w:color="auto"/>
            <w:bottom w:val="none" w:sz="0" w:space="0" w:color="auto"/>
            <w:right w:val="none" w:sz="0" w:space="0" w:color="auto"/>
          </w:divBdr>
        </w:div>
        <w:div w:id="508565794">
          <w:marLeft w:val="0"/>
          <w:marRight w:val="0"/>
          <w:marTop w:val="0"/>
          <w:marBottom w:val="0"/>
          <w:divBdr>
            <w:top w:val="none" w:sz="0" w:space="0" w:color="auto"/>
            <w:left w:val="none" w:sz="0" w:space="0" w:color="auto"/>
            <w:bottom w:val="none" w:sz="0" w:space="0" w:color="auto"/>
            <w:right w:val="none" w:sz="0" w:space="0" w:color="auto"/>
          </w:divBdr>
        </w:div>
        <w:div w:id="1319769556">
          <w:marLeft w:val="0"/>
          <w:marRight w:val="0"/>
          <w:marTop w:val="0"/>
          <w:marBottom w:val="0"/>
          <w:divBdr>
            <w:top w:val="none" w:sz="0" w:space="0" w:color="auto"/>
            <w:left w:val="none" w:sz="0" w:space="0" w:color="auto"/>
            <w:bottom w:val="none" w:sz="0" w:space="0" w:color="auto"/>
            <w:right w:val="none" w:sz="0" w:space="0" w:color="auto"/>
          </w:divBdr>
        </w:div>
        <w:div w:id="38435865">
          <w:marLeft w:val="0"/>
          <w:marRight w:val="0"/>
          <w:marTop w:val="0"/>
          <w:marBottom w:val="0"/>
          <w:divBdr>
            <w:top w:val="none" w:sz="0" w:space="0" w:color="auto"/>
            <w:left w:val="none" w:sz="0" w:space="0" w:color="auto"/>
            <w:bottom w:val="none" w:sz="0" w:space="0" w:color="auto"/>
            <w:right w:val="none" w:sz="0" w:space="0" w:color="auto"/>
          </w:divBdr>
        </w:div>
        <w:div w:id="2050719630">
          <w:marLeft w:val="0"/>
          <w:marRight w:val="0"/>
          <w:marTop w:val="0"/>
          <w:marBottom w:val="0"/>
          <w:divBdr>
            <w:top w:val="none" w:sz="0" w:space="0" w:color="auto"/>
            <w:left w:val="none" w:sz="0" w:space="0" w:color="auto"/>
            <w:bottom w:val="none" w:sz="0" w:space="0" w:color="auto"/>
            <w:right w:val="none" w:sz="0" w:space="0" w:color="auto"/>
          </w:divBdr>
        </w:div>
        <w:div w:id="367725458">
          <w:marLeft w:val="0"/>
          <w:marRight w:val="0"/>
          <w:marTop w:val="0"/>
          <w:marBottom w:val="0"/>
          <w:divBdr>
            <w:top w:val="none" w:sz="0" w:space="0" w:color="auto"/>
            <w:left w:val="none" w:sz="0" w:space="0" w:color="auto"/>
            <w:bottom w:val="none" w:sz="0" w:space="0" w:color="auto"/>
            <w:right w:val="none" w:sz="0" w:space="0" w:color="auto"/>
          </w:divBdr>
        </w:div>
        <w:div w:id="1632781593">
          <w:marLeft w:val="0"/>
          <w:marRight w:val="0"/>
          <w:marTop w:val="0"/>
          <w:marBottom w:val="0"/>
          <w:divBdr>
            <w:top w:val="none" w:sz="0" w:space="0" w:color="auto"/>
            <w:left w:val="none" w:sz="0" w:space="0" w:color="auto"/>
            <w:bottom w:val="none" w:sz="0" w:space="0" w:color="auto"/>
            <w:right w:val="none" w:sz="0" w:space="0" w:color="auto"/>
          </w:divBdr>
        </w:div>
        <w:div w:id="1985694972">
          <w:marLeft w:val="0"/>
          <w:marRight w:val="0"/>
          <w:marTop w:val="0"/>
          <w:marBottom w:val="0"/>
          <w:divBdr>
            <w:top w:val="none" w:sz="0" w:space="0" w:color="auto"/>
            <w:left w:val="none" w:sz="0" w:space="0" w:color="auto"/>
            <w:bottom w:val="none" w:sz="0" w:space="0" w:color="auto"/>
            <w:right w:val="none" w:sz="0" w:space="0" w:color="auto"/>
          </w:divBdr>
        </w:div>
        <w:div w:id="73088127">
          <w:marLeft w:val="0"/>
          <w:marRight w:val="0"/>
          <w:marTop w:val="0"/>
          <w:marBottom w:val="0"/>
          <w:divBdr>
            <w:top w:val="none" w:sz="0" w:space="0" w:color="auto"/>
            <w:left w:val="none" w:sz="0" w:space="0" w:color="auto"/>
            <w:bottom w:val="none" w:sz="0" w:space="0" w:color="auto"/>
            <w:right w:val="none" w:sz="0" w:space="0" w:color="auto"/>
          </w:divBdr>
        </w:div>
        <w:div w:id="1774784844">
          <w:marLeft w:val="0"/>
          <w:marRight w:val="0"/>
          <w:marTop w:val="0"/>
          <w:marBottom w:val="0"/>
          <w:divBdr>
            <w:top w:val="none" w:sz="0" w:space="0" w:color="auto"/>
            <w:left w:val="none" w:sz="0" w:space="0" w:color="auto"/>
            <w:bottom w:val="none" w:sz="0" w:space="0" w:color="auto"/>
            <w:right w:val="none" w:sz="0" w:space="0" w:color="auto"/>
          </w:divBdr>
        </w:div>
        <w:div w:id="349375928">
          <w:marLeft w:val="0"/>
          <w:marRight w:val="0"/>
          <w:marTop w:val="0"/>
          <w:marBottom w:val="0"/>
          <w:divBdr>
            <w:top w:val="none" w:sz="0" w:space="0" w:color="auto"/>
            <w:left w:val="none" w:sz="0" w:space="0" w:color="auto"/>
            <w:bottom w:val="none" w:sz="0" w:space="0" w:color="auto"/>
            <w:right w:val="none" w:sz="0" w:space="0" w:color="auto"/>
          </w:divBdr>
        </w:div>
        <w:div w:id="1604537795">
          <w:marLeft w:val="0"/>
          <w:marRight w:val="0"/>
          <w:marTop w:val="0"/>
          <w:marBottom w:val="0"/>
          <w:divBdr>
            <w:top w:val="none" w:sz="0" w:space="0" w:color="auto"/>
            <w:left w:val="none" w:sz="0" w:space="0" w:color="auto"/>
            <w:bottom w:val="none" w:sz="0" w:space="0" w:color="auto"/>
            <w:right w:val="none" w:sz="0" w:space="0" w:color="auto"/>
          </w:divBdr>
        </w:div>
        <w:div w:id="1303118882">
          <w:marLeft w:val="0"/>
          <w:marRight w:val="0"/>
          <w:marTop w:val="0"/>
          <w:marBottom w:val="0"/>
          <w:divBdr>
            <w:top w:val="none" w:sz="0" w:space="0" w:color="auto"/>
            <w:left w:val="none" w:sz="0" w:space="0" w:color="auto"/>
            <w:bottom w:val="none" w:sz="0" w:space="0" w:color="auto"/>
            <w:right w:val="none" w:sz="0" w:space="0" w:color="auto"/>
          </w:divBdr>
        </w:div>
        <w:div w:id="527375381">
          <w:marLeft w:val="0"/>
          <w:marRight w:val="0"/>
          <w:marTop w:val="0"/>
          <w:marBottom w:val="0"/>
          <w:divBdr>
            <w:top w:val="none" w:sz="0" w:space="0" w:color="auto"/>
            <w:left w:val="none" w:sz="0" w:space="0" w:color="auto"/>
            <w:bottom w:val="none" w:sz="0" w:space="0" w:color="auto"/>
            <w:right w:val="none" w:sz="0" w:space="0" w:color="auto"/>
          </w:divBdr>
        </w:div>
        <w:div w:id="1435125926">
          <w:marLeft w:val="0"/>
          <w:marRight w:val="0"/>
          <w:marTop w:val="0"/>
          <w:marBottom w:val="0"/>
          <w:divBdr>
            <w:top w:val="none" w:sz="0" w:space="0" w:color="auto"/>
            <w:left w:val="none" w:sz="0" w:space="0" w:color="auto"/>
            <w:bottom w:val="none" w:sz="0" w:space="0" w:color="auto"/>
            <w:right w:val="none" w:sz="0" w:space="0" w:color="auto"/>
          </w:divBdr>
        </w:div>
      </w:divsChild>
    </w:div>
    <w:div w:id="498621150">
      <w:bodyDiv w:val="1"/>
      <w:marLeft w:val="0"/>
      <w:marRight w:val="0"/>
      <w:marTop w:val="0"/>
      <w:marBottom w:val="0"/>
      <w:divBdr>
        <w:top w:val="none" w:sz="0" w:space="0" w:color="auto"/>
        <w:left w:val="none" w:sz="0" w:space="0" w:color="auto"/>
        <w:bottom w:val="none" w:sz="0" w:space="0" w:color="auto"/>
        <w:right w:val="none" w:sz="0" w:space="0" w:color="auto"/>
      </w:divBdr>
      <w:divsChild>
        <w:div w:id="1042364885">
          <w:marLeft w:val="0"/>
          <w:marRight w:val="0"/>
          <w:marTop w:val="0"/>
          <w:marBottom w:val="0"/>
          <w:divBdr>
            <w:top w:val="none" w:sz="0" w:space="0" w:color="auto"/>
            <w:left w:val="none" w:sz="0" w:space="0" w:color="auto"/>
            <w:bottom w:val="none" w:sz="0" w:space="0" w:color="auto"/>
            <w:right w:val="none" w:sz="0" w:space="0" w:color="auto"/>
          </w:divBdr>
        </w:div>
        <w:div w:id="1198858713">
          <w:marLeft w:val="0"/>
          <w:marRight w:val="0"/>
          <w:marTop w:val="0"/>
          <w:marBottom w:val="0"/>
          <w:divBdr>
            <w:top w:val="none" w:sz="0" w:space="0" w:color="auto"/>
            <w:left w:val="none" w:sz="0" w:space="0" w:color="auto"/>
            <w:bottom w:val="none" w:sz="0" w:space="0" w:color="auto"/>
            <w:right w:val="none" w:sz="0" w:space="0" w:color="auto"/>
          </w:divBdr>
        </w:div>
        <w:div w:id="623273716">
          <w:marLeft w:val="0"/>
          <w:marRight w:val="0"/>
          <w:marTop w:val="0"/>
          <w:marBottom w:val="0"/>
          <w:divBdr>
            <w:top w:val="none" w:sz="0" w:space="0" w:color="auto"/>
            <w:left w:val="none" w:sz="0" w:space="0" w:color="auto"/>
            <w:bottom w:val="none" w:sz="0" w:space="0" w:color="auto"/>
            <w:right w:val="none" w:sz="0" w:space="0" w:color="auto"/>
          </w:divBdr>
        </w:div>
        <w:div w:id="1326783759">
          <w:marLeft w:val="0"/>
          <w:marRight w:val="0"/>
          <w:marTop w:val="0"/>
          <w:marBottom w:val="0"/>
          <w:divBdr>
            <w:top w:val="none" w:sz="0" w:space="0" w:color="auto"/>
            <w:left w:val="none" w:sz="0" w:space="0" w:color="auto"/>
            <w:bottom w:val="none" w:sz="0" w:space="0" w:color="auto"/>
            <w:right w:val="none" w:sz="0" w:space="0" w:color="auto"/>
          </w:divBdr>
        </w:div>
        <w:div w:id="1637643844">
          <w:marLeft w:val="0"/>
          <w:marRight w:val="0"/>
          <w:marTop w:val="0"/>
          <w:marBottom w:val="0"/>
          <w:divBdr>
            <w:top w:val="none" w:sz="0" w:space="0" w:color="auto"/>
            <w:left w:val="none" w:sz="0" w:space="0" w:color="auto"/>
            <w:bottom w:val="none" w:sz="0" w:space="0" w:color="auto"/>
            <w:right w:val="none" w:sz="0" w:space="0" w:color="auto"/>
          </w:divBdr>
        </w:div>
        <w:div w:id="1167482207">
          <w:marLeft w:val="0"/>
          <w:marRight w:val="0"/>
          <w:marTop w:val="0"/>
          <w:marBottom w:val="0"/>
          <w:divBdr>
            <w:top w:val="none" w:sz="0" w:space="0" w:color="auto"/>
            <w:left w:val="none" w:sz="0" w:space="0" w:color="auto"/>
            <w:bottom w:val="none" w:sz="0" w:space="0" w:color="auto"/>
            <w:right w:val="none" w:sz="0" w:space="0" w:color="auto"/>
          </w:divBdr>
        </w:div>
        <w:div w:id="983703258">
          <w:marLeft w:val="0"/>
          <w:marRight w:val="0"/>
          <w:marTop w:val="0"/>
          <w:marBottom w:val="0"/>
          <w:divBdr>
            <w:top w:val="none" w:sz="0" w:space="0" w:color="auto"/>
            <w:left w:val="none" w:sz="0" w:space="0" w:color="auto"/>
            <w:bottom w:val="none" w:sz="0" w:space="0" w:color="auto"/>
            <w:right w:val="none" w:sz="0" w:space="0" w:color="auto"/>
          </w:divBdr>
        </w:div>
        <w:div w:id="589630380">
          <w:marLeft w:val="0"/>
          <w:marRight w:val="0"/>
          <w:marTop w:val="0"/>
          <w:marBottom w:val="0"/>
          <w:divBdr>
            <w:top w:val="none" w:sz="0" w:space="0" w:color="auto"/>
            <w:left w:val="none" w:sz="0" w:space="0" w:color="auto"/>
            <w:bottom w:val="none" w:sz="0" w:space="0" w:color="auto"/>
            <w:right w:val="none" w:sz="0" w:space="0" w:color="auto"/>
          </w:divBdr>
        </w:div>
        <w:div w:id="1123579847">
          <w:marLeft w:val="0"/>
          <w:marRight w:val="0"/>
          <w:marTop w:val="0"/>
          <w:marBottom w:val="0"/>
          <w:divBdr>
            <w:top w:val="none" w:sz="0" w:space="0" w:color="auto"/>
            <w:left w:val="none" w:sz="0" w:space="0" w:color="auto"/>
            <w:bottom w:val="none" w:sz="0" w:space="0" w:color="auto"/>
            <w:right w:val="none" w:sz="0" w:space="0" w:color="auto"/>
          </w:divBdr>
        </w:div>
        <w:div w:id="675813572">
          <w:marLeft w:val="0"/>
          <w:marRight w:val="0"/>
          <w:marTop w:val="0"/>
          <w:marBottom w:val="0"/>
          <w:divBdr>
            <w:top w:val="none" w:sz="0" w:space="0" w:color="auto"/>
            <w:left w:val="none" w:sz="0" w:space="0" w:color="auto"/>
            <w:bottom w:val="none" w:sz="0" w:space="0" w:color="auto"/>
            <w:right w:val="none" w:sz="0" w:space="0" w:color="auto"/>
          </w:divBdr>
        </w:div>
        <w:div w:id="775291987">
          <w:marLeft w:val="0"/>
          <w:marRight w:val="0"/>
          <w:marTop w:val="0"/>
          <w:marBottom w:val="0"/>
          <w:divBdr>
            <w:top w:val="none" w:sz="0" w:space="0" w:color="auto"/>
            <w:left w:val="none" w:sz="0" w:space="0" w:color="auto"/>
            <w:bottom w:val="none" w:sz="0" w:space="0" w:color="auto"/>
            <w:right w:val="none" w:sz="0" w:space="0" w:color="auto"/>
          </w:divBdr>
        </w:div>
        <w:div w:id="2068910972">
          <w:marLeft w:val="0"/>
          <w:marRight w:val="0"/>
          <w:marTop w:val="0"/>
          <w:marBottom w:val="0"/>
          <w:divBdr>
            <w:top w:val="none" w:sz="0" w:space="0" w:color="auto"/>
            <w:left w:val="none" w:sz="0" w:space="0" w:color="auto"/>
            <w:bottom w:val="none" w:sz="0" w:space="0" w:color="auto"/>
            <w:right w:val="none" w:sz="0" w:space="0" w:color="auto"/>
          </w:divBdr>
        </w:div>
        <w:div w:id="479688822">
          <w:marLeft w:val="0"/>
          <w:marRight w:val="0"/>
          <w:marTop w:val="0"/>
          <w:marBottom w:val="0"/>
          <w:divBdr>
            <w:top w:val="none" w:sz="0" w:space="0" w:color="auto"/>
            <w:left w:val="none" w:sz="0" w:space="0" w:color="auto"/>
            <w:bottom w:val="none" w:sz="0" w:space="0" w:color="auto"/>
            <w:right w:val="none" w:sz="0" w:space="0" w:color="auto"/>
          </w:divBdr>
        </w:div>
        <w:div w:id="2040818841">
          <w:marLeft w:val="0"/>
          <w:marRight w:val="0"/>
          <w:marTop w:val="0"/>
          <w:marBottom w:val="0"/>
          <w:divBdr>
            <w:top w:val="none" w:sz="0" w:space="0" w:color="auto"/>
            <w:left w:val="none" w:sz="0" w:space="0" w:color="auto"/>
            <w:bottom w:val="none" w:sz="0" w:space="0" w:color="auto"/>
            <w:right w:val="none" w:sz="0" w:space="0" w:color="auto"/>
          </w:divBdr>
        </w:div>
        <w:div w:id="1544371107">
          <w:marLeft w:val="0"/>
          <w:marRight w:val="0"/>
          <w:marTop w:val="0"/>
          <w:marBottom w:val="0"/>
          <w:divBdr>
            <w:top w:val="none" w:sz="0" w:space="0" w:color="auto"/>
            <w:left w:val="none" w:sz="0" w:space="0" w:color="auto"/>
            <w:bottom w:val="none" w:sz="0" w:space="0" w:color="auto"/>
            <w:right w:val="none" w:sz="0" w:space="0" w:color="auto"/>
          </w:divBdr>
        </w:div>
        <w:div w:id="1716464298">
          <w:marLeft w:val="0"/>
          <w:marRight w:val="0"/>
          <w:marTop w:val="0"/>
          <w:marBottom w:val="0"/>
          <w:divBdr>
            <w:top w:val="none" w:sz="0" w:space="0" w:color="auto"/>
            <w:left w:val="none" w:sz="0" w:space="0" w:color="auto"/>
            <w:bottom w:val="none" w:sz="0" w:space="0" w:color="auto"/>
            <w:right w:val="none" w:sz="0" w:space="0" w:color="auto"/>
          </w:divBdr>
        </w:div>
        <w:div w:id="1200778747">
          <w:marLeft w:val="0"/>
          <w:marRight w:val="0"/>
          <w:marTop w:val="0"/>
          <w:marBottom w:val="0"/>
          <w:divBdr>
            <w:top w:val="none" w:sz="0" w:space="0" w:color="auto"/>
            <w:left w:val="none" w:sz="0" w:space="0" w:color="auto"/>
            <w:bottom w:val="none" w:sz="0" w:space="0" w:color="auto"/>
            <w:right w:val="none" w:sz="0" w:space="0" w:color="auto"/>
          </w:divBdr>
        </w:div>
        <w:div w:id="1424565271">
          <w:marLeft w:val="0"/>
          <w:marRight w:val="0"/>
          <w:marTop w:val="0"/>
          <w:marBottom w:val="0"/>
          <w:divBdr>
            <w:top w:val="none" w:sz="0" w:space="0" w:color="auto"/>
            <w:left w:val="none" w:sz="0" w:space="0" w:color="auto"/>
            <w:bottom w:val="none" w:sz="0" w:space="0" w:color="auto"/>
            <w:right w:val="none" w:sz="0" w:space="0" w:color="auto"/>
          </w:divBdr>
        </w:div>
        <w:div w:id="649750578">
          <w:marLeft w:val="0"/>
          <w:marRight w:val="0"/>
          <w:marTop w:val="0"/>
          <w:marBottom w:val="0"/>
          <w:divBdr>
            <w:top w:val="none" w:sz="0" w:space="0" w:color="auto"/>
            <w:left w:val="none" w:sz="0" w:space="0" w:color="auto"/>
            <w:bottom w:val="none" w:sz="0" w:space="0" w:color="auto"/>
            <w:right w:val="none" w:sz="0" w:space="0" w:color="auto"/>
          </w:divBdr>
        </w:div>
        <w:div w:id="1638487682">
          <w:marLeft w:val="0"/>
          <w:marRight w:val="0"/>
          <w:marTop w:val="0"/>
          <w:marBottom w:val="0"/>
          <w:divBdr>
            <w:top w:val="none" w:sz="0" w:space="0" w:color="auto"/>
            <w:left w:val="none" w:sz="0" w:space="0" w:color="auto"/>
            <w:bottom w:val="none" w:sz="0" w:space="0" w:color="auto"/>
            <w:right w:val="none" w:sz="0" w:space="0" w:color="auto"/>
          </w:divBdr>
        </w:div>
        <w:div w:id="1598560251">
          <w:marLeft w:val="0"/>
          <w:marRight w:val="0"/>
          <w:marTop w:val="0"/>
          <w:marBottom w:val="0"/>
          <w:divBdr>
            <w:top w:val="none" w:sz="0" w:space="0" w:color="auto"/>
            <w:left w:val="none" w:sz="0" w:space="0" w:color="auto"/>
            <w:bottom w:val="none" w:sz="0" w:space="0" w:color="auto"/>
            <w:right w:val="none" w:sz="0" w:space="0" w:color="auto"/>
          </w:divBdr>
        </w:div>
        <w:div w:id="2122415552">
          <w:marLeft w:val="0"/>
          <w:marRight w:val="0"/>
          <w:marTop w:val="0"/>
          <w:marBottom w:val="0"/>
          <w:divBdr>
            <w:top w:val="none" w:sz="0" w:space="0" w:color="auto"/>
            <w:left w:val="none" w:sz="0" w:space="0" w:color="auto"/>
            <w:bottom w:val="none" w:sz="0" w:space="0" w:color="auto"/>
            <w:right w:val="none" w:sz="0" w:space="0" w:color="auto"/>
          </w:divBdr>
        </w:div>
        <w:div w:id="1310866877">
          <w:marLeft w:val="0"/>
          <w:marRight w:val="0"/>
          <w:marTop w:val="0"/>
          <w:marBottom w:val="0"/>
          <w:divBdr>
            <w:top w:val="none" w:sz="0" w:space="0" w:color="auto"/>
            <w:left w:val="none" w:sz="0" w:space="0" w:color="auto"/>
            <w:bottom w:val="none" w:sz="0" w:space="0" w:color="auto"/>
            <w:right w:val="none" w:sz="0" w:space="0" w:color="auto"/>
          </w:divBdr>
        </w:div>
        <w:div w:id="142740568">
          <w:marLeft w:val="0"/>
          <w:marRight w:val="0"/>
          <w:marTop w:val="0"/>
          <w:marBottom w:val="0"/>
          <w:divBdr>
            <w:top w:val="none" w:sz="0" w:space="0" w:color="auto"/>
            <w:left w:val="none" w:sz="0" w:space="0" w:color="auto"/>
            <w:bottom w:val="none" w:sz="0" w:space="0" w:color="auto"/>
            <w:right w:val="none" w:sz="0" w:space="0" w:color="auto"/>
          </w:divBdr>
        </w:div>
        <w:div w:id="219631324">
          <w:marLeft w:val="0"/>
          <w:marRight w:val="0"/>
          <w:marTop w:val="0"/>
          <w:marBottom w:val="0"/>
          <w:divBdr>
            <w:top w:val="none" w:sz="0" w:space="0" w:color="auto"/>
            <w:left w:val="none" w:sz="0" w:space="0" w:color="auto"/>
            <w:bottom w:val="none" w:sz="0" w:space="0" w:color="auto"/>
            <w:right w:val="none" w:sz="0" w:space="0" w:color="auto"/>
          </w:divBdr>
        </w:div>
        <w:div w:id="1609508632">
          <w:marLeft w:val="0"/>
          <w:marRight w:val="0"/>
          <w:marTop w:val="0"/>
          <w:marBottom w:val="0"/>
          <w:divBdr>
            <w:top w:val="none" w:sz="0" w:space="0" w:color="auto"/>
            <w:left w:val="none" w:sz="0" w:space="0" w:color="auto"/>
            <w:bottom w:val="none" w:sz="0" w:space="0" w:color="auto"/>
            <w:right w:val="none" w:sz="0" w:space="0" w:color="auto"/>
          </w:divBdr>
        </w:div>
        <w:div w:id="1693991367">
          <w:marLeft w:val="0"/>
          <w:marRight w:val="0"/>
          <w:marTop w:val="0"/>
          <w:marBottom w:val="0"/>
          <w:divBdr>
            <w:top w:val="none" w:sz="0" w:space="0" w:color="auto"/>
            <w:left w:val="none" w:sz="0" w:space="0" w:color="auto"/>
            <w:bottom w:val="none" w:sz="0" w:space="0" w:color="auto"/>
            <w:right w:val="none" w:sz="0" w:space="0" w:color="auto"/>
          </w:divBdr>
        </w:div>
      </w:divsChild>
    </w:div>
    <w:div w:id="615865224">
      <w:bodyDiv w:val="1"/>
      <w:marLeft w:val="0"/>
      <w:marRight w:val="0"/>
      <w:marTop w:val="0"/>
      <w:marBottom w:val="0"/>
      <w:divBdr>
        <w:top w:val="none" w:sz="0" w:space="0" w:color="auto"/>
        <w:left w:val="none" w:sz="0" w:space="0" w:color="auto"/>
        <w:bottom w:val="none" w:sz="0" w:space="0" w:color="auto"/>
        <w:right w:val="none" w:sz="0" w:space="0" w:color="auto"/>
      </w:divBdr>
      <w:divsChild>
        <w:div w:id="1635015678">
          <w:marLeft w:val="0"/>
          <w:marRight w:val="0"/>
          <w:marTop w:val="0"/>
          <w:marBottom w:val="0"/>
          <w:divBdr>
            <w:top w:val="none" w:sz="0" w:space="0" w:color="auto"/>
            <w:left w:val="none" w:sz="0" w:space="0" w:color="auto"/>
            <w:bottom w:val="none" w:sz="0" w:space="0" w:color="auto"/>
            <w:right w:val="none" w:sz="0" w:space="0" w:color="auto"/>
          </w:divBdr>
          <w:divsChild>
            <w:div w:id="1031959950">
              <w:marLeft w:val="0"/>
              <w:marRight w:val="0"/>
              <w:marTop w:val="0"/>
              <w:marBottom w:val="0"/>
              <w:divBdr>
                <w:top w:val="none" w:sz="0" w:space="0" w:color="auto"/>
                <w:left w:val="none" w:sz="0" w:space="0" w:color="auto"/>
                <w:bottom w:val="none" w:sz="0" w:space="0" w:color="auto"/>
                <w:right w:val="none" w:sz="0" w:space="0" w:color="auto"/>
              </w:divBdr>
              <w:divsChild>
                <w:div w:id="67120693">
                  <w:marLeft w:val="0"/>
                  <w:marRight w:val="0"/>
                  <w:marTop w:val="0"/>
                  <w:marBottom w:val="0"/>
                  <w:divBdr>
                    <w:top w:val="none" w:sz="0" w:space="0" w:color="auto"/>
                    <w:left w:val="none" w:sz="0" w:space="0" w:color="auto"/>
                    <w:bottom w:val="none" w:sz="0" w:space="0" w:color="auto"/>
                    <w:right w:val="none" w:sz="0" w:space="0" w:color="auto"/>
                  </w:divBdr>
                  <w:divsChild>
                    <w:div w:id="1439445038">
                      <w:marLeft w:val="0"/>
                      <w:marRight w:val="0"/>
                      <w:marTop w:val="0"/>
                      <w:marBottom w:val="0"/>
                      <w:divBdr>
                        <w:top w:val="none" w:sz="0" w:space="0" w:color="auto"/>
                        <w:left w:val="none" w:sz="0" w:space="0" w:color="auto"/>
                        <w:bottom w:val="none" w:sz="0" w:space="0" w:color="auto"/>
                        <w:right w:val="none" w:sz="0" w:space="0" w:color="auto"/>
                      </w:divBdr>
                      <w:divsChild>
                        <w:div w:id="868831960">
                          <w:marLeft w:val="0"/>
                          <w:marRight w:val="0"/>
                          <w:marTop w:val="0"/>
                          <w:marBottom w:val="0"/>
                          <w:divBdr>
                            <w:top w:val="none" w:sz="0" w:space="0" w:color="auto"/>
                            <w:left w:val="none" w:sz="0" w:space="0" w:color="auto"/>
                            <w:bottom w:val="none" w:sz="0" w:space="0" w:color="auto"/>
                            <w:right w:val="none" w:sz="0" w:space="0" w:color="auto"/>
                          </w:divBdr>
                          <w:divsChild>
                            <w:div w:id="12000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60187">
                      <w:marLeft w:val="0"/>
                      <w:marRight w:val="0"/>
                      <w:marTop w:val="0"/>
                      <w:marBottom w:val="0"/>
                      <w:divBdr>
                        <w:top w:val="none" w:sz="0" w:space="0" w:color="auto"/>
                        <w:left w:val="none" w:sz="0" w:space="0" w:color="auto"/>
                        <w:bottom w:val="none" w:sz="0" w:space="0" w:color="auto"/>
                        <w:right w:val="none" w:sz="0" w:space="0" w:color="auto"/>
                      </w:divBdr>
                      <w:divsChild>
                        <w:div w:id="1649901027">
                          <w:marLeft w:val="0"/>
                          <w:marRight w:val="0"/>
                          <w:marTop w:val="0"/>
                          <w:marBottom w:val="0"/>
                          <w:divBdr>
                            <w:top w:val="none" w:sz="0" w:space="0" w:color="auto"/>
                            <w:left w:val="none" w:sz="0" w:space="0" w:color="auto"/>
                            <w:bottom w:val="none" w:sz="0" w:space="0" w:color="auto"/>
                            <w:right w:val="none" w:sz="0" w:space="0" w:color="auto"/>
                          </w:divBdr>
                        </w:div>
                      </w:divsChild>
                    </w:div>
                    <w:div w:id="1248347251">
                      <w:marLeft w:val="0"/>
                      <w:marRight w:val="0"/>
                      <w:marTop w:val="0"/>
                      <w:marBottom w:val="0"/>
                      <w:divBdr>
                        <w:top w:val="none" w:sz="0" w:space="0" w:color="auto"/>
                        <w:left w:val="none" w:sz="0" w:space="0" w:color="auto"/>
                        <w:bottom w:val="none" w:sz="0" w:space="0" w:color="auto"/>
                        <w:right w:val="none" w:sz="0" w:space="0" w:color="auto"/>
                      </w:divBdr>
                      <w:divsChild>
                        <w:div w:id="141000077">
                          <w:marLeft w:val="0"/>
                          <w:marRight w:val="0"/>
                          <w:marTop w:val="0"/>
                          <w:marBottom w:val="0"/>
                          <w:divBdr>
                            <w:top w:val="none" w:sz="0" w:space="0" w:color="auto"/>
                            <w:left w:val="none" w:sz="0" w:space="0" w:color="auto"/>
                            <w:bottom w:val="none" w:sz="0" w:space="0" w:color="auto"/>
                            <w:right w:val="none" w:sz="0" w:space="0" w:color="auto"/>
                          </w:divBdr>
                        </w:div>
                      </w:divsChild>
                    </w:div>
                    <w:div w:id="1630479182">
                      <w:marLeft w:val="0"/>
                      <w:marRight w:val="0"/>
                      <w:marTop w:val="0"/>
                      <w:marBottom w:val="0"/>
                      <w:divBdr>
                        <w:top w:val="none" w:sz="0" w:space="0" w:color="auto"/>
                        <w:left w:val="none" w:sz="0" w:space="0" w:color="auto"/>
                        <w:bottom w:val="none" w:sz="0" w:space="0" w:color="auto"/>
                        <w:right w:val="none" w:sz="0" w:space="0" w:color="auto"/>
                      </w:divBdr>
                      <w:divsChild>
                        <w:div w:id="21326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295200">
          <w:marLeft w:val="0"/>
          <w:marRight w:val="0"/>
          <w:marTop w:val="0"/>
          <w:marBottom w:val="0"/>
          <w:divBdr>
            <w:top w:val="single" w:sz="6" w:space="0" w:color="606166"/>
            <w:left w:val="single" w:sz="6" w:space="0" w:color="606166"/>
            <w:bottom w:val="single" w:sz="6" w:space="0" w:color="606166"/>
            <w:right w:val="single" w:sz="6" w:space="0" w:color="606166"/>
          </w:divBdr>
          <w:divsChild>
            <w:div w:id="141509645">
              <w:marLeft w:val="0"/>
              <w:marRight w:val="0"/>
              <w:marTop w:val="0"/>
              <w:marBottom w:val="0"/>
              <w:divBdr>
                <w:top w:val="none" w:sz="0" w:space="0" w:color="auto"/>
                <w:left w:val="none" w:sz="0" w:space="0" w:color="auto"/>
                <w:bottom w:val="none" w:sz="0" w:space="0" w:color="auto"/>
                <w:right w:val="none" w:sz="0" w:space="0" w:color="auto"/>
              </w:divBdr>
              <w:divsChild>
                <w:div w:id="2095659572">
                  <w:marLeft w:val="0"/>
                  <w:marRight w:val="0"/>
                  <w:marTop w:val="0"/>
                  <w:marBottom w:val="0"/>
                  <w:divBdr>
                    <w:top w:val="none" w:sz="0" w:space="0" w:color="auto"/>
                    <w:left w:val="none" w:sz="0" w:space="0" w:color="auto"/>
                    <w:bottom w:val="none" w:sz="0" w:space="0" w:color="auto"/>
                    <w:right w:val="none" w:sz="0" w:space="0" w:color="auto"/>
                  </w:divBdr>
                  <w:divsChild>
                    <w:div w:id="1405647186">
                      <w:marLeft w:val="0"/>
                      <w:marRight w:val="0"/>
                      <w:marTop w:val="0"/>
                      <w:marBottom w:val="0"/>
                      <w:divBdr>
                        <w:top w:val="none" w:sz="0" w:space="0" w:color="auto"/>
                        <w:left w:val="none" w:sz="0" w:space="0" w:color="auto"/>
                        <w:bottom w:val="none" w:sz="0" w:space="0" w:color="auto"/>
                        <w:right w:val="none" w:sz="0" w:space="0" w:color="auto"/>
                      </w:divBdr>
                      <w:divsChild>
                        <w:div w:id="9294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1092780">
      <w:bodyDiv w:val="1"/>
      <w:marLeft w:val="0"/>
      <w:marRight w:val="0"/>
      <w:marTop w:val="0"/>
      <w:marBottom w:val="0"/>
      <w:divBdr>
        <w:top w:val="none" w:sz="0" w:space="0" w:color="auto"/>
        <w:left w:val="none" w:sz="0" w:space="0" w:color="auto"/>
        <w:bottom w:val="none" w:sz="0" w:space="0" w:color="auto"/>
        <w:right w:val="none" w:sz="0" w:space="0" w:color="auto"/>
      </w:divBdr>
      <w:divsChild>
        <w:div w:id="1660500934">
          <w:marLeft w:val="0"/>
          <w:marRight w:val="0"/>
          <w:marTop w:val="0"/>
          <w:marBottom w:val="0"/>
          <w:divBdr>
            <w:top w:val="none" w:sz="0" w:space="0" w:color="auto"/>
            <w:left w:val="none" w:sz="0" w:space="0" w:color="auto"/>
            <w:bottom w:val="none" w:sz="0" w:space="0" w:color="auto"/>
            <w:right w:val="none" w:sz="0" w:space="0" w:color="auto"/>
          </w:divBdr>
        </w:div>
        <w:div w:id="913851772">
          <w:marLeft w:val="0"/>
          <w:marRight w:val="0"/>
          <w:marTop w:val="0"/>
          <w:marBottom w:val="0"/>
          <w:divBdr>
            <w:top w:val="none" w:sz="0" w:space="0" w:color="auto"/>
            <w:left w:val="none" w:sz="0" w:space="0" w:color="auto"/>
            <w:bottom w:val="none" w:sz="0" w:space="0" w:color="auto"/>
            <w:right w:val="none" w:sz="0" w:space="0" w:color="auto"/>
          </w:divBdr>
        </w:div>
        <w:div w:id="838498277">
          <w:marLeft w:val="0"/>
          <w:marRight w:val="0"/>
          <w:marTop w:val="0"/>
          <w:marBottom w:val="0"/>
          <w:divBdr>
            <w:top w:val="none" w:sz="0" w:space="0" w:color="auto"/>
            <w:left w:val="none" w:sz="0" w:space="0" w:color="auto"/>
            <w:bottom w:val="none" w:sz="0" w:space="0" w:color="auto"/>
            <w:right w:val="none" w:sz="0" w:space="0" w:color="auto"/>
          </w:divBdr>
        </w:div>
        <w:div w:id="700129002">
          <w:marLeft w:val="0"/>
          <w:marRight w:val="0"/>
          <w:marTop w:val="0"/>
          <w:marBottom w:val="0"/>
          <w:divBdr>
            <w:top w:val="none" w:sz="0" w:space="0" w:color="auto"/>
            <w:left w:val="none" w:sz="0" w:space="0" w:color="auto"/>
            <w:bottom w:val="none" w:sz="0" w:space="0" w:color="auto"/>
            <w:right w:val="none" w:sz="0" w:space="0" w:color="auto"/>
          </w:divBdr>
        </w:div>
        <w:div w:id="323899222">
          <w:marLeft w:val="0"/>
          <w:marRight w:val="0"/>
          <w:marTop w:val="0"/>
          <w:marBottom w:val="0"/>
          <w:divBdr>
            <w:top w:val="none" w:sz="0" w:space="0" w:color="auto"/>
            <w:left w:val="none" w:sz="0" w:space="0" w:color="auto"/>
            <w:bottom w:val="none" w:sz="0" w:space="0" w:color="auto"/>
            <w:right w:val="none" w:sz="0" w:space="0" w:color="auto"/>
          </w:divBdr>
        </w:div>
        <w:div w:id="725878984">
          <w:marLeft w:val="0"/>
          <w:marRight w:val="0"/>
          <w:marTop w:val="0"/>
          <w:marBottom w:val="0"/>
          <w:divBdr>
            <w:top w:val="none" w:sz="0" w:space="0" w:color="auto"/>
            <w:left w:val="none" w:sz="0" w:space="0" w:color="auto"/>
            <w:bottom w:val="none" w:sz="0" w:space="0" w:color="auto"/>
            <w:right w:val="none" w:sz="0" w:space="0" w:color="auto"/>
          </w:divBdr>
        </w:div>
        <w:div w:id="1655641465">
          <w:marLeft w:val="0"/>
          <w:marRight w:val="0"/>
          <w:marTop w:val="0"/>
          <w:marBottom w:val="0"/>
          <w:divBdr>
            <w:top w:val="none" w:sz="0" w:space="0" w:color="auto"/>
            <w:left w:val="none" w:sz="0" w:space="0" w:color="auto"/>
            <w:bottom w:val="none" w:sz="0" w:space="0" w:color="auto"/>
            <w:right w:val="none" w:sz="0" w:space="0" w:color="auto"/>
          </w:divBdr>
        </w:div>
        <w:div w:id="1072697292">
          <w:marLeft w:val="0"/>
          <w:marRight w:val="0"/>
          <w:marTop w:val="0"/>
          <w:marBottom w:val="0"/>
          <w:divBdr>
            <w:top w:val="none" w:sz="0" w:space="0" w:color="auto"/>
            <w:left w:val="none" w:sz="0" w:space="0" w:color="auto"/>
            <w:bottom w:val="none" w:sz="0" w:space="0" w:color="auto"/>
            <w:right w:val="none" w:sz="0" w:space="0" w:color="auto"/>
          </w:divBdr>
        </w:div>
        <w:div w:id="220948777">
          <w:marLeft w:val="0"/>
          <w:marRight w:val="0"/>
          <w:marTop w:val="0"/>
          <w:marBottom w:val="0"/>
          <w:divBdr>
            <w:top w:val="none" w:sz="0" w:space="0" w:color="auto"/>
            <w:left w:val="none" w:sz="0" w:space="0" w:color="auto"/>
            <w:bottom w:val="none" w:sz="0" w:space="0" w:color="auto"/>
            <w:right w:val="none" w:sz="0" w:space="0" w:color="auto"/>
          </w:divBdr>
        </w:div>
        <w:div w:id="1648780530">
          <w:marLeft w:val="0"/>
          <w:marRight w:val="0"/>
          <w:marTop w:val="0"/>
          <w:marBottom w:val="0"/>
          <w:divBdr>
            <w:top w:val="none" w:sz="0" w:space="0" w:color="auto"/>
            <w:left w:val="none" w:sz="0" w:space="0" w:color="auto"/>
            <w:bottom w:val="none" w:sz="0" w:space="0" w:color="auto"/>
            <w:right w:val="none" w:sz="0" w:space="0" w:color="auto"/>
          </w:divBdr>
        </w:div>
        <w:div w:id="725181569">
          <w:marLeft w:val="0"/>
          <w:marRight w:val="0"/>
          <w:marTop w:val="0"/>
          <w:marBottom w:val="0"/>
          <w:divBdr>
            <w:top w:val="none" w:sz="0" w:space="0" w:color="auto"/>
            <w:left w:val="none" w:sz="0" w:space="0" w:color="auto"/>
            <w:bottom w:val="none" w:sz="0" w:space="0" w:color="auto"/>
            <w:right w:val="none" w:sz="0" w:space="0" w:color="auto"/>
          </w:divBdr>
        </w:div>
        <w:div w:id="1610620654">
          <w:marLeft w:val="0"/>
          <w:marRight w:val="0"/>
          <w:marTop w:val="0"/>
          <w:marBottom w:val="0"/>
          <w:divBdr>
            <w:top w:val="none" w:sz="0" w:space="0" w:color="auto"/>
            <w:left w:val="none" w:sz="0" w:space="0" w:color="auto"/>
            <w:bottom w:val="none" w:sz="0" w:space="0" w:color="auto"/>
            <w:right w:val="none" w:sz="0" w:space="0" w:color="auto"/>
          </w:divBdr>
        </w:div>
        <w:div w:id="387191467">
          <w:marLeft w:val="0"/>
          <w:marRight w:val="0"/>
          <w:marTop w:val="0"/>
          <w:marBottom w:val="0"/>
          <w:divBdr>
            <w:top w:val="none" w:sz="0" w:space="0" w:color="auto"/>
            <w:left w:val="none" w:sz="0" w:space="0" w:color="auto"/>
            <w:bottom w:val="none" w:sz="0" w:space="0" w:color="auto"/>
            <w:right w:val="none" w:sz="0" w:space="0" w:color="auto"/>
          </w:divBdr>
        </w:div>
        <w:div w:id="1224029705">
          <w:marLeft w:val="0"/>
          <w:marRight w:val="0"/>
          <w:marTop w:val="0"/>
          <w:marBottom w:val="0"/>
          <w:divBdr>
            <w:top w:val="none" w:sz="0" w:space="0" w:color="auto"/>
            <w:left w:val="none" w:sz="0" w:space="0" w:color="auto"/>
            <w:bottom w:val="none" w:sz="0" w:space="0" w:color="auto"/>
            <w:right w:val="none" w:sz="0" w:space="0" w:color="auto"/>
          </w:divBdr>
        </w:div>
        <w:div w:id="500313374">
          <w:marLeft w:val="0"/>
          <w:marRight w:val="0"/>
          <w:marTop w:val="0"/>
          <w:marBottom w:val="0"/>
          <w:divBdr>
            <w:top w:val="none" w:sz="0" w:space="0" w:color="auto"/>
            <w:left w:val="none" w:sz="0" w:space="0" w:color="auto"/>
            <w:bottom w:val="none" w:sz="0" w:space="0" w:color="auto"/>
            <w:right w:val="none" w:sz="0" w:space="0" w:color="auto"/>
          </w:divBdr>
        </w:div>
        <w:div w:id="2026855594">
          <w:marLeft w:val="0"/>
          <w:marRight w:val="0"/>
          <w:marTop w:val="0"/>
          <w:marBottom w:val="0"/>
          <w:divBdr>
            <w:top w:val="none" w:sz="0" w:space="0" w:color="auto"/>
            <w:left w:val="none" w:sz="0" w:space="0" w:color="auto"/>
            <w:bottom w:val="none" w:sz="0" w:space="0" w:color="auto"/>
            <w:right w:val="none" w:sz="0" w:space="0" w:color="auto"/>
          </w:divBdr>
        </w:div>
        <w:div w:id="243032989">
          <w:marLeft w:val="0"/>
          <w:marRight w:val="0"/>
          <w:marTop w:val="0"/>
          <w:marBottom w:val="0"/>
          <w:divBdr>
            <w:top w:val="none" w:sz="0" w:space="0" w:color="auto"/>
            <w:left w:val="none" w:sz="0" w:space="0" w:color="auto"/>
            <w:bottom w:val="none" w:sz="0" w:space="0" w:color="auto"/>
            <w:right w:val="none" w:sz="0" w:space="0" w:color="auto"/>
          </w:divBdr>
        </w:div>
      </w:divsChild>
    </w:div>
    <w:div w:id="796993951">
      <w:bodyDiv w:val="1"/>
      <w:marLeft w:val="0"/>
      <w:marRight w:val="0"/>
      <w:marTop w:val="0"/>
      <w:marBottom w:val="0"/>
      <w:divBdr>
        <w:top w:val="none" w:sz="0" w:space="0" w:color="auto"/>
        <w:left w:val="none" w:sz="0" w:space="0" w:color="auto"/>
        <w:bottom w:val="none" w:sz="0" w:space="0" w:color="auto"/>
        <w:right w:val="none" w:sz="0" w:space="0" w:color="auto"/>
      </w:divBdr>
      <w:divsChild>
        <w:div w:id="1580795171">
          <w:marLeft w:val="0"/>
          <w:marRight w:val="0"/>
          <w:marTop w:val="0"/>
          <w:marBottom w:val="0"/>
          <w:divBdr>
            <w:top w:val="none" w:sz="0" w:space="0" w:color="auto"/>
            <w:left w:val="none" w:sz="0" w:space="0" w:color="auto"/>
            <w:bottom w:val="none" w:sz="0" w:space="0" w:color="auto"/>
            <w:right w:val="none" w:sz="0" w:space="0" w:color="auto"/>
          </w:divBdr>
        </w:div>
        <w:div w:id="702756029">
          <w:marLeft w:val="0"/>
          <w:marRight w:val="0"/>
          <w:marTop w:val="0"/>
          <w:marBottom w:val="0"/>
          <w:divBdr>
            <w:top w:val="none" w:sz="0" w:space="0" w:color="auto"/>
            <w:left w:val="none" w:sz="0" w:space="0" w:color="auto"/>
            <w:bottom w:val="none" w:sz="0" w:space="0" w:color="auto"/>
            <w:right w:val="none" w:sz="0" w:space="0" w:color="auto"/>
          </w:divBdr>
        </w:div>
        <w:div w:id="1478454908">
          <w:marLeft w:val="0"/>
          <w:marRight w:val="0"/>
          <w:marTop w:val="0"/>
          <w:marBottom w:val="0"/>
          <w:divBdr>
            <w:top w:val="none" w:sz="0" w:space="0" w:color="auto"/>
            <w:left w:val="none" w:sz="0" w:space="0" w:color="auto"/>
            <w:bottom w:val="none" w:sz="0" w:space="0" w:color="auto"/>
            <w:right w:val="none" w:sz="0" w:space="0" w:color="auto"/>
          </w:divBdr>
        </w:div>
        <w:div w:id="602034463">
          <w:marLeft w:val="0"/>
          <w:marRight w:val="0"/>
          <w:marTop w:val="0"/>
          <w:marBottom w:val="0"/>
          <w:divBdr>
            <w:top w:val="none" w:sz="0" w:space="0" w:color="auto"/>
            <w:left w:val="none" w:sz="0" w:space="0" w:color="auto"/>
            <w:bottom w:val="none" w:sz="0" w:space="0" w:color="auto"/>
            <w:right w:val="none" w:sz="0" w:space="0" w:color="auto"/>
          </w:divBdr>
        </w:div>
        <w:div w:id="531039345">
          <w:marLeft w:val="0"/>
          <w:marRight w:val="0"/>
          <w:marTop w:val="0"/>
          <w:marBottom w:val="0"/>
          <w:divBdr>
            <w:top w:val="none" w:sz="0" w:space="0" w:color="auto"/>
            <w:left w:val="none" w:sz="0" w:space="0" w:color="auto"/>
            <w:bottom w:val="none" w:sz="0" w:space="0" w:color="auto"/>
            <w:right w:val="none" w:sz="0" w:space="0" w:color="auto"/>
          </w:divBdr>
        </w:div>
        <w:div w:id="1868637691">
          <w:marLeft w:val="0"/>
          <w:marRight w:val="0"/>
          <w:marTop w:val="0"/>
          <w:marBottom w:val="0"/>
          <w:divBdr>
            <w:top w:val="none" w:sz="0" w:space="0" w:color="auto"/>
            <w:left w:val="none" w:sz="0" w:space="0" w:color="auto"/>
            <w:bottom w:val="none" w:sz="0" w:space="0" w:color="auto"/>
            <w:right w:val="none" w:sz="0" w:space="0" w:color="auto"/>
          </w:divBdr>
        </w:div>
      </w:divsChild>
    </w:div>
    <w:div w:id="948270291">
      <w:bodyDiv w:val="1"/>
      <w:marLeft w:val="0"/>
      <w:marRight w:val="0"/>
      <w:marTop w:val="0"/>
      <w:marBottom w:val="0"/>
      <w:divBdr>
        <w:top w:val="none" w:sz="0" w:space="0" w:color="auto"/>
        <w:left w:val="none" w:sz="0" w:space="0" w:color="auto"/>
        <w:bottom w:val="none" w:sz="0" w:space="0" w:color="auto"/>
        <w:right w:val="none" w:sz="0" w:space="0" w:color="auto"/>
      </w:divBdr>
    </w:div>
    <w:div w:id="1374307105">
      <w:bodyDiv w:val="1"/>
      <w:marLeft w:val="0"/>
      <w:marRight w:val="0"/>
      <w:marTop w:val="0"/>
      <w:marBottom w:val="0"/>
      <w:divBdr>
        <w:top w:val="none" w:sz="0" w:space="0" w:color="auto"/>
        <w:left w:val="none" w:sz="0" w:space="0" w:color="auto"/>
        <w:bottom w:val="none" w:sz="0" w:space="0" w:color="auto"/>
        <w:right w:val="none" w:sz="0" w:space="0" w:color="auto"/>
      </w:divBdr>
      <w:divsChild>
        <w:div w:id="1971089595">
          <w:marLeft w:val="0"/>
          <w:marRight w:val="0"/>
          <w:marTop w:val="0"/>
          <w:marBottom w:val="0"/>
          <w:divBdr>
            <w:top w:val="none" w:sz="0" w:space="0" w:color="auto"/>
            <w:left w:val="none" w:sz="0" w:space="0" w:color="auto"/>
            <w:bottom w:val="none" w:sz="0" w:space="0" w:color="auto"/>
            <w:right w:val="none" w:sz="0" w:space="0" w:color="auto"/>
          </w:divBdr>
          <w:divsChild>
            <w:div w:id="559707934">
              <w:marLeft w:val="0"/>
              <w:marRight w:val="0"/>
              <w:marTop w:val="0"/>
              <w:marBottom w:val="0"/>
              <w:divBdr>
                <w:top w:val="none" w:sz="0" w:space="0" w:color="auto"/>
                <w:left w:val="none" w:sz="0" w:space="0" w:color="auto"/>
                <w:bottom w:val="none" w:sz="0" w:space="0" w:color="auto"/>
                <w:right w:val="none" w:sz="0" w:space="0" w:color="auto"/>
              </w:divBdr>
              <w:divsChild>
                <w:div w:id="1685009799">
                  <w:marLeft w:val="0"/>
                  <w:marRight w:val="0"/>
                  <w:marTop w:val="0"/>
                  <w:marBottom w:val="0"/>
                  <w:divBdr>
                    <w:top w:val="none" w:sz="0" w:space="0" w:color="auto"/>
                    <w:left w:val="none" w:sz="0" w:space="0" w:color="auto"/>
                    <w:bottom w:val="none" w:sz="0" w:space="0" w:color="auto"/>
                    <w:right w:val="none" w:sz="0" w:space="0" w:color="auto"/>
                  </w:divBdr>
                  <w:divsChild>
                    <w:div w:id="436678039">
                      <w:marLeft w:val="0"/>
                      <w:marRight w:val="0"/>
                      <w:marTop w:val="0"/>
                      <w:marBottom w:val="0"/>
                      <w:divBdr>
                        <w:top w:val="none" w:sz="0" w:space="0" w:color="auto"/>
                        <w:left w:val="none" w:sz="0" w:space="0" w:color="auto"/>
                        <w:bottom w:val="none" w:sz="0" w:space="0" w:color="auto"/>
                        <w:right w:val="none" w:sz="0" w:space="0" w:color="auto"/>
                      </w:divBdr>
                      <w:divsChild>
                        <w:div w:id="849762067">
                          <w:marLeft w:val="0"/>
                          <w:marRight w:val="0"/>
                          <w:marTop w:val="0"/>
                          <w:marBottom w:val="0"/>
                          <w:divBdr>
                            <w:top w:val="none" w:sz="0" w:space="0" w:color="auto"/>
                            <w:left w:val="none" w:sz="0" w:space="0" w:color="auto"/>
                            <w:bottom w:val="none" w:sz="0" w:space="0" w:color="auto"/>
                            <w:right w:val="none" w:sz="0" w:space="0" w:color="auto"/>
                          </w:divBdr>
                          <w:divsChild>
                            <w:div w:id="16821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587">
                      <w:marLeft w:val="0"/>
                      <w:marRight w:val="0"/>
                      <w:marTop w:val="0"/>
                      <w:marBottom w:val="0"/>
                      <w:divBdr>
                        <w:top w:val="none" w:sz="0" w:space="0" w:color="auto"/>
                        <w:left w:val="none" w:sz="0" w:space="0" w:color="auto"/>
                        <w:bottom w:val="none" w:sz="0" w:space="0" w:color="auto"/>
                        <w:right w:val="none" w:sz="0" w:space="0" w:color="auto"/>
                      </w:divBdr>
                      <w:divsChild>
                        <w:div w:id="39598441">
                          <w:marLeft w:val="0"/>
                          <w:marRight w:val="0"/>
                          <w:marTop w:val="0"/>
                          <w:marBottom w:val="0"/>
                          <w:divBdr>
                            <w:top w:val="none" w:sz="0" w:space="0" w:color="auto"/>
                            <w:left w:val="none" w:sz="0" w:space="0" w:color="auto"/>
                            <w:bottom w:val="none" w:sz="0" w:space="0" w:color="auto"/>
                            <w:right w:val="none" w:sz="0" w:space="0" w:color="auto"/>
                          </w:divBdr>
                        </w:div>
                      </w:divsChild>
                    </w:div>
                    <w:div w:id="428743268">
                      <w:marLeft w:val="0"/>
                      <w:marRight w:val="0"/>
                      <w:marTop w:val="0"/>
                      <w:marBottom w:val="0"/>
                      <w:divBdr>
                        <w:top w:val="none" w:sz="0" w:space="0" w:color="auto"/>
                        <w:left w:val="none" w:sz="0" w:space="0" w:color="auto"/>
                        <w:bottom w:val="none" w:sz="0" w:space="0" w:color="auto"/>
                        <w:right w:val="none" w:sz="0" w:space="0" w:color="auto"/>
                      </w:divBdr>
                      <w:divsChild>
                        <w:div w:id="1140073892">
                          <w:marLeft w:val="0"/>
                          <w:marRight w:val="0"/>
                          <w:marTop w:val="0"/>
                          <w:marBottom w:val="0"/>
                          <w:divBdr>
                            <w:top w:val="none" w:sz="0" w:space="0" w:color="auto"/>
                            <w:left w:val="none" w:sz="0" w:space="0" w:color="auto"/>
                            <w:bottom w:val="none" w:sz="0" w:space="0" w:color="auto"/>
                            <w:right w:val="none" w:sz="0" w:space="0" w:color="auto"/>
                          </w:divBdr>
                        </w:div>
                      </w:divsChild>
                    </w:div>
                    <w:div w:id="1267498032">
                      <w:marLeft w:val="0"/>
                      <w:marRight w:val="0"/>
                      <w:marTop w:val="0"/>
                      <w:marBottom w:val="0"/>
                      <w:divBdr>
                        <w:top w:val="none" w:sz="0" w:space="0" w:color="auto"/>
                        <w:left w:val="none" w:sz="0" w:space="0" w:color="auto"/>
                        <w:bottom w:val="none" w:sz="0" w:space="0" w:color="auto"/>
                        <w:right w:val="none" w:sz="0" w:space="0" w:color="auto"/>
                      </w:divBdr>
                      <w:divsChild>
                        <w:div w:id="2197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556995">
          <w:marLeft w:val="0"/>
          <w:marRight w:val="0"/>
          <w:marTop w:val="0"/>
          <w:marBottom w:val="0"/>
          <w:divBdr>
            <w:top w:val="single" w:sz="6" w:space="0" w:color="606166"/>
            <w:left w:val="single" w:sz="6" w:space="0" w:color="606166"/>
            <w:bottom w:val="single" w:sz="6" w:space="0" w:color="606166"/>
            <w:right w:val="single" w:sz="6" w:space="0" w:color="606166"/>
          </w:divBdr>
          <w:divsChild>
            <w:div w:id="1856112693">
              <w:marLeft w:val="0"/>
              <w:marRight w:val="0"/>
              <w:marTop w:val="0"/>
              <w:marBottom w:val="0"/>
              <w:divBdr>
                <w:top w:val="none" w:sz="0" w:space="0" w:color="auto"/>
                <w:left w:val="none" w:sz="0" w:space="0" w:color="auto"/>
                <w:bottom w:val="none" w:sz="0" w:space="0" w:color="auto"/>
                <w:right w:val="none" w:sz="0" w:space="0" w:color="auto"/>
              </w:divBdr>
              <w:divsChild>
                <w:div w:id="912852408">
                  <w:marLeft w:val="0"/>
                  <w:marRight w:val="0"/>
                  <w:marTop w:val="0"/>
                  <w:marBottom w:val="0"/>
                  <w:divBdr>
                    <w:top w:val="none" w:sz="0" w:space="0" w:color="auto"/>
                    <w:left w:val="none" w:sz="0" w:space="0" w:color="auto"/>
                    <w:bottom w:val="none" w:sz="0" w:space="0" w:color="auto"/>
                    <w:right w:val="none" w:sz="0" w:space="0" w:color="auto"/>
                  </w:divBdr>
                  <w:divsChild>
                    <w:div w:id="751043589">
                      <w:marLeft w:val="0"/>
                      <w:marRight w:val="0"/>
                      <w:marTop w:val="0"/>
                      <w:marBottom w:val="0"/>
                      <w:divBdr>
                        <w:top w:val="none" w:sz="0" w:space="0" w:color="auto"/>
                        <w:left w:val="none" w:sz="0" w:space="0" w:color="auto"/>
                        <w:bottom w:val="none" w:sz="0" w:space="0" w:color="auto"/>
                        <w:right w:val="none" w:sz="0" w:space="0" w:color="auto"/>
                      </w:divBdr>
                      <w:divsChild>
                        <w:div w:id="187985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881974">
      <w:bodyDiv w:val="1"/>
      <w:marLeft w:val="0"/>
      <w:marRight w:val="0"/>
      <w:marTop w:val="0"/>
      <w:marBottom w:val="0"/>
      <w:divBdr>
        <w:top w:val="none" w:sz="0" w:space="0" w:color="auto"/>
        <w:left w:val="none" w:sz="0" w:space="0" w:color="auto"/>
        <w:bottom w:val="none" w:sz="0" w:space="0" w:color="auto"/>
        <w:right w:val="none" w:sz="0" w:space="0" w:color="auto"/>
      </w:divBdr>
    </w:div>
    <w:div w:id="1494763554">
      <w:bodyDiv w:val="1"/>
      <w:marLeft w:val="0"/>
      <w:marRight w:val="0"/>
      <w:marTop w:val="0"/>
      <w:marBottom w:val="0"/>
      <w:divBdr>
        <w:top w:val="none" w:sz="0" w:space="0" w:color="auto"/>
        <w:left w:val="none" w:sz="0" w:space="0" w:color="auto"/>
        <w:bottom w:val="none" w:sz="0" w:space="0" w:color="auto"/>
        <w:right w:val="none" w:sz="0" w:space="0" w:color="auto"/>
      </w:divBdr>
      <w:divsChild>
        <w:div w:id="2078476714">
          <w:marLeft w:val="0"/>
          <w:marRight w:val="0"/>
          <w:marTop w:val="0"/>
          <w:marBottom w:val="0"/>
          <w:divBdr>
            <w:top w:val="none" w:sz="0" w:space="0" w:color="auto"/>
            <w:left w:val="none" w:sz="0" w:space="0" w:color="auto"/>
            <w:bottom w:val="none" w:sz="0" w:space="0" w:color="auto"/>
            <w:right w:val="none" w:sz="0" w:space="0" w:color="auto"/>
          </w:divBdr>
        </w:div>
        <w:div w:id="936869359">
          <w:marLeft w:val="0"/>
          <w:marRight w:val="0"/>
          <w:marTop w:val="0"/>
          <w:marBottom w:val="0"/>
          <w:divBdr>
            <w:top w:val="none" w:sz="0" w:space="0" w:color="auto"/>
            <w:left w:val="none" w:sz="0" w:space="0" w:color="auto"/>
            <w:bottom w:val="none" w:sz="0" w:space="0" w:color="auto"/>
            <w:right w:val="none" w:sz="0" w:space="0" w:color="auto"/>
          </w:divBdr>
        </w:div>
        <w:div w:id="1886331169">
          <w:marLeft w:val="0"/>
          <w:marRight w:val="0"/>
          <w:marTop w:val="0"/>
          <w:marBottom w:val="0"/>
          <w:divBdr>
            <w:top w:val="none" w:sz="0" w:space="0" w:color="auto"/>
            <w:left w:val="none" w:sz="0" w:space="0" w:color="auto"/>
            <w:bottom w:val="none" w:sz="0" w:space="0" w:color="auto"/>
            <w:right w:val="none" w:sz="0" w:space="0" w:color="auto"/>
          </w:divBdr>
        </w:div>
        <w:div w:id="257063650">
          <w:marLeft w:val="0"/>
          <w:marRight w:val="0"/>
          <w:marTop w:val="0"/>
          <w:marBottom w:val="0"/>
          <w:divBdr>
            <w:top w:val="none" w:sz="0" w:space="0" w:color="auto"/>
            <w:left w:val="none" w:sz="0" w:space="0" w:color="auto"/>
            <w:bottom w:val="none" w:sz="0" w:space="0" w:color="auto"/>
            <w:right w:val="none" w:sz="0" w:space="0" w:color="auto"/>
          </w:divBdr>
        </w:div>
        <w:div w:id="1415660017">
          <w:marLeft w:val="0"/>
          <w:marRight w:val="0"/>
          <w:marTop w:val="0"/>
          <w:marBottom w:val="0"/>
          <w:divBdr>
            <w:top w:val="none" w:sz="0" w:space="0" w:color="auto"/>
            <w:left w:val="none" w:sz="0" w:space="0" w:color="auto"/>
            <w:bottom w:val="none" w:sz="0" w:space="0" w:color="auto"/>
            <w:right w:val="none" w:sz="0" w:space="0" w:color="auto"/>
          </w:divBdr>
        </w:div>
        <w:div w:id="1537884100">
          <w:marLeft w:val="0"/>
          <w:marRight w:val="0"/>
          <w:marTop w:val="0"/>
          <w:marBottom w:val="0"/>
          <w:divBdr>
            <w:top w:val="none" w:sz="0" w:space="0" w:color="auto"/>
            <w:left w:val="none" w:sz="0" w:space="0" w:color="auto"/>
            <w:bottom w:val="none" w:sz="0" w:space="0" w:color="auto"/>
            <w:right w:val="none" w:sz="0" w:space="0" w:color="auto"/>
          </w:divBdr>
        </w:div>
        <w:div w:id="1715958662">
          <w:marLeft w:val="0"/>
          <w:marRight w:val="0"/>
          <w:marTop w:val="0"/>
          <w:marBottom w:val="0"/>
          <w:divBdr>
            <w:top w:val="none" w:sz="0" w:space="0" w:color="auto"/>
            <w:left w:val="none" w:sz="0" w:space="0" w:color="auto"/>
            <w:bottom w:val="none" w:sz="0" w:space="0" w:color="auto"/>
            <w:right w:val="none" w:sz="0" w:space="0" w:color="auto"/>
          </w:divBdr>
        </w:div>
        <w:div w:id="2119569323">
          <w:marLeft w:val="0"/>
          <w:marRight w:val="0"/>
          <w:marTop w:val="0"/>
          <w:marBottom w:val="0"/>
          <w:divBdr>
            <w:top w:val="none" w:sz="0" w:space="0" w:color="auto"/>
            <w:left w:val="none" w:sz="0" w:space="0" w:color="auto"/>
            <w:bottom w:val="none" w:sz="0" w:space="0" w:color="auto"/>
            <w:right w:val="none" w:sz="0" w:space="0" w:color="auto"/>
          </w:divBdr>
        </w:div>
        <w:div w:id="668025323">
          <w:marLeft w:val="0"/>
          <w:marRight w:val="0"/>
          <w:marTop w:val="0"/>
          <w:marBottom w:val="0"/>
          <w:divBdr>
            <w:top w:val="none" w:sz="0" w:space="0" w:color="auto"/>
            <w:left w:val="none" w:sz="0" w:space="0" w:color="auto"/>
            <w:bottom w:val="none" w:sz="0" w:space="0" w:color="auto"/>
            <w:right w:val="none" w:sz="0" w:space="0" w:color="auto"/>
          </w:divBdr>
        </w:div>
        <w:div w:id="2139755157">
          <w:marLeft w:val="0"/>
          <w:marRight w:val="0"/>
          <w:marTop w:val="0"/>
          <w:marBottom w:val="0"/>
          <w:divBdr>
            <w:top w:val="none" w:sz="0" w:space="0" w:color="auto"/>
            <w:left w:val="none" w:sz="0" w:space="0" w:color="auto"/>
            <w:bottom w:val="none" w:sz="0" w:space="0" w:color="auto"/>
            <w:right w:val="none" w:sz="0" w:space="0" w:color="auto"/>
          </w:divBdr>
        </w:div>
        <w:div w:id="1826166209">
          <w:marLeft w:val="0"/>
          <w:marRight w:val="0"/>
          <w:marTop w:val="0"/>
          <w:marBottom w:val="0"/>
          <w:divBdr>
            <w:top w:val="none" w:sz="0" w:space="0" w:color="auto"/>
            <w:left w:val="none" w:sz="0" w:space="0" w:color="auto"/>
            <w:bottom w:val="none" w:sz="0" w:space="0" w:color="auto"/>
            <w:right w:val="none" w:sz="0" w:space="0" w:color="auto"/>
          </w:divBdr>
        </w:div>
        <w:div w:id="658654026">
          <w:marLeft w:val="0"/>
          <w:marRight w:val="0"/>
          <w:marTop w:val="0"/>
          <w:marBottom w:val="0"/>
          <w:divBdr>
            <w:top w:val="none" w:sz="0" w:space="0" w:color="auto"/>
            <w:left w:val="none" w:sz="0" w:space="0" w:color="auto"/>
            <w:bottom w:val="none" w:sz="0" w:space="0" w:color="auto"/>
            <w:right w:val="none" w:sz="0" w:space="0" w:color="auto"/>
          </w:divBdr>
        </w:div>
        <w:div w:id="411900809">
          <w:marLeft w:val="0"/>
          <w:marRight w:val="0"/>
          <w:marTop w:val="0"/>
          <w:marBottom w:val="0"/>
          <w:divBdr>
            <w:top w:val="none" w:sz="0" w:space="0" w:color="auto"/>
            <w:left w:val="none" w:sz="0" w:space="0" w:color="auto"/>
            <w:bottom w:val="none" w:sz="0" w:space="0" w:color="auto"/>
            <w:right w:val="none" w:sz="0" w:space="0" w:color="auto"/>
          </w:divBdr>
        </w:div>
        <w:div w:id="1631012406">
          <w:marLeft w:val="0"/>
          <w:marRight w:val="0"/>
          <w:marTop w:val="0"/>
          <w:marBottom w:val="0"/>
          <w:divBdr>
            <w:top w:val="none" w:sz="0" w:space="0" w:color="auto"/>
            <w:left w:val="none" w:sz="0" w:space="0" w:color="auto"/>
            <w:bottom w:val="none" w:sz="0" w:space="0" w:color="auto"/>
            <w:right w:val="none" w:sz="0" w:space="0" w:color="auto"/>
          </w:divBdr>
        </w:div>
        <w:div w:id="323702567">
          <w:marLeft w:val="0"/>
          <w:marRight w:val="0"/>
          <w:marTop w:val="0"/>
          <w:marBottom w:val="0"/>
          <w:divBdr>
            <w:top w:val="none" w:sz="0" w:space="0" w:color="auto"/>
            <w:left w:val="none" w:sz="0" w:space="0" w:color="auto"/>
            <w:bottom w:val="none" w:sz="0" w:space="0" w:color="auto"/>
            <w:right w:val="none" w:sz="0" w:space="0" w:color="auto"/>
          </w:divBdr>
        </w:div>
        <w:div w:id="935527415">
          <w:marLeft w:val="0"/>
          <w:marRight w:val="0"/>
          <w:marTop w:val="0"/>
          <w:marBottom w:val="0"/>
          <w:divBdr>
            <w:top w:val="none" w:sz="0" w:space="0" w:color="auto"/>
            <w:left w:val="none" w:sz="0" w:space="0" w:color="auto"/>
            <w:bottom w:val="none" w:sz="0" w:space="0" w:color="auto"/>
            <w:right w:val="none" w:sz="0" w:space="0" w:color="auto"/>
          </w:divBdr>
        </w:div>
        <w:div w:id="438991396">
          <w:marLeft w:val="0"/>
          <w:marRight w:val="0"/>
          <w:marTop w:val="0"/>
          <w:marBottom w:val="0"/>
          <w:divBdr>
            <w:top w:val="none" w:sz="0" w:space="0" w:color="auto"/>
            <w:left w:val="none" w:sz="0" w:space="0" w:color="auto"/>
            <w:bottom w:val="none" w:sz="0" w:space="0" w:color="auto"/>
            <w:right w:val="none" w:sz="0" w:space="0" w:color="auto"/>
          </w:divBdr>
        </w:div>
        <w:div w:id="1459956845">
          <w:marLeft w:val="0"/>
          <w:marRight w:val="0"/>
          <w:marTop w:val="0"/>
          <w:marBottom w:val="0"/>
          <w:divBdr>
            <w:top w:val="none" w:sz="0" w:space="0" w:color="auto"/>
            <w:left w:val="none" w:sz="0" w:space="0" w:color="auto"/>
            <w:bottom w:val="none" w:sz="0" w:space="0" w:color="auto"/>
            <w:right w:val="none" w:sz="0" w:space="0" w:color="auto"/>
          </w:divBdr>
        </w:div>
        <w:div w:id="1959413844">
          <w:marLeft w:val="0"/>
          <w:marRight w:val="0"/>
          <w:marTop w:val="0"/>
          <w:marBottom w:val="0"/>
          <w:divBdr>
            <w:top w:val="none" w:sz="0" w:space="0" w:color="auto"/>
            <w:left w:val="none" w:sz="0" w:space="0" w:color="auto"/>
            <w:bottom w:val="none" w:sz="0" w:space="0" w:color="auto"/>
            <w:right w:val="none" w:sz="0" w:space="0" w:color="auto"/>
          </w:divBdr>
        </w:div>
        <w:div w:id="1315373241">
          <w:marLeft w:val="0"/>
          <w:marRight w:val="0"/>
          <w:marTop w:val="0"/>
          <w:marBottom w:val="0"/>
          <w:divBdr>
            <w:top w:val="none" w:sz="0" w:space="0" w:color="auto"/>
            <w:left w:val="none" w:sz="0" w:space="0" w:color="auto"/>
            <w:bottom w:val="none" w:sz="0" w:space="0" w:color="auto"/>
            <w:right w:val="none" w:sz="0" w:space="0" w:color="auto"/>
          </w:divBdr>
        </w:div>
        <w:div w:id="1288968689">
          <w:marLeft w:val="0"/>
          <w:marRight w:val="0"/>
          <w:marTop w:val="0"/>
          <w:marBottom w:val="0"/>
          <w:divBdr>
            <w:top w:val="none" w:sz="0" w:space="0" w:color="auto"/>
            <w:left w:val="none" w:sz="0" w:space="0" w:color="auto"/>
            <w:bottom w:val="none" w:sz="0" w:space="0" w:color="auto"/>
            <w:right w:val="none" w:sz="0" w:space="0" w:color="auto"/>
          </w:divBdr>
        </w:div>
        <w:div w:id="1052118804">
          <w:marLeft w:val="0"/>
          <w:marRight w:val="0"/>
          <w:marTop w:val="0"/>
          <w:marBottom w:val="0"/>
          <w:divBdr>
            <w:top w:val="none" w:sz="0" w:space="0" w:color="auto"/>
            <w:left w:val="none" w:sz="0" w:space="0" w:color="auto"/>
            <w:bottom w:val="none" w:sz="0" w:space="0" w:color="auto"/>
            <w:right w:val="none" w:sz="0" w:space="0" w:color="auto"/>
          </w:divBdr>
        </w:div>
        <w:div w:id="2008167980">
          <w:marLeft w:val="0"/>
          <w:marRight w:val="0"/>
          <w:marTop w:val="0"/>
          <w:marBottom w:val="0"/>
          <w:divBdr>
            <w:top w:val="none" w:sz="0" w:space="0" w:color="auto"/>
            <w:left w:val="none" w:sz="0" w:space="0" w:color="auto"/>
            <w:bottom w:val="none" w:sz="0" w:space="0" w:color="auto"/>
            <w:right w:val="none" w:sz="0" w:space="0" w:color="auto"/>
          </w:divBdr>
        </w:div>
        <w:div w:id="1074353307">
          <w:marLeft w:val="0"/>
          <w:marRight w:val="0"/>
          <w:marTop w:val="0"/>
          <w:marBottom w:val="0"/>
          <w:divBdr>
            <w:top w:val="none" w:sz="0" w:space="0" w:color="auto"/>
            <w:left w:val="none" w:sz="0" w:space="0" w:color="auto"/>
            <w:bottom w:val="none" w:sz="0" w:space="0" w:color="auto"/>
            <w:right w:val="none" w:sz="0" w:space="0" w:color="auto"/>
          </w:divBdr>
        </w:div>
        <w:div w:id="1622685281">
          <w:marLeft w:val="0"/>
          <w:marRight w:val="0"/>
          <w:marTop w:val="0"/>
          <w:marBottom w:val="0"/>
          <w:divBdr>
            <w:top w:val="none" w:sz="0" w:space="0" w:color="auto"/>
            <w:left w:val="none" w:sz="0" w:space="0" w:color="auto"/>
            <w:bottom w:val="none" w:sz="0" w:space="0" w:color="auto"/>
            <w:right w:val="none" w:sz="0" w:space="0" w:color="auto"/>
          </w:divBdr>
        </w:div>
        <w:div w:id="1283458237">
          <w:marLeft w:val="0"/>
          <w:marRight w:val="0"/>
          <w:marTop w:val="0"/>
          <w:marBottom w:val="0"/>
          <w:divBdr>
            <w:top w:val="none" w:sz="0" w:space="0" w:color="auto"/>
            <w:left w:val="none" w:sz="0" w:space="0" w:color="auto"/>
            <w:bottom w:val="none" w:sz="0" w:space="0" w:color="auto"/>
            <w:right w:val="none" w:sz="0" w:space="0" w:color="auto"/>
          </w:divBdr>
        </w:div>
        <w:div w:id="1290472995">
          <w:marLeft w:val="0"/>
          <w:marRight w:val="0"/>
          <w:marTop w:val="0"/>
          <w:marBottom w:val="0"/>
          <w:divBdr>
            <w:top w:val="none" w:sz="0" w:space="0" w:color="auto"/>
            <w:left w:val="none" w:sz="0" w:space="0" w:color="auto"/>
            <w:bottom w:val="none" w:sz="0" w:space="0" w:color="auto"/>
            <w:right w:val="none" w:sz="0" w:space="0" w:color="auto"/>
          </w:divBdr>
        </w:div>
      </w:divsChild>
    </w:div>
    <w:div w:id="1543862870">
      <w:bodyDiv w:val="1"/>
      <w:marLeft w:val="0"/>
      <w:marRight w:val="0"/>
      <w:marTop w:val="0"/>
      <w:marBottom w:val="0"/>
      <w:divBdr>
        <w:top w:val="none" w:sz="0" w:space="0" w:color="auto"/>
        <w:left w:val="none" w:sz="0" w:space="0" w:color="auto"/>
        <w:bottom w:val="none" w:sz="0" w:space="0" w:color="auto"/>
        <w:right w:val="none" w:sz="0" w:space="0" w:color="auto"/>
      </w:divBdr>
      <w:divsChild>
        <w:div w:id="1721130772">
          <w:marLeft w:val="0"/>
          <w:marRight w:val="0"/>
          <w:marTop w:val="0"/>
          <w:marBottom w:val="0"/>
          <w:divBdr>
            <w:top w:val="none" w:sz="0" w:space="0" w:color="auto"/>
            <w:left w:val="none" w:sz="0" w:space="0" w:color="auto"/>
            <w:bottom w:val="none" w:sz="0" w:space="0" w:color="auto"/>
            <w:right w:val="none" w:sz="0" w:space="0" w:color="auto"/>
          </w:divBdr>
        </w:div>
        <w:div w:id="688416113">
          <w:marLeft w:val="0"/>
          <w:marRight w:val="0"/>
          <w:marTop w:val="0"/>
          <w:marBottom w:val="0"/>
          <w:divBdr>
            <w:top w:val="none" w:sz="0" w:space="0" w:color="auto"/>
            <w:left w:val="none" w:sz="0" w:space="0" w:color="auto"/>
            <w:bottom w:val="none" w:sz="0" w:space="0" w:color="auto"/>
            <w:right w:val="none" w:sz="0" w:space="0" w:color="auto"/>
          </w:divBdr>
        </w:div>
        <w:div w:id="1204905005">
          <w:marLeft w:val="0"/>
          <w:marRight w:val="0"/>
          <w:marTop w:val="0"/>
          <w:marBottom w:val="0"/>
          <w:divBdr>
            <w:top w:val="none" w:sz="0" w:space="0" w:color="auto"/>
            <w:left w:val="none" w:sz="0" w:space="0" w:color="auto"/>
            <w:bottom w:val="none" w:sz="0" w:space="0" w:color="auto"/>
            <w:right w:val="none" w:sz="0" w:space="0" w:color="auto"/>
          </w:divBdr>
        </w:div>
        <w:div w:id="1089541192">
          <w:marLeft w:val="0"/>
          <w:marRight w:val="0"/>
          <w:marTop w:val="0"/>
          <w:marBottom w:val="0"/>
          <w:divBdr>
            <w:top w:val="none" w:sz="0" w:space="0" w:color="auto"/>
            <w:left w:val="none" w:sz="0" w:space="0" w:color="auto"/>
            <w:bottom w:val="none" w:sz="0" w:space="0" w:color="auto"/>
            <w:right w:val="none" w:sz="0" w:space="0" w:color="auto"/>
          </w:divBdr>
        </w:div>
        <w:div w:id="667516407">
          <w:marLeft w:val="0"/>
          <w:marRight w:val="0"/>
          <w:marTop w:val="0"/>
          <w:marBottom w:val="0"/>
          <w:divBdr>
            <w:top w:val="none" w:sz="0" w:space="0" w:color="auto"/>
            <w:left w:val="none" w:sz="0" w:space="0" w:color="auto"/>
            <w:bottom w:val="none" w:sz="0" w:space="0" w:color="auto"/>
            <w:right w:val="none" w:sz="0" w:space="0" w:color="auto"/>
          </w:divBdr>
        </w:div>
        <w:div w:id="294721290">
          <w:marLeft w:val="0"/>
          <w:marRight w:val="0"/>
          <w:marTop w:val="0"/>
          <w:marBottom w:val="0"/>
          <w:divBdr>
            <w:top w:val="none" w:sz="0" w:space="0" w:color="auto"/>
            <w:left w:val="none" w:sz="0" w:space="0" w:color="auto"/>
            <w:bottom w:val="none" w:sz="0" w:space="0" w:color="auto"/>
            <w:right w:val="none" w:sz="0" w:space="0" w:color="auto"/>
          </w:divBdr>
        </w:div>
      </w:divsChild>
    </w:div>
    <w:div w:id="1581481217">
      <w:bodyDiv w:val="1"/>
      <w:marLeft w:val="0"/>
      <w:marRight w:val="0"/>
      <w:marTop w:val="0"/>
      <w:marBottom w:val="0"/>
      <w:divBdr>
        <w:top w:val="none" w:sz="0" w:space="0" w:color="auto"/>
        <w:left w:val="none" w:sz="0" w:space="0" w:color="auto"/>
        <w:bottom w:val="none" w:sz="0" w:space="0" w:color="auto"/>
        <w:right w:val="none" w:sz="0" w:space="0" w:color="auto"/>
      </w:divBdr>
    </w:div>
    <w:div w:id="1593054008">
      <w:bodyDiv w:val="1"/>
      <w:marLeft w:val="0"/>
      <w:marRight w:val="0"/>
      <w:marTop w:val="0"/>
      <w:marBottom w:val="0"/>
      <w:divBdr>
        <w:top w:val="none" w:sz="0" w:space="0" w:color="auto"/>
        <w:left w:val="none" w:sz="0" w:space="0" w:color="auto"/>
        <w:bottom w:val="none" w:sz="0" w:space="0" w:color="auto"/>
        <w:right w:val="none" w:sz="0" w:space="0" w:color="auto"/>
      </w:divBdr>
    </w:div>
    <w:div w:id="1599485868">
      <w:bodyDiv w:val="1"/>
      <w:marLeft w:val="0"/>
      <w:marRight w:val="0"/>
      <w:marTop w:val="0"/>
      <w:marBottom w:val="0"/>
      <w:divBdr>
        <w:top w:val="none" w:sz="0" w:space="0" w:color="auto"/>
        <w:left w:val="none" w:sz="0" w:space="0" w:color="auto"/>
        <w:bottom w:val="none" w:sz="0" w:space="0" w:color="auto"/>
        <w:right w:val="none" w:sz="0" w:space="0" w:color="auto"/>
      </w:divBdr>
      <w:divsChild>
        <w:div w:id="1876191809">
          <w:marLeft w:val="0"/>
          <w:marRight w:val="0"/>
          <w:marTop w:val="0"/>
          <w:marBottom w:val="0"/>
          <w:divBdr>
            <w:top w:val="none" w:sz="0" w:space="0" w:color="auto"/>
            <w:left w:val="none" w:sz="0" w:space="0" w:color="auto"/>
            <w:bottom w:val="none" w:sz="0" w:space="0" w:color="auto"/>
            <w:right w:val="none" w:sz="0" w:space="0" w:color="auto"/>
          </w:divBdr>
        </w:div>
        <w:div w:id="1708065074">
          <w:marLeft w:val="0"/>
          <w:marRight w:val="0"/>
          <w:marTop w:val="0"/>
          <w:marBottom w:val="0"/>
          <w:divBdr>
            <w:top w:val="none" w:sz="0" w:space="0" w:color="auto"/>
            <w:left w:val="none" w:sz="0" w:space="0" w:color="auto"/>
            <w:bottom w:val="none" w:sz="0" w:space="0" w:color="auto"/>
            <w:right w:val="none" w:sz="0" w:space="0" w:color="auto"/>
          </w:divBdr>
        </w:div>
        <w:div w:id="1784496822">
          <w:marLeft w:val="0"/>
          <w:marRight w:val="0"/>
          <w:marTop w:val="0"/>
          <w:marBottom w:val="0"/>
          <w:divBdr>
            <w:top w:val="none" w:sz="0" w:space="0" w:color="auto"/>
            <w:left w:val="none" w:sz="0" w:space="0" w:color="auto"/>
            <w:bottom w:val="none" w:sz="0" w:space="0" w:color="auto"/>
            <w:right w:val="none" w:sz="0" w:space="0" w:color="auto"/>
          </w:divBdr>
        </w:div>
      </w:divsChild>
    </w:div>
    <w:div w:id="1874532689">
      <w:bodyDiv w:val="1"/>
      <w:marLeft w:val="0"/>
      <w:marRight w:val="0"/>
      <w:marTop w:val="0"/>
      <w:marBottom w:val="0"/>
      <w:divBdr>
        <w:top w:val="none" w:sz="0" w:space="0" w:color="auto"/>
        <w:left w:val="none" w:sz="0" w:space="0" w:color="auto"/>
        <w:bottom w:val="none" w:sz="0" w:space="0" w:color="auto"/>
        <w:right w:val="none" w:sz="0" w:space="0" w:color="auto"/>
      </w:divBdr>
    </w:div>
    <w:div w:id="1875969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ma.europa.eu/en/documents/scientific-guideline/guideline-process-validation-manufacture-biotechnology-derived-active-substances-and-data-be-provided-regulatory-submission_en.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sinobiological.com/resource/protein-review/protein-purification-by-ac"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dn.cytivalifesciences.com/api/public/content/digi-11495-pdf" TargetMode="External"/><Relationship Id="rId33" Type="http://schemas.openxmlformats.org/officeDocument/2006/relationships/hyperlink" Target="https://www.ptglab.com/news/blog/what-is-a-nanobod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base.ich.org/sites/default/files/Q6B%20Guidelin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ube-biotech.com/our-science/protein-purification/his-tag/" TargetMode="External"/><Relationship Id="rId32" Type="http://schemas.openxmlformats.org/officeDocument/2006/relationships/hyperlink" Target="https://www.neuromics.com/protein-affinity-chromatograph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atabase.ich.org/sites/default/files/Q5C%20Guideline.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atabase.ich.org/sites/default/files/Q11%20Guideline.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da.gov/files/drugs/published/Process-Validation--General-Principles-and-Practices.pdf" TargetMode="External"/><Relationship Id="rId30" Type="http://schemas.openxmlformats.org/officeDocument/2006/relationships/hyperlink" Target="https://database.ich.org/sites/default/files/ICH_Q9%28R1%29_Guideline_Step4_2025_0115.pdf"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3A58A-37AF-4B58-8E7D-7EBCFDF01EB6}">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Template>
  <TotalTime>880</TotalTime>
  <Pages>23</Pages>
  <Words>7470</Words>
  <Characters>42583</Characters>
  <Application>Microsoft Office Word</Application>
  <DocSecurity>0</DocSecurity>
  <Lines>354</Lines>
  <Paragraphs>99</Paragraphs>
  <ScaleCrop>false</ScaleCrop>
  <Company/>
  <LinksUpToDate>false</LinksUpToDate>
  <CharactersWithSpaces>49954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Skiba - STUDENT</dc:creator>
  <dc:description/>
  <cp:lastModifiedBy>Justyna Skiba - STUDENT</cp:lastModifiedBy>
  <cp:revision>450</cp:revision>
  <cp:lastPrinted>2025-04-08T08:53:00Z</cp:lastPrinted>
  <dcterms:created xsi:type="dcterms:W3CDTF">2025-03-09T11:37:00Z</dcterms:created>
  <dcterms:modified xsi:type="dcterms:W3CDTF">2025-04-11T07:22:00Z</dcterms:modified>
</cp:coreProperties>
</file>