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Georgia" w:hAnsi="Georgia"/>
          <w:b/>
          <w:color w:val="2F75B5"/>
          <w:sz w:val="32"/>
        </w:rPr>
        <w:t>EDGE COMPUTING ASSIGNMENT</w:t>
      </w:r>
    </w:p>
    <w:p>
      <w:pPr>
        <w:pStyle w:val="Title"/>
        <w:spacing w:before="440"/>
        <w:jc w:val="center"/>
      </w:pPr>
      <w:r>
        <w:rPr>
          <w:rFonts w:ascii="Arial" w:hAnsi="Arial"/>
          <w:b/>
          <w:color w:val="000000"/>
          <w:sz w:val="58"/>
        </w:rPr>
        <w:t>Client-Side Aggregation vs</w:t>
        <w:br/>
        <w:t>Direct Data Transmission</w:t>
      </w:r>
    </w:p>
    <w:p>
      <w:pPr>
        <w:jc w:val="center"/>
      </w:pPr>
      <w:r>
        <w:rPr>
          <w:rFonts w:ascii="Georgia" w:hAnsi="Georgia"/>
          <w:color w:val="586271"/>
          <w:sz w:val="36"/>
        </w:rPr>
        <w:t>Implementation, Evaluation and Comparison Report</w:t>
      </w:r>
    </w:p>
    <w:p>
      <w:pPr>
        <w:spacing w:before="4600"/>
        <w:jc w:val="center"/>
      </w:pPr>
      <w:r>
        <w:rPr>
          <w:rFonts w:ascii="Georgia" w:hAnsi="Georgia"/>
          <w:b/>
          <w:sz w:val="30"/>
        </w:rPr>
        <w:t>Prepared by Daniil Aleksejevich</w:t>
      </w:r>
    </w:p>
    <w:p>
      <w:pPr>
        <w:jc w:val="center"/>
      </w:pPr>
      <w:r>
        <w:t>23 September 2026</w:t>
      </w:r>
    </w:p>
    <w:p>
      <w:r>
        <w:br w:type="page"/>
      </w:r>
    </w:p>
    <w:p>
      <w:pPr>
        <w:pStyle w:val="Heading1"/>
        <w:keepNext/>
      </w:pPr>
      <w:r>
        <w:t>1 Assignment Objective</w:t>
      </w:r>
    </w:p>
    <w:p>
      <w:r>
        <w:t>The assignment examines two approaches to collecting employee keyboard activity. In the edge-computing solution, each client counts key presses locally and sends only one aggregate count per 15-minute interval. In the comparison solution, every key event is transmitted directly to the server and aggregated centrally.</w:t>
      </w:r>
    </w:p>
    <w:p>
      <w:r>
        <w:t>Both implementations determine whether a user is working during business hours, absent during business hours, working overtime, or inactive outside business hours. Business hours are inferred when at least 80% of users in a region are active.</w:t>
      </w:r>
    </w:p>
    <w:p>
      <w:pPr>
        <w:pStyle w:val="Heading1"/>
        <w:keepNext/>
      </w:pPr>
      <w:r>
        <w:t>2 Supplied Prototype</w:t>
      </w:r>
    </w:p>
    <w:p>
      <w:r>
        <w:t>The supplied prototype contained klientas.py and serveris.py. The client used pynput to monitor key presses, stored every pressed key locally, and periodically sent a count to a Flask server. The server stored a status in SQLite and exposed a report endpoint.</w:t>
      </w:r>
    </w:p>
    <w:tbl>
      <w:tblPr>
        <w:tblStyle w:val="TableGrid"/>
        <w:tblW w:type="auto" w:w="0"/>
        <w:jc w:val="center"/>
        <w:tblLook w:firstColumn="1" w:firstRow="1" w:lastColumn="0" w:lastRow="0" w:noHBand="0" w:noVBand="1" w:val="04A0"/>
      </w:tblPr>
      <w:tblGrid>
        <w:gridCol w:w="4997"/>
        <w:gridCol w:w="4997"/>
      </w:tblGrid>
      <w:tr>
        <w:tc>
          <w:tcPr>
            <w:tcW w:type="dxa" w:w="4997"/>
            <w:shd w:fill="2F75B5"/>
          </w:tcPr>
          <w:p>
            <w:r>
              <w:rPr>
                <w:rFonts w:ascii="Arial" w:hAnsi="Arial"/>
                <w:b/>
                <w:color w:val="FFFFFF"/>
                <w:sz w:val="17"/>
              </w:rPr>
              <w:t>File</w:t>
            </w:r>
          </w:p>
        </w:tc>
        <w:tc>
          <w:tcPr>
            <w:tcW w:type="dxa" w:w="4997"/>
            <w:shd w:fill="2F75B5"/>
          </w:tcPr>
          <w:p>
            <w:r>
              <w:rPr>
                <w:rFonts w:ascii="Arial" w:hAnsi="Arial"/>
                <w:b/>
                <w:color w:val="FFFFFF"/>
                <w:sz w:val="17"/>
              </w:rPr>
              <w:t>Original responsibility</w:t>
            </w:r>
          </w:p>
        </w:tc>
      </w:tr>
      <w:tr>
        <w:tc>
          <w:tcPr>
            <w:tcW w:type="dxa" w:w="4997"/>
            <w:vAlign w:val="center"/>
            <w:tcMar>
              <w:top w:w="85" w:type="dxa"/>
              <w:start w:w="85" w:type="dxa"/>
              <w:bottom w:w="85" w:type="dxa"/>
              <w:end w:w="85" w:type="dxa"/>
            </w:tcMar>
          </w:tcPr>
          <w:p>
            <w:r>
              <w:rPr>
                <w:rFonts w:ascii="Arial" w:hAnsi="Arial"/>
                <w:sz w:val="17"/>
              </w:rPr>
              <w:t>klientas.py</w:t>
            </w:r>
          </w:p>
        </w:tc>
        <w:tc>
          <w:tcPr>
            <w:tcW w:type="dxa" w:w="4997"/>
            <w:vAlign w:val="center"/>
            <w:tcMar>
              <w:top w:w="85" w:type="dxa"/>
              <w:start w:w="85" w:type="dxa"/>
              <w:bottom w:w="85" w:type="dxa"/>
              <w:end w:w="85" w:type="dxa"/>
            </w:tcMar>
          </w:tcPr>
          <w:p>
            <w:r>
              <w:rPr>
                <w:rFonts w:ascii="Arial" w:hAnsi="Arial"/>
                <w:sz w:val="17"/>
              </w:rPr>
              <w:t>Capture keystrokes, write local raw log and send key_count</w:t>
            </w:r>
          </w:p>
        </w:tc>
      </w:tr>
      <w:tr>
        <w:tc>
          <w:tcPr>
            <w:tcW w:type="dxa" w:w="4997"/>
            <w:vAlign w:val="center"/>
            <w:tcMar>
              <w:top w:w="85" w:type="dxa"/>
              <w:start w:w="85" w:type="dxa"/>
              <w:bottom w:w="85" w:type="dxa"/>
              <w:end w:w="85" w:type="dxa"/>
            </w:tcMar>
            <w:shd w:fill="F4F7FA"/>
          </w:tcPr>
          <w:p>
            <w:r>
              <w:rPr>
                <w:rFonts w:ascii="Arial" w:hAnsi="Arial"/>
                <w:sz w:val="17"/>
              </w:rPr>
              <w:t>serveris.py</w:t>
            </w:r>
          </w:p>
        </w:tc>
        <w:tc>
          <w:tcPr>
            <w:tcW w:type="dxa" w:w="4997"/>
            <w:vAlign w:val="center"/>
            <w:tcMar>
              <w:top w:w="85" w:type="dxa"/>
              <w:start w:w="85" w:type="dxa"/>
              <w:bottom w:w="85" w:type="dxa"/>
              <w:end w:w="85" w:type="dxa"/>
            </w:tcMar>
            <w:shd w:fill="F4F7FA"/>
          </w:tcPr>
          <w:p>
            <w:r>
              <w:rPr>
                <w:rFonts w:ascii="Arial" w:hAnsi="Arial"/>
                <w:sz w:val="17"/>
              </w:rPr>
              <w:t>Receive aggregates, classify activity and return statistics</w:t>
            </w:r>
          </w:p>
        </w:tc>
      </w:tr>
    </w:tbl>
    <w:p>
      <w:pPr>
        <w:pStyle w:val="Heading1"/>
        <w:keepNext/>
      </w:pPr>
      <w:r>
        <w:t>3 Problems Identified</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F75B5"/>
          </w:tcPr>
          <w:p>
            <w:r>
              <w:rPr>
                <w:rFonts w:ascii="Arial" w:hAnsi="Arial"/>
                <w:b/>
                <w:color w:val="FFFFFF"/>
                <w:sz w:val="17"/>
              </w:rPr>
              <w:t>Issue</w:t>
            </w:r>
          </w:p>
        </w:tc>
        <w:tc>
          <w:tcPr>
            <w:tcW w:type="dxa" w:w="3331"/>
            <w:shd w:fill="2F75B5"/>
          </w:tcPr>
          <w:p>
            <w:r>
              <w:rPr>
                <w:rFonts w:ascii="Arial" w:hAnsi="Arial"/>
                <w:b/>
                <w:color w:val="FFFFFF"/>
                <w:sz w:val="17"/>
              </w:rPr>
              <w:t>Impact</w:t>
            </w:r>
          </w:p>
        </w:tc>
        <w:tc>
          <w:tcPr>
            <w:tcW w:type="dxa" w:w="3331"/>
            <w:shd w:fill="2F75B5"/>
          </w:tcPr>
          <w:p>
            <w:r>
              <w:rPr>
                <w:rFonts w:ascii="Arial" w:hAnsi="Arial"/>
                <w:b/>
                <w:color w:val="FFFFFF"/>
                <w:sz w:val="17"/>
              </w:rPr>
              <w:t>Improvement</w:t>
            </w:r>
          </w:p>
        </w:tc>
      </w:tr>
      <w:tr>
        <w:tc>
          <w:tcPr>
            <w:tcW w:type="dxa" w:w="3331"/>
            <w:vAlign w:val="center"/>
            <w:tcMar>
              <w:top w:w="85" w:type="dxa"/>
              <w:start w:w="85" w:type="dxa"/>
              <w:bottom w:w="85" w:type="dxa"/>
              <w:end w:w="85" w:type="dxa"/>
            </w:tcMar>
          </w:tcPr>
          <w:p>
            <w:r>
              <w:rPr>
                <w:rFonts w:ascii="Arial" w:hAnsi="Arial"/>
                <w:sz w:val="17"/>
              </w:rPr>
              <w:t>Immediate evaluation after one upload</w:t>
            </w:r>
          </w:p>
        </w:tc>
        <w:tc>
          <w:tcPr>
            <w:tcW w:type="dxa" w:w="3331"/>
            <w:vAlign w:val="center"/>
            <w:tcMar>
              <w:top w:w="85" w:type="dxa"/>
              <w:start w:w="85" w:type="dxa"/>
              <w:bottom w:w="85" w:type="dxa"/>
              <w:end w:w="85" w:type="dxa"/>
            </w:tcMar>
          </w:tcPr>
          <w:p>
            <w:r>
              <w:rPr>
                <w:rFonts w:ascii="Arial" w:hAnsi="Arial"/>
                <w:sz w:val="17"/>
              </w:rPr>
              <w:t>Incorrect regional 80% calculation</w:t>
            </w:r>
          </w:p>
        </w:tc>
        <w:tc>
          <w:tcPr>
            <w:tcW w:type="dxa" w:w="3331"/>
            <w:vAlign w:val="center"/>
            <w:tcMar>
              <w:top w:w="85" w:type="dxa"/>
              <w:start w:w="85" w:type="dxa"/>
              <w:bottom w:w="85" w:type="dxa"/>
              <w:end w:w="85" w:type="dxa"/>
            </w:tcMar>
          </w:tcPr>
          <w:p>
            <w:r>
              <w:rPr>
                <w:rFonts w:ascii="Arial" w:hAnsi="Arial"/>
                <w:sz w:val="17"/>
              </w:rPr>
              <w:t>Wait for the configured number of users</w:t>
            </w:r>
          </w:p>
        </w:tc>
      </w:tr>
      <w:tr>
        <w:tc>
          <w:tcPr>
            <w:tcW w:type="dxa" w:w="3331"/>
            <w:vAlign w:val="center"/>
            <w:tcMar>
              <w:top w:w="85" w:type="dxa"/>
              <w:start w:w="85" w:type="dxa"/>
              <w:bottom w:w="85" w:type="dxa"/>
              <w:end w:w="85" w:type="dxa"/>
            </w:tcMar>
            <w:shd w:fill="F4F7FA"/>
          </w:tcPr>
          <w:p>
            <w:r>
              <w:rPr>
                <w:rFonts w:ascii="Arial" w:hAnsi="Arial"/>
                <w:sz w:val="17"/>
              </w:rPr>
              <w:t>10-second demo vs 15-minute logic</w:t>
            </w:r>
          </w:p>
        </w:tc>
        <w:tc>
          <w:tcPr>
            <w:tcW w:type="dxa" w:w="3331"/>
            <w:vAlign w:val="center"/>
            <w:tcMar>
              <w:top w:w="85" w:type="dxa"/>
              <w:start w:w="85" w:type="dxa"/>
              <w:bottom w:w="85" w:type="dxa"/>
              <w:end w:w="85" w:type="dxa"/>
            </w:tcMar>
            <w:shd w:fill="F4F7FA"/>
          </w:tcPr>
          <w:p>
            <w:r>
              <w:rPr>
                <w:rFonts w:ascii="Arial" w:hAnsi="Arial"/>
                <w:sz w:val="17"/>
              </w:rPr>
              <w:t>Threshold and interval mismatch</w:t>
            </w:r>
          </w:p>
        </w:tc>
        <w:tc>
          <w:tcPr>
            <w:tcW w:type="dxa" w:w="3331"/>
            <w:vAlign w:val="center"/>
            <w:tcMar>
              <w:top w:w="85" w:type="dxa"/>
              <w:start w:w="85" w:type="dxa"/>
              <w:bottom w:w="85" w:type="dxa"/>
              <w:end w:w="85" w:type="dxa"/>
            </w:tcMar>
            <w:shd w:fill="F4F7FA"/>
          </w:tcPr>
          <w:p>
            <w:r>
              <w:rPr>
                <w:rFonts w:ascii="Arial" w:hAnsi="Arial"/>
                <w:sz w:val="17"/>
              </w:rPr>
              <w:t>Configurable 900-second default window</w:t>
            </w:r>
          </w:p>
        </w:tc>
      </w:tr>
      <w:tr>
        <w:tc>
          <w:tcPr>
            <w:tcW w:type="dxa" w:w="3331"/>
            <w:vAlign w:val="center"/>
            <w:tcMar>
              <w:top w:w="85" w:type="dxa"/>
              <w:start w:w="85" w:type="dxa"/>
              <w:bottom w:w="85" w:type="dxa"/>
              <w:end w:w="85" w:type="dxa"/>
            </w:tcMar>
          </w:tcPr>
          <w:p>
            <w:r>
              <w:rPr>
                <w:rFonts w:ascii="Arial" w:hAnsi="Arial"/>
                <w:sz w:val="17"/>
              </w:rPr>
              <w:t>Raw keys saved locally</w:t>
            </w:r>
          </w:p>
        </w:tc>
        <w:tc>
          <w:tcPr>
            <w:tcW w:type="dxa" w:w="3331"/>
            <w:vAlign w:val="center"/>
            <w:tcMar>
              <w:top w:w="85" w:type="dxa"/>
              <w:start w:w="85" w:type="dxa"/>
              <w:bottom w:w="85" w:type="dxa"/>
              <w:end w:w="85" w:type="dxa"/>
            </w:tcMar>
          </w:tcPr>
          <w:p>
            <w:r>
              <w:rPr>
                <w:rFonts w:ascii="Arial" w:hAnsi="Arial"/>
                <w:sz w:val="17"/>
              </w:rPr>
              <w:t>Unnecessary privacy exposure</w:t>
            </w:r>
          </w:p>
        </w:tc>
        <w:tc>
          <w:tcPr>
            <w:tcW w:type="dxa" w:w="3331"/>
            <w:vAlign w:val="center"/>
            <w:tcMar>
              <w:top w:w="85" w:type="dxa"/>
              <w:start w:w="85" w:type="dxa"/>
              <w:bottom w:w="85" w:type="dxa"/>
              <w:end w:w="85" w:type="dxa"/>
            </w:tcMar>
          </w:tcPr>
          <w:p>
            <w:r>
              <w:rPr>
                <w:rFonts w:ascii="Arial" w:hAnsi="Arial"/>
                <w:sz w:val="17"/>
              </w:rPr>
              <w:t>Discard key values in the edge client</w:t>
            </w:r>
          </w:p>
        </w:tc>
      </w:tr>
      <w:tr>
        <w:tc>
          <w:tcPr>
            <w:tcW w:type="dxa" w:w="3331"/>
            <w:vAlign w:val="center"/>
            <w:tcMar>
              <w:top w:w="85" w:type="dxa"/>
              <w:start w:w="85" w:type="dxa"/>
              <w:bottom w:w="85" w:type="dxa"/>
              <w:end w:w="85" w:type="dxa"/>
            </w:tcMar>
            <w:shd w:fill="F4F7FA"/>
          </w:tcPr>
          <w:p>
            <w:r>
              <w:rPr>
                <w:rFonts w:ascii="Arial" w:hAnsi="Arial"/>
                <w:sz w:val="17"/>
              </w:rPr>
              <w:t>Shared global SQLite cursor</w:t>
            </w:r>
          </w:p>
        </w:tc>
        <w:tc>
          <w:tcPr>
            <w:tcW w:type="dxa" w:w="3331"/>
            <w:vAlign w:val="center"/>
            <w:tcMar>
              <w:top w:w="85" w:type="dxa"/>
              <w:start w:w="85" w:type="dxa"/>
              <w:bottom w:w="85" w:type="dxa"/>
              <w:end w:w="85" w:type="dxa"/>
            </w:tcMar>
            <w:shd w:fill="F4F7FA"/>
          </w:tcPr>
          <w:p>
            <w:r>
              <w:rPr>
                <w:rFonts w:ascii="Arial" w:hAnsi="Arial"/>
                <w:sz w:val="17"/>
              </w:rPr>
              <w:t>Unsafe with concurrent Flask requests</w:t>
            </w:r>
          </w:p>
        </w:tc>
        <w:tc>
          <w:tcPr>
            <w:tcW w:type="dxa" w:w="3331"/>
            <w:vAlign w:val="center"/>
            <w:tcMar>
              <w:top w:w="85" w:type="dxa"/>
              <w:start w:w="85" w:type="dxa"/>
              <w:bottom w:w="85" w:type="dxa"/>
              <w:end w:w="85" w:type="dxa"/>
            </w:tcMar>
            <w:shd w:fill="F4F7FA"/>
          </w:tcPr>
          <w:p>
            <w:r>
              <w:rPr>
                <w:rFonts w:ascii="Arial" w:hAnsi="Arial"/>
                <w:sz w:val="17"/>
              </w:rPr>
              <w:t>Open a connection per operation</w:t>
            </w:r>
          </w:p>
        </w:tc>
      </w:tr>
      <w:tr>
        <w:tc>
          <w:tcPr>
            <w:tcW w:type="dxa" w:w="3331"/>
            <w:vAlign w:val="center"/>
            <w:tcMar>
              <w:top w:w="85" w:type="dxa"/>
              <w:start w:w="85" w:type="dxa"/>
              <w:bottom w:w="85" w:type="dxa"/>
              <w:end w:w="85" w:type="dxa"/>
            </w:tcMar>
          </w:tcPr>
          <w:p>
            <w:r>
              <w:rPr>
                <w:rFonts w:ascii="Arial" w:hAnsi="Arial"/>
                <w:sz w:val="17"/>
              </w:rPr>
              <w:t>No authentication or validation</w:t>
            </w:r>
          </w:p>
        </w:tc>
        <w:tc>
          <w:tcPr>
            <w:tcW w:type="dxa" w:w="3331"/>
            <w:vAlign w:val="center"/>
            <w:tcMar>
              <w:top w:w="85" w:type="dxa"/>
              <w:start w:w="85" w:type="dxa"/>
              <w:bottom w:w="85" w:type="dxa"/>
              <w:end w:w="85" w:type="dxa"/>
            </w:tcMar>
          </w:tcPr>
          <w:p>
            <w:r>
              <w:rPr>
                <w:rFonts w:ascii="Arial" w:hAnsi="Arial"/>
                <w:sz w:val="17"/>
              </w:rPr>
              <w:t>Any sender can insert malformed data</w:t>
            </w:r>
          </w:p>
        </w:tc>
        <w:tc>
          <w:tcPr>
            <w:tcW w:type="dxa" w:w="3331"/>
            <w:vAlign w:val="center"/>
            <w:tcMar>
              <w:top w:w="85" w:type="dxa"/>
              <w:start w:w="85" w:type="dxa"/>
              <w:bottom w:w="85" w:type="dxa"/>
              <w:end w:w="85" w:type="dxa"/>
            </w:tcMar>
          </w:tcPr>
          <w:p>
            <w:r>
              <w:rPr>
                <w:rFonts w:ascii="Arial" w:hAnsi="Arial"/>
                <w:sz w:val="17"/>
              </w:rPr>
              <w:t>API key and input validation</w:t>
            </w:r>
          </w:p>
        </w:tc>
      </w:tr>
      <w:tr>
        <w:tc>
          <w:tcPr>
            <w:tcW w:type="dxa" w:w="3331"/>
            <w:vAlign w:val="center"/>
            <w:tcMar>
              <w:top w:w="85" w:type="dxa"/>
              <w:start w:w="85" w:type="dxa"/>
              <w:bottom w:w="85" w:type="dxa"/>
              <w:end w:w="85" w:type="dxa"/>
            </w:tcMar>
            <w:shd w:fill="F4F7FA"/>
          </w:tcPr>
          <w:p>
            <w:r>
              <w:rPr>
                <w:rFonts w:ascii="Arial" w:hAnsi="Arial"/>
                <w:sz w:val="17"/>
              </w:rPr>
              <w:t>No offline handling</w:t>
            </w:r>
          </w:p>
        </w:tc>
        <w:tc>
          <w:tcPr>
            <w:tcW w:type="dxa" w:w="3331"/>
            <w:vAlign w:val="center"/>
            <w:tcMar>
              <w:top w:w="85" w:type="dxa"/>
              <w:start w:w="85" w:type="dxa"/>
              <w:bottom w:w="85" w:type="dxa"/>
              <w:end w:w="85" w:type="dxa"/>
            </w:tcMar>
            <w:shd w:fill="F4F7FA"/>
          </w:tcPr>
          <w:p>
            <w:r>
              <w:rPr>
                <w:rFonts w:ascii="Arial" w:hAnsi="Arial"/>
                <w:sz w:val="17"/>
              </w:rPr>
              <w:t>Intervals are lost during outages</w:t>
            </w:r>
          </w:p>
        </w:tc>
        <w:tc>
          <w:tcPr>
            <w:tcW w:type="dxa" w:w="3331"/>
            <w:vAlign w:val="center"/>
            <w:tcMar>
              <w:top w:w="85" w:type="dxa"/>
              <w:start w:w="85" w:type="dxa"/>
              <w:bottom w:w="85" w:type="dxa"/>
              <w:end w:w="85" w:type="dxa"/>
            </w:tcMar>
            <w:shd w:fill="F4F7FA"/>
          </w:tcPr>
          <w:p>
            <w:r>
              <w:rPr>
                <w:rFonts w:ascii="Arial" w:hAnsi="Arial"/>
                <w:sz w:val="17"/>
              </w:rPr>
              <w:t>Local retry queue</w:t>
            </w:r>
          </w:p>
        </w:tc>
      </w:tr>
    </w:tbl>
    <w:p>
      <w:r>
        <w:br w:type="page"/>
      </w:r>
    </w:p>
    <w:p>
      <w:pPr>
        <w:pStyle w:val="Heading1"/>
        <w:keepNext/>
      </w:pPr>
      <w:r>
        <w:t>4 Solution A: Edge Aggregation</w:t>
      </w:r>
    </w:p>
    <w:p>
      <w:r>
        <w:t>The improved edge client increments an in-memory counter for each key press but deliberately discards the key value. At the end of the interval, it sends one JSON object containing the user, region, interval timestamps and key count. This follows the principle of data minimisation.</w:t>
      </w:r>
    </w:p>
    <w:p>
      <w:pPr>
        <w:jc w:val="center"/>
      </w:pPr>
      <w:r>
        <w:drawing>
          <wp:inline xmlns:a="http://schemas.openxmlformats.org/drawingml/2006/main" xmlns:pic="http://schemas.openxmlformats.org/drawingml/2006/picture">
            <wp:extent cx="6172200" cy="2017554"/>
            <wp:docPr id="1" name="Picture 1"/>
            <wp:cNvGraphicFramePr>
              <a:graphicFrameLocks noChangeAspect="1"/>
            </wp:cNvGraphicFramePr>
            <a:graphic>
              <a:graphicData uri="http://schemas.openxmlformats.org/drawingml/2006/picture">
                <pic:pic>
                  <pic:nvPicPr>
                    <pic:cNvPr id="0" name="edge_architecture.png"/>
                    <pic:cNvPicPr/>
                  </pic:nvPicPr>
                  <pic:blipFill>
                    <a:blip r:embed="rId15"/>
                    <a:stretch>
                      <a:fillRect/>
                    </a:stretch>
                  </pic:blipFill>
                  <pic:spPr>
                    <a:xfrm>
                      <a:off x="0" y="0"/>
                      <a:ext cx="6172200" cy="2017554"/>
                    </a:xfrm>
                    <a:prstGeom prst="rect"/>
                  </pic:spPr>
                </pic:pic>
              </a:graphicData>
            </a:graphic>
          </wp:inline>
        </w:drawing>
      </w:r>
    </w:p>
    <w:p>
      <w:pPr>
        <w:pStyle w:val="Caption"/>
        <w:jc w:val="center"/>
      </w:pPr>
      <w:r>
        <w:t>Figure 1  Edge-processing data flow</w:t>
      </w:r>
    </w:p>
    <w:p>
      <w:pPr>
        <w:pStyle w:val="Heading2"/>
        <w:keepNext/>
      </w:pPr>
      <w:r>
        <w:t>4.1 Edge payload</w:t>
      </w:r>
    </w:p>
    <w:p>
      <w:pPr>
        <w:pStyle w:val="Code"/>
        <w:spacing w:before="0" w:after="0"/>
        <w:shd w:fill="F3F5F7"/>
      </w:pPr>
      <w:r>
        <w:rPr>
          <w:rFonts w:ascii="Consolas" w:hAnsi="Consolas"/>
          <w:sz w:val="17"/>
        </w:rPr>
        <w:t>{</w:t>
      </w:r>
    </w:p>
    <w:p>
      <w:pPr>
        <w:pStyle w:val="Code"/>
        <w:spacing w:before="0" w:after="0"/>
        <w:shd w:fill="F3F5F7"/>
      </w:pPr>
      <w:r>
        <w:rPr>
          <w:rFonts w:ascii="Consolas" w:hAnsi="Consolas"/>
          <w:sz w:val="17"/>
        </w:rPr>
        <w:t xml:space="preserve">  "user_id": "demo-user",</w:t>
      </w:r>
    </w:p>
    <w:p>
      <w:pPr>
        <w:pStyle w:val="Code"/>
        <w:spacing w:before="0" w:after="0"/>
        <w:shd w:fill="F3F5F7"/>
      </w:pPr>
      <w:r>
        <w:rPr>
          <w:rFonts w:ascii="Consolas" w:hAnsi="Consolas"/>
          <w:sz w:val="17"/>
        </w:rPr>
        <w:t xml:space="preserve">  "region_id": "vilnius",</w:t>
      </w:r>
    </w:p>
    <w:p>
      <w:pPr>
        <w:pStyle w:val="Code"/>
        <w:spacing w:before="0" w:after="0"/>
        <w:shd w:fill="F3F5F7"/>
      </w:pPr>
      <w:r>
        <w:rPr>
          <w:rFonts w:ascii="Consolas" w:hAnsi="Consolas"/>
          <w:sz w:val="17"/>
        </w:rPr>
        <w:t xml:space="preserve">  "interval_start": "2026-09-23T08:00:00+00:00",</w:t>
      </w:r>
    </w:p>
    <w:p>
      <w:pPr>
        <w:pStyle w:val="Code"/>
        <w:spacing w:before="0" w:after="0"/>
        <w:shd w:fill="F3F5F7"/>
      </w:pPr>
      <w:r>
        <w:rPr>
          <w:rFonts w:ascii="Consolas" w:hAnsi="Consolas"/>
          <w:sz w:val="17"/>
        </w:rPr>
        <w:t xml:space="preserve">  "interval_end": "2026-09-23T08:15:00+00:00",</w:t>
      </w:r>
    </w:p>
    <w:p>
      <w:pPr>
        <w:pStyle w:val="Code"/>
        <w:spacing w:before="0" w:after="0"/>
        <w:shd w:fill="F3F5F7"/>
      </w:pPr>
      <w:r>
        <w:rPr>
          <w:rFonts w:ascii="Consolas" w:hAnsi="Consolas"/>
          <w:sz w:val="17"/>
        </w:rPr>
        <w:t xml:space="preserve">  "key_count": 30</w:t>
      </w:r>
    </w:p>
    <w:p>
      <w:pPr>
        <w:pStyle w:val="Code"/>
        <w:spacing w:before="0" w:after="0"/>
        <w:shd w:fill="F3F5F7"/>
      </w:pPr>
      <w:r>
        <w:rPr>
          <w:rFonts w:ascii="Consolas" w:hAnsi="Consolas"/>
          <w:sz w:val="17"/>
        </w:rPr>
        <w:t>}</w:t>
      </w:r>
    </w:p>
    <w:p>
      <w:pPr>
        <w:pStyle w:val="Heading2"/>
        <w:keepNext/>
      </w:pPr>
      <w:r>
        <w:t>4.2 Advantages</w:t>
      </w:r>
    </w:p>
    <w:p>
      <w:pPr>
        <w:pStyle w:val="ListBullet"/>
        <w:spacing w:after="80"/>
      </w:pPr>
      <w:r>
        <w:t>The server never receives the characters that were typed.</w:t>
      </w:r>
    </w:p>
    <w:p>
      <w:pPr>
        <w:pStyle w:val="ListBullet"/>
        <w:spacing w:after="80"/>
      </w:pPr>
      <w:r>
        <w:t>Only one small request is sent per interval.</w:t>
      </w:r>
    </w:p>
    <w:p>
      <w:pPr>
        <w:pStyle w:val="ListBullet"/>
        <w:spacing w:after="80"/>
      </w:pPr>
      <w:r>
        <w:t>Temporary connection failures can be handled with a local aggregate queue.</w:t>
      </w:r>
    </w:p>
    <w:p>
      <w:pPr>
        <w:pStyle w:val="ListBullet"/>
        <w:spacing w:after="80"/>
      </w:pPr>
      <w:r>
        <w:t>Server storage and processing requirements are low.</w:t>
      </w:r>
    </w:p>
    <w:p>
      <w:pPr>
        <w:pStyle w:val="Heading2"/>
        <w:keepNext/>
      </w:pPr>
      <w:r>
        <w:t>4.3 Limitations</w:t>
      </w:r>
    </w:p>
    <w:p>
      <w:pPr>
        <w:pStyle w:val="ListBullet"/>
        <w:spacing w:after="80"/>
      </w:pPr>
      <w:r>
        <w:t>The server cannot reconstruct detailed event timing within the interval.</w:t>
      </w:r>
    </w:p>
    <w:p>
      <w:pPr>
        <w:pStyle w:val="ListBullet"/>
        <w:spacing w:after="80"/>
      </w:pPr>
      <w:r>
        <w:t>A modified client could report an incorrect count unless device attestation is added.</w:t>
      </w:r>
    </w:p>
    <w:p>
      <w:pPr>
        <w:pStyle w:val="ListBullet"/>
        <w:spacing w:after="80"/>
      </w:pPr>
      <w:r>
        <w:t>The status is delayed until the aggregation interval ends.</w:t>
      </w:r>
    </w:p>
    <w:p>
      <w:r>
        <w:br w:type="page"/>
      </w:r>
    </w:p>
    <w:p>
      <w:pPr>
        <w:pStyle w:val="Heading1"/>
        <w:keepNext/>
      </w:pPr>
      <w:r>
        <w:t>5 Solution B: Direct Transmission</w:t>
      </w:r>
    </w:p>
    <w:p>
      <w:r>
        <w:t>The alternative client sends every key event to the server immediately. The server stores raw events, groups them into time windows and then applies the same regional 80% rule. This provides greater event-level detail but creates substantially greater privacy, network and storage costs.</w:t>
      </w:r>
    </w:p>
    <w:p>
      <w:pPr>
        <w:jc w:val="center"/>
      </w:pPr>
      <w:r>
        <w:drawing>
          <wp:inline xmlns:a="http://schemas.openxmlformats.org/drawingml/2006/main" xmlns:pic="http://schemas.openxmlformats.org/drawingml/2006/picture">
            <wp:extent cx="6172200" cy="2017554"/>
            <wp:docPr id="2" name="Picture 2"/>
            <wp:cNvGraphicFramePr>
              <a:graphicFrameLocks noChangeAspect="1"/>
            </wp:cNvGraphicFramePr>
            <a:graphic>
              <a:graphicData uri="http://schemas.openxmlformats.org/drawingml/2006/picture">
                <pic:pic>
                  <pic:nvPicPr>
                    <pic:cNvPr id="0" name="direct_architecture.png"/>
                    <pic:cNvPicPr/>
                  </pic:nvPicPr>
                  <pic:blipFill>
                    <a:blip r:embed="rId16"/>
                    <a:stretch>
                      <a:fillRect/>
                    </a:stretch>
                  </pic:blipFill>
                  <pic:spPr>
                    <a:xfrm>
                      <a:off x="0" y="0"/>
                      <a:ext cx="6172200" cy="2017554"/>
                    </a:xfrm>
                    <a:prstGeom prst="rect"/>
                  </pic:spPr>
                </pic:pic>
              </a:graphicData>
            </a:graphic>
          </wp:inline>
        </w:drawing>
      </w:r>
    </w:p>
    <w:p>
      <w:pPr>
        <w:pStyle w:val="Caption"/>
        <w:jc w:val="center"/>
      </w:pPr>
      <w:r>
        <w:t>Figure 2  Direct-transmission data flow</w:t>
      </w:r>
    </w:p>
    <w:p>
      <w:pPr>
        <w:pStyle w:val="Heading2"/>
        <w:keepNext/>
      </w:pPr>
      <w:r>
        <w:t>5.1 Direct event payload</w:t>
      </w:r>
    </w:p>
    <w:p>
      <w:pPr>
        <w:pStyle w:val="Code"/>
        <w:spacing w:before="0" w:after="0"/>
        <w:shd w:fill="F3F5F7"/>
      </w:pPr>
      <w:r>
        <w:rPr>
          <w:rFonts w:ascii="Consolas" w:hAnsi="Consolas"/>
          <w:sz w:val="17"/>
        </w:rPr>
        <w:t>{</w:t>
      </w:r>
    </w:p>
    <w:p>
      <w:pPr>
        <w:pStyle w:val="Code"/>
        <w:spacing w:before="0" w:after="0"/>
        <w:shd w:fill="F3F5F7"/>
      </w:pPr>
      <w:r>
        <w:rPr>
          <w:rFonts w:ascii="Consolas" w:hAnsi="Consolas"/>
          <w:sz w:val="17"/>
        </w:rPr>
        <w:t xml:space="preserve">  "user_id": "demo-user",</w:t>
      </w:r>
    </w:p>
    <w:p>
      <w:pPr>
        <w:pStyle w:val="Code"/>
        <w:spacing w:before="0" w:after="0"/>
        <w:shd w:fill="F3F5F7"/>
      </w:pPr>
      <w:r>
        <w:rPr>
          <w:rFonts w:ascii="Consolas" w:hAnsi="Consolas"/>
          <w:sz w:val="17"/>
        </w:rPr>
        <w:t xml:space="preserve">  "region_id": "vilnius",</w:t>
      </w:r>
    </w:p>
    <w:p>
      <w:pPr>
        <w:pStyle w:val="Code"/>
        <w:spacing w:before="0" w:after="0"/>
        <w:shd w:fill="F3F5F7"/>
      </w:pPr>
      <w:r>
        <w:rPr>
          <w:rFonts w:ascii="Consolas" w:hAnsi="Consolas"/>
          <w:sz w:val="17"/>
        </w:rPr>
        <w:t xml:space="preserve">  "event_time": "2026-09-23T08:04:12+00:00",</w:t>
      </w:r>
    </w:p>
    <w:p>
      <w:pPr>
        <w:pStyle w:val="Code"/>
        <w:spacing w:before="0" w:after="0"/>
        <w:shd w:fill="F3F5F7"/>
      </w:pPr>
      <w:r>
        <w:rPr>
          <w:rFonts w:ascii="Consolas" w:hAnsi="Consolas"/>
          <w:sz w:val="17"/>
        </w:rPr>
        <w:t xml:space="preserve">  "key": "a"</w:t>
      </w:r>
    </w:p>
    <w:p>
      <w:pPr>
        <w:pStyle w:val="Code"/>
        <w:spacing w:before="0" w:after="0"/>
        <w:shd w:fill="F3F5F7"/>
      </w:pPr>
      <w:r>
        <w:rPr>
          <w:rFonts w:ascii="Consolas" w:hAnsi="Consolas"/>
          <w:sz w:val="17"/>
        </w:rPr>
        <w:t>}</w:t>
      </w:r>
    </w:p>
    <w:p>
      <w:pPr>
        <w:pStyle w:val="Heading2"/>
        <w:keepNext/>
      </w:pPr>
      <w:r>
        <w:t>5.2 Advantages</w:t>
      </w:r>
    </w:p>
    <w:p>
      <w:pPr>
        <w:pStyle w:val="ListBullet"/>
        <w:spacing w:after="80"/>
      </w:pPr>
      <w:r>
        <w:t>The server receives precise event timestamps and can change aggregation rules later.</w:t>
      </w:r>
    </w:p>
    <w:p>
      <w:pPr>
        <w:pStyle w:val="ListBullet"/>
        <w:spacing w:after="80"/>
      </w:pPr>
      <w:r>
        <w:t>Central processing simplifies client logic.</w:t>
      </w:r>
    </w:p>
    <w:p>
      <w:pPr>
        <w:pStyle w:val="ListBullet"/>
        <w:spacing w:after="80"/>
      </w:pPr>
      <w:r>
        <w:t>Near-real-time analysis is possible.</w:t>
      </w:r>
    </w:p>
    <w:p>
      <w:pPr>
        <w:pStyle w:val="Heading2"/>
        <w:keepNext/>
      </w:pPr>
      <w:r>
        <w:t>5.3 Limitations</w:t>
      </w:r>
    </w:p>
    <w:p>
      <w:pPr>
        <w:pStyle w:val="ListBullet"/>
        <w:spacing w:after="80"/>
      </w:pPr>
      <w:r>
        <w:t>Typed characters and behavioural timing are exposed to the server.</w:t>
      </w:r>
    </w:p>
    <w:p>
      <w:pPr>
        <w:pStyle w:val="ListBullet"/>
        <w:spacing w:after="80"/>
      </w:pPr>
      <w:r>
        <w:t>One request per key press creates high network overhead.</w:t>
      </w:r>
    </w:p>
    <w:p>
      <w:pPr>
        <w:pStyle w:val="ListBullet"/>
        <w:spacing w:after="80"/>
      </w:pPr>
      <w:r>
        <w:t>Raw-event storage increases security impact, database size and compliance burden.</w:t>
      </w:r>
    </w:p>
    <w:p>
      <w:pPr>
        <w:pStyle w:val="ListBullet"/>
        <w:spacing w:after="80"/>
      </w:pPr>
      <w:r>
        <w:t>Connection failures can create a large local backlog and delayed uploads.</w:t>
      </w:r>
    </w:p>
    <w:p>
      <w:r>
        <w:br w:type="page"/>
      </w:r>
    </w:p>
    <w:p>
      <w:pPr>
        <w:pStyle w:val="Heading1"/>
        <w:keepNext/>
      </w:pPr>
      <w:r>
        <w:t>6 Running the Solutions</w:t>
      </w:r>
    </w:p>
    <w:p>
      <w:r>
        <w:t>Install the dependencies:</w:t>
      </w:r>
    </w:p>
    <w:p>
      <w:pPr>
        <w:pStyle w:val="Code"/>
        <w:spacing w:before="0" w:after="0"/>
        <w:shd w:fill="F3F5F7"/>
      </w:pPr>
      <w:r>
        <w:rPr>
          <w:rFonts w:ascii="Consolas" w:hAnsi="Consolas"/>
          <w:sz w:val="17"/>
        </w:rPr>
        <w:t>python -m pip install -r requirements.txt</w:t>
      </w:r>
    </w:p>
    <w:p>
      <w:pPr>
        <w:pStyle w:val="Heading2"/>
        <w:keepNext/>
      </w:pPr>
      <w:r>
        <w:t>6.1 Edge solution</w:t>
      </w:r>
    </w:p>
    <w:p>
      <w:pPr>
        <w:pStyle w:val="Code"/>
        <w:spacing w:before="0" w:after="0"/>
        <w:shd w:fill="F3F5F7"/>
      </w:pPr>
      <w:r>
        <w:rPr>
          <w:rFonts w:ascii="Consolas" w:hAnsi="Consolas"/>
          <w:sz w:val="17"/>
        </w:rPr>
        <w:t># Terminal 1</w:t>
      </w:r>
    </w:p>
    <w:p>
      <w:pPr>
        <w:pStyle w:val="Code"/>
        <w:spacing w:before="0" w:after="0"/>
        <w:shd w:fill="F3F5F7"/>
      </w:pPr>
      <w:r>
        <w:rPr>
          <w:rFonts w:ascii="Consolas" w:hAnsi="Consolas"/>
          <w:sz w:val="17"/>
        </w:rPr>
        <w:t>python edge_server.py</w:t>
      </w:r>
    </w:p>
    <w:p>
      <w:pPr>
        <w:pStyle w:val="Code"/>
        <w:spacing w:before="0" w:after="0"/>
        <w:shd w:fill="F3F5F7"/>
      </w:pPr>
      <w:r>
        <w:rPr>
          <w:rFonts w:ascii="Consolas" w:hAnsi="Consolas"/>
          <w:sz w:val="17"/>
        </w:rPr>
        <w:t xml:space="preserve"> </w:t>
      </w:r>
    </w:p>
    <w:p>
      <w:pPr>
        <w:pStyle w:val="Code"/>
        <w:spacing w:before="0" w:after="0"/>
        <w:shd w:fill="F3F5F7"/>
      </w:pPr>
      <w:r>
        <w:rPr>
          <w:rFonts w:ascii="Consolas" w:hAnsi="Consolas"/>
          <w:sz w:val="17"/>
        </w:rPr>
        <w:t># Terminal 2: safe demonstration mode</w:t>
      </w:r>
    </w:p>
    <w:p>
      <w:pPr>
        <w:pStyle w:val="Code"/>
        <w:spacing w:before="0" w:after="0"/>
        <w:shd w:fill="F3F5F7"/>
      </w:pPr>
      <w:r>
        <w:rPr>
          <w:rFonts w:ascii="Consolas" w:hAnsi="Consolas"/>
          <w:sz w:val="17"/>
        </w:rPr>
        <w:t>WINDOW_SECONDS=10 python edge_client.py --user demo-user --simulate 3</w:t>
      </w:r>
    </w:p>
    <w:p>
      <w:pPr>
        <w:pStyle w:val="Heading2"/>
        <w:keepNext/>
      </w:pPr>
      <w:r>
        <w:t>6.2 Direct solution</w:t>
      </w:r>
    </w:p>
    <w:p>
      <w:pPr>
        <w:pStyle w:val="Code"/>
        <w:spacing w:before="0" w:after="0"/>
        <w:shd w:fill="F3F5F7"/>
      </w:pPr>
      <w:r>
        <w:rPr>
          <w:rFonts w:ascii="Consolas" w:hAnsi="Consolas"/>
          <w:sz w:val="17"/>
        </w:rPr>
        <w:t># Terminal 1</w:t>
      </w:r>
    </w:p>
    <w:p>
      <w:pPr>
        <w:pStyle w:val="Code"/>
        <w:spacing w:before="0" w:after="0"/>
        <w:shd w:fill="F3F5F7"/>
      </w:pPr>
      <w:r>
        <w:rPr>
          <w:rFonts w:ascii="Consolas" w:hAnsi="Consolas"/>
          <w:sz w:val="17"/>
        </w:rPr>
        <w:t>python direct_server.py</w:t>
      </w:r>
    </w:p>
    <w:p>
      <w:pPr>
        <w:pStyle w:val="Code"/>
        <w:spacing w:before="0" w:after="0"/>
        <w:shd w:fill="F3F5F7"/>
      </w:pPr>
      <w:r>
        <w:rPr>
          <w:rFonts w:ascii="Consolas" w:hAnsi="Consolas"/>
          <w:sz w:val="17"/>
        </w:rPr>
        <w:t xml:space="preserve"> </w:t>
      </w:r>
    </w:p>
    <w:p>
      <w:pPr>
        <w:pStyle w:val="Code"/>
        <w:spacing w:before="0" w:after="0"/>
        <w:shd w:fill="F3F5F7"/>
      </w:pPr>
      <w:r>
        <w:rPr>
          <w:rFonts w:ascii="Consolas" w:hAnsi="Consolas"/>
          <w:sz w:val="17"/>
        </w:rPr>
        <w:t># Terminal 2: safe demonstration mode</w:t>
      </w:r>
    </w:p>
    <w:p>
      <w:pPr>
        <w:pStyle w:val="Code"/>
        <w:spacing w:before="0" w:after="0"/>
        <w:shd w:fill="F3F5F7"/>
      </w:pPr>
      <w:r>
        <w:rPr>
          <w:rFonts w:ascii="Consolas" w:hAnsi="Consolas"/>
          <w:sz w:val="17"/>
        </w:rPr>
        <w:t>python direct_client.py --user demo-user --simulate 25</w:t>
      </w:r>
    </w:p>
    <w:p>
      <w:pPr>
        <w:pStyle w:val="Heading2"/>
        <w:keepNext/>
      </w:pPr>
      <w:r>
        <w:t>6.3 User reports</w:t>
      </w:r>
    </w:p>
    <w:p>
      <w:pPr>
        <w:pStyle w:val="Code"/>
        <w:spacing w:before="0" w:after="0"/>
        <w:shd w:fill="F3F5F7"/>
      </w:pPr>
      <w:r>
        <w:rPr>
          <w:rFonts w:ascii="Consolas" w:hAnsi="Consolas"/>
          <w:sz w:val="17"/>
        </w:rPr>
        <w:t>curl -H "X-API-Key: dev-key" http://localhost:5000/report/demo-user</w:t>
      </w:r>
    </w:p>
    <w:p>
      <w:pPr>
        <w:pStyle w:val="Code"/>
        <w:spacing w:before="0" w:after="0"/>
        <w:shd w:fill="F3F5F7"/>
      </w:pPr>
      <w:r>
        <w:rPr>
          <w:rFonts w:ascii="Consolas" w:hAnsi="Consolas"/>
          <w:sz w:val="17"/>
        </w:rPr>
        <w:t>curl -H "X-API-Key: dev-key" http://localhost:5001/report/demo-user</w:t>
      </w:r>
    </w:p>
    <w:p>
      <w:pPr>
        <w:pStyle w:val="Heading1"/>
        <w:keepNext/>
      </w:pPr>
      <w:r>
        <w:t>7 Automated Verification</w:t>
      </w:r>
    </w:p>
    <w:p>
      <w:r>
        <w:t>The verification script creates isolated temporary databases, exercises both Flask applications through their test clients, submits activity data, forces interval evaluation and checks the resulting user summaries.</w:t>
      </w:r>
    </w:p>
    <w:p>
      <w:pPr>
        <w:pStyle w:val="Code"/>
        <w:spacing w:before="0" w:after="0"/>
        <w:shd w:fill="F3F5F7"/>
      </w:pPr>
      <w:r>
        <w:rPr>
          <w:rFonts w:ascii="Consolas" w:hAnsi="Consolas"/>
          <w:sz w:val="17"/>
        </w:rPr>
        <w:t>python test_solutions.py</w:t>
      </w:r>
    </w:p>
    <w:p>
      <w:pPr>
        <w:pStyle w:val="Code"/>
        <w:spacing w:before="0" w:after="0"/>
        <w:shd w:fill="F3F5F7"/>
      </w:pPr>
      <w:r>
        <w:rPr>
          <w:rFonts w:ascii="Consolas" w:hAnsi="Consolas"/>
          <w:sz w:val="17"/>
        </w:rPr>
        <w:t xml:space="preserve"> </w:t>
      </w:r>
    </w:p>
    <w:p>
      <w:pPr>
        <w:pStyle w:val="Code"/>
        <w:spacing w:before="0" w:after="0"/>
        <w:shd w:fill="F3F5F7"/>
      </w:pPr>
      <w:r>
        <w:rPr>
          <w:rFonts w:ascii="Consolas" w:hAnsi="Consolas"/>
          <w:sz w:val="17"/>
        </w:rPr>
        <w:t>SUCCESS: edge aggregation and direct transmission solutions passed.</w:t>
      </w:r>
    </w:p>
    <w:tbl>
      <w:tblPr>
        <w:tblStyle w:val="TableGrid"/>
        <w:tblW w:type="auto" w:w="0"/>
        <w:jc w:val="center"/>
        <w:tblLook w:firstColumn="1" w:firstRow="1" w:lastColumn="0" w:lastRow="0" w:noHBand="0" w:noVBand="1" w:val="04A0"/>
      </w:tblPr>
      <w:tblGrid>
        <w:gridCol w:w="4997"/>
        <w:gridCol w:w="4997"/>
      </w:tblGrid>
      <w:tr>
        <w:tc>
          <w:tcPr>
            <w:tcW w:type="dxa" w:w="4997"/>
            <w:shd w:fill="2F75B5"/>
          </w:tcPr>
          <w:p>
            <w:r>
              <w:rPr>
                <w:rFonts w:ascii="Arial" w:hAnsi="Arial"/>
                <w:b/>
                <w:color w:val="FFFFFF"/>
                <w:sz w:val="17"/>
              </w:rPr>
              <w:t>Test</w:t>
            </w:r>
          </w:p>
        </w:tc>
        <w:tc>
          <w:tcPr>
            <w:tcW w:type="dxa" w:w="4997"/>
            <w:shd w:fill="2F75B5"/>
          </w:tcPr>
          <w:p>
            <w:r>
              <w:rPr>
                <w:rFonts w:ascii="Arial" w:hAnsi="Arial"/>
                <w:b/>
                <w:color w:val="FFFFFF"/>
                <w:sz w:val="17"/>
              </w:rPr>
              <w:t>Result</w:t>
            </w:r>
          </w:p>
        </w:tc>
      </w:tr>
      <w:tr>
        <w:tc>
          <w:tcPr>
            <w:tcW w:type="dxa" w:w="4997"/>
            <w:vAlign w:val="center"/>
            <w:tcMar>
              <w:top w:w="85" w:type="dxa"/>
              <w:start w:w="85" w:type="dxa"/>
              <w:bottom w:w="85" w:type="dxa"/>
              <w:end w:w="85" w:type="dxa"/>
            </w:tcMar>
          </w:tcPr>
          <w:p>
            <w:r>
              <w:rPr>
                <w:rFonts w:ascii="Arial" w:hAnsi="Arial"/>
                <w:sz w:val="17"/>
              </w:rPr>
              <w:t>Health endpoints</w:t>
            </w:r>
          </w:p>
        </w:tc>
        <w:tc>
          <w:tcPr>
            <w:tcW w:type="dxa" w:w="4997"/>
            <w:vAlign w:val="center"/>
            <w:tcMar>
              <w:top w:w="85" w:type="dxa"/>
              <w:start w:w="85" w:type="dxa"/>
              <w:bottom w:w="85" w:type="dxa"/>
              <w:end w:w="85" w:type="dxa"/>
            </w:tcMar>
          </w:tcPr>
          <w:p>
            <w:r>
              <w:rPr>
                <w:rFonts w:ascii="Arial" w:hAnsi="Arial"/>
                <w:sz w:val="17"/>
              </w:rPr>
              <w:t>Passed</w:t>
            </w:r>
          </w:p>
        </w:tc>
      </w:tr>
      <w:tr>
        <w:tc>
          <w:tcPr>
            <w:tcW w:type="dxa" w:w="4997"/>
            <w:vAlign w:val="center"/>
            <w:tcMar>
              <w:top w:w="85" w:type="dxa"/>
              <w:start w:w="85" w:type="dxa"/>
              <w:bottom w:w="85" w:type="dxa"/>
              <w:end w:w="85" w:type="dxa"/>
            </w:tcMar>
            <w:shd w:fill="F4F7FA"/>
          </w:tcPr>
          <w:p>
            <w:r>
              <w:rPr>
                <w:rFonts w:ascii="Arial" w:hAnsi="Arial"/>
                <w:sz w:val="17"/>
              </w:rPr>
              <w:t>Client registration</w:t>
            </w:r>
          </w:p>
        </w:tc>
        <w:tc>
          <w:tcPr>
            <w:tcW w:type="dxa" w:w="4997"/>
            <w:vAlign w:val="center"/>
            <w:tcMar>
              <w:top w:w="85" w:type="dxa"/>
              <w:start w:w="85" w:type="dxa"/>
              <w:bottom w:w="85" w:type="dxa"/>
              <w:end w:w="85" w:type="dxa"/>
            </w:tcMar>
            <w:shd w:fill="F4F7FA"/>
          </w:tcPr>
          <w:p>
            <w:r>
              <w:rPr>
                <w:rFonts w:ascii="Arial" w:hAnsi="Arial"/>
                <w:sz w:val="17"/>
              </w:rPr>
              <w:t>Passed</w:t>
            </w:r>
          </w:p>
        </w:tc>
      </w:tr>
      <w:tr>
        <w:tc>
          <w:tcPr>
            <w:tcW w:type="dxa" w:w="4997"/>
            <w:vAlign w:val="center"/>
            <w:tcMar>
              <w:top w:w="85" w:type="dxa"/>
              <w:start w:w="85" w:type="dxa"/>
              <w:bottom w:w="85" w:type="dxa"/>
              <w:end w:w="85" w:type="dxa"/>
            </w:tcMar>
          </w:tcPr>
          <w:p>
            <w:r>
              <w:rPr>
                <w:rFonts w:ascii="Arial" w:hAnsi="Arial"/>
                <w:sz w:val="17"/>
              </w:rPr>
              <w:t>Aggregate upload and WORKING classification</w:t>
            </w:r>
          </w:p>
        </w:tc>
        <w:tc>
          <w:tcPr>
            <w:tcW w:type="dxa" w:w="4997"/>
            <w:vAlign w:val="center"/>
            <w:tcMar>
              <w:top w:w="85" w:type="dxa"/>
              <w:start w:w="85" w:type="dxa"/>
              <w:bottom w:w="85" w:type="dxa"/>
              <w:end w:w="85" w:type="dxa"/>
            </w:tcMar>
          </w:tcPr>
          <w:p>
            <w:r>
              <w:rPr>
                <w:rFonts w:ascii="Arial" w:hAnsi="Arial"/>
                <w:sz w:val="17"/>
              </w:rPr>
              <w:t>Passed</w:t>
            </w:r>
          </w:p>
        </w:tc>
      </w:tr>
      <w:tr>
        <w:tc>
          <w:tcPr>
            <w:tcW w:type="dxa" w:w="4997"/>
            <w:vAlign w:val="center"/>
            <w:tcMar>
              <w:top w:w="85" w:type="dxa"/>
              <w:start w:w="85" w:type="dxa"/>
              <w:bottom w:w="85" w:type="dxa"/>
              <w:end w:w="85" w:type="dxa"/>
            </w:tcMar>
            <w:shd w:fill="F4F7FA"/>
          </w:tcPr>
          <w:p>
            <w:r>
              <w:rPr>
                <w:rFonts w:ascii="Arial" w:hAnsi="Arial"/>
                <w:sz w:val="17"/>
              </w:rPr>
              <w:t>Raw event upload and server-side aggregation</w:t>
            </w:r>
          </w:p>
        </w:tc>
        <w:tc>
          <w:tcPr>
            <w:tcW w:type="dxa" w:w="4997"/>
            <w:vAlign w:val="center"/>
            <w:tcMar>
              <w:top w:w="85" w:type="dxa"/>
              <w:start w:w="85" w:type="dxa"/>
              <w:bottom w:w="85" w:type="dxa"/>
              <w:end w:w="85" w:type="dxa"/>
            </w:tcMar>
            <w:shd w:fill="F4F7FA"/>
          </w:tcPr>
          <w:p>
            <w:r>
              <w:rPr>
                <w:rFonts w:ascii="Arial" w:hAnsi="Arial"/>
                <w:sz w:val="17"/>
              </w:rPr>
              <w:t>Passed</w:t>
            </w:r>
          </w:p>
        </w:tc>
      </w:tr>
      <w:tr>
        <w:tc>
          <w:tcPr>
            <w:tcW w:type="dxa" w:w="4997"/>
            <w:vAlign w:val="center"/>
            <w:tcMar>
              <w:top w:w="85" w:type="dxa"/>
              <w:start w:w="85" w:type="dxa"/>
              <w:bottom w:w="85" w:type="dxa"/>
              <w:end w:w="85" w:type="dxa"/>
            </w:tcMar>
          </w:tcPr>
          <w:p>
            <w:r>
              <w:rPr>
                <w:rFonts w:ascii="Arial" w:hAnsi="Arial"/>
                <w:sz w:val="17"/>
              </w:rPr>
              <w:t>SQLite report summary</w:t>
            </w:r>
          </w:p>
        </w:tc>
        <w:tc>
          <w:tcPr>
            <w:tcW w:type="dxa" w:w="4997"/>
            <w:vAlign w:val="center"/>
            <w:tcMar>
              <w:top w:w="85" w:type="dxa"/>
              <w:start w:w="85" w:type="dxa"/>
              <w:bottom w:w="85" w:type="dxa"/>
              <w:end w:w="85" w:type="dxa"/>
            </w:tcMar>
          </w:tcPr>
          <w:p>
            <w:r>
              <w:rPr>
                <w:rFonts w:ascii="Arial" w:hAnsi="Arial"/>
                <w:sz w:val="17"/>
              </w:rPr>
              <w:t>Passed</w:t>
            </w:r>
          </w:p>
        </w:tc>
      </w:tr>
    </w:tbl>
    <w:p>
      <w:r>
        <w:br w:type="page"/>
      </w:r>
    </w:p>
    <w:p>
      <w:pPr>
        <w:pStyle w:val="Heading1"/>
        <w:keepNext/>
      </w:pPr>
      <w:r>
        <w:t>8 Comparison of the Two Approaches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2F75B5"/>
          </w:tcPr>
          <w:p>
            <w:r>
              <w:rPr>
                <w:rFonts w:ascii="Arial" w:hAnsi="Arial"/>
                <w:b/>
                <w:color w:val="FFFFFF"/>
                <w:sz w:val="17"/>
              </w:rPr>
              <w:t>Criterion</w:t>
            </w:r>
          </w:p>
        </w:tc>
        <w:tc>
          <w:tcPr>
            <w:tcW w:type="dxa" w:w="3331"/>
            <w:shd w:fill="2F75B5"/>
          </w:tcPr>
          <w:p>
            <w:r>
              <w:rPr>
                <w:rFonts w:ascii="Arial" w:hAnsi="Arial"/>
                <w:b/>
                <w:color w:val="FFFFFF"/>
                <w:sz w:val="17"/>
              </w:rPr>
              <w:t>Edge aggregation</w:t>
            </w:r>
          </w:p>
        </w:tc>
        <w:tc>
          <w:tcPr>
            <w:tcW w:type="dxa" w:w="3331"/>
            <w:shd w:fill="2F75B5"/>
          </w:tcPr>
          <w:p>
            <w:r>
              <w:rPr>
                <w:rFonts w:ascii="Arial" w:hAnsi="Arial"/>
                <w:b/>
                <w:color w:val="FFFFFF"/>
                <w:sz w:val="17"/>
              </w:rPr>
              <w:t>Direct transmission</w:t>
            </w:r>
          </w:p>
        </w:tc>
      </w:tr>
      <w:tr>
        <w:tc>
          <w:tcPr>
            <w:tcW w:type="dxa" w:w="3331"/>
            <w:vAlign w:val="center"/>
            <w:tcMar>
              <w:top w:w="85" w:type="dxa"/>
              <w:start w:w="85" w:type="dxa"/>
              <w:bottom w:w="85" w:type="dxa"/>
              <w:end w:w="85" w:type="dxa"/>
            </w:tcMar>
          </w:tcPr>
          <w:p>
            <w:r>
              <w:rPr>
                <w:rFonts w:ascii="Arial" w:hAnsi="Arial"/>
                <w:sz w:val="17"/>
              </w:rPr>
              <w:t>Data privacy</w:t>
            </w:r>
          </w:p>
        </w:tc>
        <w:tc>
          <w:tcPr>
            <w:tcW w:type="dxa" w:w="3331"/>
            <w:vAlign w:val="center"/>
            <w:tcMar>
              <w:top w:w="85" w:type="dxa"/>
              <w:start w:w="85" w:type="dxa"/>
              <w:bottom w:w="85" w:type="dxa"/>
              <w:end w:w="85" w:type="dxa"/>
            </w:tcMar>
          </w:tcPr>
          <w:p>
            <w:r>
              <w:rPr>
                <w:rFonts w:ascii="Arial" w:hAnsi="Arial"/>
                <w:sz w:val="17"/>
              </w:rPr>
              <w:t>Strong: key values stay on device</w:t>
            </w:r>
          </w:p>
        </w:tc>
        <w:tc>
          <w:tcPr>
            <w:tcW w:type="dxa" w:w="3331"/>
            <w:vAlign w:val="center"/>
            <w:tcMar>
              <w:top w:w="85" w:type="dxa"/>
              <w:start w:w="85" w:type="dxa"/>
              <w:bottom w:w="85" w:type="dxa"/>
              <w:end w:w="85" w:type="dxa"/>
            </w:tcMar>
          </w:tcPr>
          <w:p>
            <w:r>
              <w:rPr>
                <w:rFonts w:ascii="Arial" w:hAnsi="Arial"/>
                <w:sz w:val="17"/>
              </w:rPr>
              <w:t>Weak: raw keys reach server</w:t>
            </w:r>
          </w:p>
        </w:tc>
      </w:tr>
      <w:tr>
        <w:tc>
          <w:tcPr>
            <w:tcW w:type="dxa" w:w="3331"/>
            <w:vAlign w:val="center"/>
            <w:tcMar>
              <w:top w:w="85" w:type="dxa"/>
              <w:start w:w="85" w:type="dxa"/>
              <w:bottom w:w="85" w:type="dxa"/>
              <w:end w:w="85" w:type="dxa"/>
            </w:tcMar>
            <w:shd w:fill="F4F7FA"/>
          </w:tcPr>
          <w:p>
            <w:r>
              <w:rPr>
                <w:rFonts w:ascii="Arial" w:hAnsi="Arial"/>
                <w:sz w:val="17"/>
              </w:rPr>
              <w:t>Data accuracy</w:t>
            </w:r>
          </w:p>
        </w:tc>
        <w:tc>
          <w:tcPr>
            <w:tcW w:type="dxa" w:w="3331"/>
            <w:vAlign w:val="center"/>
            <w:tcMar>
              <w:top w:w="85" w:type="dxa"/>
              <w:start w:w="85" w:type="dxa"/>
              <w:bottom w:w="85" w:type="dxa"/>
              <w:end w:w="85" w:type="dxa"/>
            </w:tcMar>
            <w:shd w:fill="F4F7FA"/>
          </w:tcPr>
          <w:p>
            <w:r>
              <w:rPr>
                <w:rFonts w:ascii="Arial" w:hAnsi="Arial"/>
                <w:sz w:val="17"/>
              </w:rPr>
              <w:t>Accurate count, limited event detail</w:t>
            </w:r>
          </w:p>
        </w:tc>
        <w:tc>
          <w:tcPr>
            <w:tcW w:type="dxa" w:w="3331"/>
            <w:vAlign w:val="center"/>
            <w:tcMar>
              <w:top w:w="85" w:type="dxa"/>
              <w:start w:w="85" w:type="dxa"/>
              <w:bottom w:w="85" w:type="dxa"/>
              <w:end w:w="85" w:type="dxa"/>
            </w:tcMar>
            <w:shd w:fill="F4F7FA"/>
          </w:tcPr>
          <w:p>
            <w:r>
              <w:rPr>
                <w:rFonts w:ascii="Arial" w:hAnsi="Arial"/>
                <w:sz w:val="17"/>
              </w:rPr>
              <w:t>Highest event-level detail</w:t>
            </w:r>
          </w:p>
        </w:tc>
      </w:tr>
      <w:tr>
        <w:tc>
          <w:tcPr>
            <w:tcW w:type="dxa" w:w="3331"/>
            <w:vAlign w:val="center"/>
            <w:tcMar>
              <w:top w:w="85" w:type="dxa"/>
              <w:start w:w="85" w:type="dxa"/>
              <w:bottom w:w="85" w:type="dxa"/>
              <w:end w:w="85" w:type="dxa"/>
            </w:tcMar>
          </w:tcPr>
          <w:p>
            <w:r>
              <w:rPr>
                <w:rFonts w:ascii="Arial" w:hAnsi="Arial"/>
                <w:sz w:val="17"/>
              </w:rPr>
              <w:t>Network load</w:t>
            </w:r>
          </w:p>
        </w:tc>
        <w:tc>
          <w:tcPr>
            <w:tcW w:type="dxa" w:w="3331"/>
            <w:vAlign w:val="center"/>
            <w:tcMar>
              <w:top w:w="85" w:type="dxa"/>
              <w:start w:w="85" w:type="dxa"/>
              <w:bottom w:w="85" w:type="dxa"/>
              <w:end w:w="85" w:type="dxa"/>
            </w:tcMar>
          </w:tcPr>
          <w:p>
            <w:r>
              <w:rPr>
                <w:rFonts w:ascii="Arial" w:hAnsi="Arial"/>
                <w:sz w:val="17"/>
              </w:rPr>
              <w:t>Very low: one request per interval</w:t>
            </w:r>
          </w:p>
        </w:tc>
        <w:tc>
          <w:tcPr>
            <w:tcW w:type="dxa" w:w="3331"/>
            <w:vAlign w:val="center"/>
            <w:tcMar>
              <w:top w:w="85" w:type="dxa"/>
              <w:start w:w="85" w:type="dxa"/>
              <w:bottom w:w="85" w:type="dxa"/>
              <w:end w:w="85" w:type="dxa"/>
            </w:tcMar>
          </w:tcPr>
          <w:p>
            <w:r>
              <w:rPr>
                <w:rFonts w:ascii="Arial" w:hAnsi="Arial"/>
                <w:sz w:val="17"/>
              </w:rPr>
              <w:t>High: one request per key</w:t>
            </w:r>
          </w:p>
        </w:tc>
      </w:tr>
      <w:tr>
        <w:tc>
          <w:tcPr>
            <w:tcW w:type="dxa" w:w="3331"/>
            <w:vAlign w:val="center"/>
            <w:tcMar>
              <w:top w:w="85" w:type="dxa"/>
              <w:start w:w="85" w:type="dxa"/>
              <w:bottom w:w="85" w:type="dxa"/>
              <w:end w:w="85" w:type="dxa"/>
            </w:tcMar>
            <w:shd w:fill="F4F7FA"/>
          </w:tcPr>
          <w:p>
            <w:r>
              <w:rPr>
                <w:rFonts w:ascii="Arial" w:hAnsi="Arial"/>
                <w:sz w:val="17"/>
              </w:rPr>
              <w:t>Client data latency</w:t>
            </w:r>
          </w:p>
        </w:tc>
        <w:tc>
          <w:tcPr>
            <w:tcW w:type="dxa" w:w="3331"/>
            <w:vAlign w:val="center"/>
            <w:tcMar>
              <w:top w:w="85" w:type="dxa"/>
              <w:start w:w="85" w:type="dxa"/>
              <w:bottom w:w="85" w:type="dxa"/>
              <w:end w:w="85" w:type="dxa"/>
            </w:tcMar>
            <w:shd w:fill="F4F7FA"/>
          </w:tcPr>
          <w:p>
            <w:r>
              <w:rPr>
                <w:rFonts w:ascii="Arial" w:hAnsi="Arial"/>
                <w:sz w:val="17"/>
              </w:rPr>
              <w:t>Up to one interval</w:t>
            </w:r>
          </w:p>
        </w:tc>
        <w:tc>
          <w:tcPr>
            <w:tcW w:type="dxa" w:w="3331"/>
            <w:vAlign w:val="center"/>
            <w:tcMar>
              <w:top w:w="85" w:type="dxa"/>
              <w:start w:w="85" w:type="dxa"/>
              <w:bottom w:w="85" w:type="dxa"/>
              <w:end w:w="85" w:type="dxa"/>
            </w:tcMar>
            <w:shd w:fill="F4F7FA"/>
          </w:tcPr>
          <w:p>
            <w:r>
              <w:rPr>
                <w:rFonts w:ascii="Arial" w:hAnsi="Arial"/>
                <w:sz w:val="17"/>
              </w:rPr>
              <w:t>Near real time</w:t>
            </w:r>
          </w:p>
        </w:tc>
      </w:tr>
      <w:tr>
        <w:tc>
          <w:tcPr>
            <w:tcW w:type="dxa" w:w="3331"/>
            <w:vAlign w:val="center"/>
            <w:tcMar>
              <w:top w:w="85" w:type="dxa"/>
              <w:start w:w="85" w:type="dxa"/>
              <w:bottom w:w="85" w:type="dxa"/>
              <w:end w:w="85" w:type="dxa"/>
            </w:tcMar>
          </w:tcPr>
          <w:p>
            <w:r>
              <w:rPr>
                <w:rFonts w:ascii="Arial" w:hAnsi="Arial"/>
                <w:sz w:val="17"/>
              </w:rPr>
              <w:t>Server storage</w:t>
            </w:r>
          </w:p>
        </w:tc>
        <w:tc>
          <w:tcPr>
            <w:tcW w:type="dxa" w:w="3331"/>
            <w:vAlign w:val="center"/>
            <w:tcMar>
              <w:top w:w="85" w:type="dxa"/>
              <w:start w:w="85" w:type="dxa"/>
              <w:bottom w:w="85" w:type="dxa"/>
              <w:end w:w="85" w:type="dxa"/>
            </w:tcMar>
          </w:tcPr>
          <w:p>
            <w:r>
              <w:rPr>
                <w:rFonts w:ascii="Arial" w:hAnsi="Arial"/>
                <w:sz w:val="17"/>
              </w:rPr>
              <w:t>Small aggregated records</w:t>
            </w:r>
          </w:p>
        </w:tc>
        <w:tc>
          <w:tcPr>
            <w:tcW w:type="dxa" w:w="3331"/>
            <w:vAlign w:val="center"/>
            <w:tcMar>
              <w:top w:w="85" w:type="dxa"/>
              <w:start w:w="85" w:type="dxa"/>
              <w:bottom w:w="85" w:type="dxa"/>
              <w:end w:w="85" w:type="dxa"/>
            </w:tcMar>
          </w:tcPr>
          <w:p>
            <w:r>
              <w:rPr>
                <w:rFonts w:ascii="Arial" w:hAnsi="Arial"/>
                <w:sz w:val="17"/>
              </w:rPr>
              <w:t>Large raw-event dataset</w:t>
            </w:r>
          </w:p>
        </w:tc>
      </w:tr>
      <w:tr>
        <w:tc>
          <w:tcPr>
            <w:tcW w:type="dxa" w:w="3331"/>
            <w:vAlign w:val="center"/>
            <w:tcMar>
              <w:top w:w="85" w:type="dxa"/>
              <w:start w:w="85" w:type="dxa"/>
              <w:bottom w:w="85" w:type="dxa"/>
              <w:end w:w="85" w:type="dxa"/>
            </w:tcMar>
            <w:shd w:fill="F4F7FA"/>
          </w:tcPr>
          <w:p>
            <w:r>
              <w:rPr>
                <w:rFonts w:ascii="Arial" w:hAnsi="Arial"/>
                <w:sz w:val="17"/>
              </w:rPr>
              <w:t>Offline resilience</w:t>
            </w:r>
          </w:p>
        </w:tc>
        <w:tc>
          <w:tcPr>
            <w:tcW w:type="dxa" w:w="3331"/>
            <w:vAlign w:val="center"/>
            <w:tcMar>
              <w:top w:w="85" w:type="dxa"/>
              <w:start w:w="85" w:type="dxa"/>
              <w:bottom w:w="85" w:type="dxa"/>
              <w:end w:w="85" w:type="dxa"/>
            </w:tcMar>
            <w:shd w:fill="F4F7FA"/>
          </w:tcPr>
          <w:p>
            <w:r>
              <w:rPr>
                <w:rFonts w:ascii="Arial" w:hAnsi="Arial"/>
                <w:sz w:val="17"/>
              </w:rPr>
              <w:t>Small aggregate queue</w:t>
            </w:r>
          </w:p>
        </w:tc>
        <w:tc>
          <w:tcPr>
            <w:tcW w:type="dxa" w:w="3331"/>
            <w:vAlign w:val="center"/>
            <w:tcMar>
              <w:top w:w="85" w:type="dxa"/>
              <w:start w:w="85" w:type="dxa"/>
              <w:bottom w:w="85" w:type="dxa"/>
              <w:end w:w="85" w:type="dxa"/>
            </w:tcMar>
            <w:shd w:fill="F4F7FA"/>
          </w:tcPr>
          <w:p>
            <w:r>
              <w:rPr>
                <w:rFonts w:ascii="Arial" w:hAnsi="Arial"/>
                <w:sz w:val="17"/>
              </w:rPr>
              <w:t>Potentially large event queue</w:t>
            </w:r>
          </w:p>
        </w:tc>
      </w:tr>
      <w:tr>
        <w:tc>
          <w:tcPr>
            <w:tcW w:type="dxa" w:w="3331"/>
            <w:vAlign w:val="center"/>
            <w:tcMar>
              <w:top w:w="85" w:type="dxa"/>
              <w:start w:w="85" w:type="dxa"/>
              <w:bottom w:w="85" w:type="dxa"/>
              <w:end w:w="85" w:type="dxa"/>
            </w:tcMar>
          </w:tcPr>
          <w:p>
            <w:r>
              <w:rPr>
                <w:rFonts w:ascii="Arial" w:hAnsi="Arial"/>
                <w:sz w:val="17"/>
              </w:rPr>
              <w:t>Security impact</w:t>
            </w:r>
          </w:p>
        </w:tc>
        <w:tc>
          <w:tcPr>
            <w:tcW w:type="dxa" w:w="3331"/>
            <w:vAlign w:val="center"/>
            <w:tcMar>
              <w:top w:w="85" w:type="dxa"/>
              <w:start w:w="85" w:type="dxa"/>
              <w:bottom w:w="85" w:type="dxa"/>
              <w:end w:w="85" w:type="dxa"/>
            </w:tcMar>
          </w:tcPr>
          <w:p>
            <w:r>
              <w:rPr>
                <w:rFonts w:ascii="Arial" w:hAnsi="Arial"/>
                <w:sz w:val="17"/>
              </w:rPr>
              <w:t>Lower if server is compromised</w:t>
            </w:r>
          </w:p>
        </w:tc>
        <w:tc>
          <w:tcPr>
            <w:tcW w:type="dxa" w:w="3331"/>
            <w:vAlign w:val="center"/>
            <w:tcMar>
              <w:top w:w="85" w:type="dxa"/>
              <w:start w:w="85" w:type="dxa"/>
              <w:bottom w:w="85" w:type="dxa"/>
              <w:end w:w="85" w:type="dxa"/>
            </w:tcMar>
          </w:tcPr>
          <w:p>
            <w:r>
              <w:rPr>
                <w:rFonts w:ascii="Arial" w:hAnsi="Arial"/>
                <w:sz w:val="17"/>
              </w:rPr>
              <w:t>Higher because typed content is stored</w:t>
            </w:r>
          </w:p>
        </w:tc>
      </w:tr>
      <w:tr>
        <w:tc>
          <w:tcPr>
            <w:tcW w:type="dxa" w:w="3331"/>
            <w:vAlign w:val="center"/>
            <w:tcMar>
              <w:top w:w="85" w:type="dxa"/>
              <w:start w:w="85" w:type="dxa"/>
              <w:bottom w:w="85" w:type="dxa"/>
              <w:end w:w="85" w:type="dxa"/>
            </w:tcMar>
            <w:shd w:fill="F4F7FA"/>
          </w:tcPr>
          <w:p>
            <w:r>
              <w:rPr>
                <w:rFonts w:ascii="Arial" w:hAnsi="Arial"/>
                <w:sz w:val="17"/>
              </w:rPr>
              <w:t>Flexibility</w:t>
            </w:r>
          </w:p>
        </w:tc>
        <w:tc>
          <w:tcPr>
            <w:tcW w:type="dxa" w:w="3331"/>
            <w:vAlign w:val="center"/>
            <w:tcMar>
              <w:top w:w="85" w:type="dxa"/>
              <w:start w:w="85" w:type="dxa"/>
              <w:bottom w:w="85" w:type="dxa"/>
              <w:end w:w="85" w:type="dxa"/>
            </w:tcMar>
            <w:shd w:fill="F4F7FA"/>
          </w:tcPr>
          <w:p>
            <w:r>
              <w:rPr>
                <w:rFonts w:ascii="Arial" w:hAnsi="Arial"/>
                <w:sz w:val="17"/>
              </w:rPr>
              <w:t>Aggregation fixed on client</w:t>
            </w:r>
          </w:p>
        </w:tc>
        <w:tc>
          <w:tcPr>
            <w:tcW w:type="dxa" w:w="3331"/>
            <w:vAlign w:val="center"/>
            <w:tcMar>
              <w:top w:w="85" w:type="dxa"/>
              <w:start w:w="85" w:type="dxa"/>
              <w:bottom w:w="85" w:type="dxa"/>
              <w:end w:w="85" w:type="dxa"/>
            </w:tcMar>
            <w:shd w:fill="F4F7FA"/>
          </w:tcPr>
          <w:p>
            <w:r>
              <w:rPr>
                <w:rFonts w:ascii="Arial" w:hAnsi="Arial"/>
                <w:sz w:val="17"/>
              </w:rPr>
              <w:t>Server can recalculate from raw data</w:t>
            </w:r>
          </w:p>
        </w:tc>
      </w:tr>
      <w:tr>
        <w:tc>
          <w:tcPr>
            <w:tcW w:type="dxa" w:w="3331"/>
            <w:vAlign w:val="center"/>
            <w:tcMar>
              <w:top w:w="85" w:type="dxa"/>
              <w:start w:w="85" w:type="dxa"/>
              <w:bottom w:w="85" w:type="dxa"/>
              <w:end w:w="85" w:type="dxa"/>
            </w:tcMar>
          </w:tcPr>
          <w:p>
            <w:r>
              <w:rPr>
                <w:rFonts w:ascii="Arial" w:hAnsi="Arial"/>
                <w:sz w:val="17"/>
              </w:rPr>
              <w:t>Recommended use</w:t>
            </w:r>
          </w:p>
        </w:tc>
        <w:tc>
          <w:tcPr>
            <w:tcW w:type="dxa" w:w="3331"/>
            <w:vAlign w:val="center"/>
            <w:tcMar>
              <w:top w:w="85" w:type="dxa"/>
              <w:start w:w="85" w:type="dxa"/>
              <w:bottom w:w="85" w:type="dxa"/>
              <w:end w:w="85" w:type="dxa"/>
            </w:tcMar>
          </w:tcPr>
          <w:p>
            <w:r>
              <w:rPr>
                <w:rFonts w:ascii="Arial" w:hAnsi="Arial"/>
                <w:sz w:val="17"/>
              </w:rPr>
              <w:t>Preferred for this activity metric</w:t>
            </w:r>
          </w:p>
        </w:tc>
        <w:tc>
          <w:tcPr>
            <w:tcW w:type="dxa" w:w="3331"/>
            <w:vAlign w:val="center"/>
            <w:tcMar>
              <w:top w:w="85" w:type="dxa"/>
              <w:start w:w="85" w:type="dxa"/>
              <w:bottom w:w="85" w:type="dxa"/>
              <w:end w:w="85" w:type="dxa"/>
            </w:tcMar>
          </w:tcPr>
          <w:p>
            <w:r>
              <w:rPr>
                <w:rFonts w:ascii="Arial" w:hAnsi="Arial"/>
                <w:sz w:val="17"/>
              </w:rPr>
              <w:t>Only when raw detail is justified</w:t>
            </w:r>
          </w:p>
        </w:tc>
      </w:tr>
    </w:tbl>
    <w:p>
      <w:pPr>
        <w:pStyle w:val="Heading1"/>
        <w:keepNext/>
      </w:pPr>
      <w:r>
        <w:t>9 Recommended Improvements for Production</w:t>
      </w:r>
    </w:p>
    <w:p>
      <w:pPr>
        <w:pStyle w:val="ListBullet"/>
        <w:spacing w:after="80"/>
      </w:pPr>
      <w:r>
        <w:t>Use HTTPS instead of plain HTTP and issue an individual credential to each client.</w:t>
      </w:r>
    </w:p>
    <w:p>
      <w:pPr>
        <w:pStyle w:val="ListBullet"/>
        <w:spacing w:after="80"/>
      </w:pPr>
      <w:r>
        <w:t>Obtain explicit employee consent and complete a GDPR/legal review before deployment.</w:t>
      </w:r>
    </w:p>
    <w:p>
      <w:pPr>
        <w:pStyle w:val="ListBullet"/>
        <w:spacing w:after="80"/>
      </w:pPr>
      <w:r>
        <w:t>Define a short retention period and delete raw or aggregated data automatically.</w:t>
      </w:r>
    </w:p>
    <w:p>
      <w:pPr>
        <w:pStyle w:val="ListBullet"/>
        <w:spacing w:after="80"/>
      </w:pPr>
      <w:r>
        <w:t>Use audit logging and role-based access for reports.</w:t>
      </w:r>
    </w:p>
    <w:p>
      <w:pPr>
        <w:pStyle w:val="ListBullet"/>
        <w:spacing w:after="80"/>
      </w:pPr>
      <w:r>
        <w:t>Replace a fixed threshold with a documented, validated activity model.</w:t>
      </w:r>
    </w:p>
    <w:p>
      <w:pPr>
        <w:pStyle w:val="ListBullet"/>
        <w:spacing w:after="80"/>
      </w:pPr>
      <w:r>
        <w:t>Add monitoring, rate limits, database migrations and central configuration.</w:t>
      </w:r>
    </w:p>
    <w:p>
      <w:r>
        <w:br w:type="page"/>
      </w:r>
    </w:p>
    <w:p>
      <w:pPr>
        <w:pStyle w:val="Heading1"/>
        <w:keepNext/>
      </w:pPr>
      <w:r>
        <w:t>10 Conclusion</w:t>
      </w:r>
    </w:p>
    <w:p>
      <w:r>
        <w:t>Both required solutions were implemented and verified. The edge solution performs the first calculation on the user's computer and sends only an interval count. The direct solution sends each key event to the server, where aggregation and classification occur.</w:t>
      </w:r>
    </w:p>
    <w:p>
      <w:r>
        <w:t>For the stated purpose, edge aggregation is the preferable architecture. It provides enough information to calculate the four activity statuses while greatly reducing exposure of typed content, network traffic and server storage. Direct transmission offers lower latency and greater analytical flexibility, but those benefits do not normally justify its privacy and security costs for employee activity monitoring.</w:t>
      </w:r>
    </w:p>
    <w:p>
      <w:r>
        <w:t>The improved implementation also addresses the operational gaps in the supplied prototype through configurable intervals, request validation, API-key authentication, thread-safe database access, offline queues, simulation mode and automated tests.</w:t>
      </w:r>
    </w:p>
    <w:p>
      <w:pPr>
        <w:pStyle w:val="Heading1"/>
        <w:keepNext/>
      </w:pPr>
      <w:r>
        <w:t>References</w:t>
      </w:r>
    </w:p>
    <w:p>
      <w:r>
        <w:rPr>
          <w:b/>
        </w:rPr>
        <w:t xml:space="preserve">Project repository: </w:t>
      </w:r>
      <w:hyperlink r:id="rId17">
        <w:r>
          <w:rPr>
            <w:color w:val="2F75B5"/>
            <w:u w:val="single"/>
          </w:rPr>
          <w:t>github.com/Baldahero/Edge-Computing-Assignment</w:t>
        </w:r>
      </w:hyperlink>
    </w:p>
    <w:p>
      <w:r>
        <w:rPr>
          <w:b/>
        </w:rPr>
        <w:t xml:space="preserve">Flask documentation: </w:t>
      </w:r>
      <w:hyperlink r:id="rId18">
        <w:r>
          <w:rPr>
            <w:color w:val="2F75B5"/>
            <w:u w:val="single"/>
          </w:rPr>
          <w:t>flask.palletsprojects.com</w:t>
        </w:r>
      </w:hyperlink>
    </w:p>
    <w:p>
      <w:r>
        <w:rPr>
          <w:b/>
        </w:rPr>
        <w:t xml:space="preserve">Python sqlite3 documentation: </w:t>
      </w:r>
      <w:hyperlink r:id="rId19">
        <w:r>
          <w:rPr>
            <w:color w:val="2F75B5"/>
            <w:u w:val="single"/>
          </w:rPr>
          <w:t>docs.python.org/3/library/sqlite3.html</w:t>
        </w:r>
      </w:hyperlink>
    </w:p>
    <w:p>
      <w:r>
        <w:rPr>
          <w:b/>
        </w:rPr>
        <w:t xml:space="preserve">European Commission data-protection guidance: </w:t>
      </w:r>
      <w:hyperlink r:id="rId20">
        <w:r>
          <w:rPr>
            <w:color w:val="2F75B5"/>
            <w:u w:val="single"/>
          </w:rPr>
          <w:t>commission.europa.eu/law/law-topic/data-protection</w:t>
        </w:r>
      </w:hyperlink>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07A8A"/>
        <w:sz w:val="18"/>
      </w:rPr>
      <w:t>Edge Computing Assignment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2525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20" w:after="20"/>
      <w:ind w:left="360" w:right="216"/>
      <w:shd w:fill="F3F5F7"/>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github.com/Baldahero/Edge-Computing-Assignment" TargetMode="External"/><Relationship Id="rId18" Type="http://schemas.openxmlformats.org/officeDocument/2006/relationships/hyperlink" Target="https://flask.palletsprojects.com/" TargetMode="External"/><Relationship Id="rId19" Type="http://schemas.openxmlformats.org/officeDocument/2006/relationships/hyperlink" Target="https://docs.python.org/3/library/sqlite3.html" TargetMode="External"/><Relationship Id="rId20" Type="http://schemas.openxmlformats.org/officeDocument/2006/relationships/hyperlink" Target="https://commission.europa.eu/law/law-topic/data-protection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Refactoring an Online Store Monolith into Microservices</dc:title>
  <dc:subject>Microservices implementation and testing report</dc:subject>
  <dc:creator>Daniil Aleksejevich</dc:creator>
  <cp:keywords>microservices, FastAPI, API Gateway, JWT, Swagger</cp:keywords>
  <dc:description>generated by python-docx</dc:description>
  <cp:lastModifiedBy/>
  <cp:revision>1</cp:revision>
  <dcterms:created xsi:type="dcterms:W3CDTF">2013-12-23T23:15:00Z</dcterms:created>
  <dcterms:modified xsi:type="dcterms:W3CDTF">2013-12-23T23:15:00Z</dcterms:modified>
  <cp:category/>
</cp:coreProperties>
</file>