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UnifrakturMaguntia" w:cs="UnifrakturMaguntia" w:eastAsia="UnifrakturMaguntia" w:hAnsi="UnifrakturMaguntia"/>
          <w:b w:val="1"/>
          <w:sz w:val="72"/>
          <w:szCs w:val="72"/>
        </w:rPr>
      </w:pPr>
      <w:r w:rsidDel="00000000" w:rsidR="00000000" w:rsidRPr="00000000">
        <w:rPr>
          <w:rFonts w:ascii="UnifrakturMaguntia" w:cs="UnifrakturMaguntia" w:eastAsia="UnifrakturMaguntia" w:hAnsi="UnifrakturMaguntia"/>
          <w:b w:val="1"/>
          <w:sz w:val="72"/>
          <w:szCs w:val="72"/>
          <w:rtl w:val="0"/>
        </w:rPr>
        <w:t xml:space="preserve">The Baron of Porlowe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Almendra Display" w:cs="Almendra Display" w:eastAsia="Almendra Display" w:hAnsi="Almendra Display"/>
          <w:b w:val="1"/>
          <w:sz w:val="28"/>
          <w:szCs w:val="2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28"/>
          <w:szCs w:val="28"/>
          <w:rtl w:val="0"/>
        </w:rPr>
        <w:t xml:space="preserve">Empowers the Town Council of Trestin to offer the following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Almendra Display" w:cs="Almendra Display" w:eastAsia="Almendra Display" w:hAnsi="Almendra Display"/>
          <w:b w:val="1"/>
          <w:sz w:val="144"/>
          <w:szCs w:val="144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144"/>
          <w:szCs w:val="144"/>
          <w:rtl w:val="0"/>
        </w:rPr>
        <w:t xml:space="preserve">BOUNTY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Almendra Display" w:cs="Almendra Display" w:eastAsia="Almendra Display" w:hAnsi="Almendra Display"/>
          <w:b w:val="1"/>
          <w:sz w:val="48"/>
          <w:szCs w:val="4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48"/>
          <w:szCs w:val="48"/>
          <w:rtl w:val="0"/>
        </w:rPr>
        <w:t xml:space="preserve">Kobold ears.................................................5C per pair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Almendra Display" w:cs="Almendra Display" w:eastAsia="Almendra Display" w:hAnsi="Almendra Display"/>
          <w:b w:val="1"/>
          <w:sz w:val="48"/>
          <w:szCs w:val="4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48"/>
          <w:szCs w:val="48"/>
          <w:rtl w:val="0"/>
        </w:rPr>
        <w:t xml:space="preserve">Goblin ears...................................................1S per pair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Almendra Display" w:cs="Almendra Display" w:eastAsia="Almendra Display" w:hAnsi="Almendra Display"/>
          <w:b w:val="1"/>
          <w:sz w:val="48"/>
          <w:szCs w:val="4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48"/>
          <w:szCs w:val="48"/>
          <w:rtl w:val="0"/>
        </w:rPr>
        <w:t xml:space="preserve">Orc Tongues...............................................1G per each 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Almendra Display" w:cs="Almendra Display" w:eastAsia="Almendra Display" w:hAnsi="Almendra Display"/>
          <w:b w:val="1"/>
          <w:sz w:val="48"/>
          <w:szCs w:val="4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48"/>
          <w:szCs w:val="48"/>
          <w:rtl w:val="0"/>
        </w:rPr>
        <w:t xml:space="preserve">Gnoll Scalps................................................3G per pair 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Fonts w:ascii="Almendra Display" w:cs="Almendra Display" w:eastAsia="Almendra Display" w:hAnsi="Almendra Display"/>
          <w:b w:val="1"/>
          <w:sz w:val="48"/>
          <w:szCs w:val="48"/>
          <w:rtl w:val="0"/>
        </w:rPr>
        <w:t xml:space="preserve">Ogre Tusks...................................................10G per set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mendra Display">
    <w:embedRegular w:fontKey="{00000000-0000-0000-0000-000000000000}" r:id="rId1" w:subsetted="0"/>
  </w:font>
  <w:font w:name="UnifrakturMaguntia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mendraDisplay-regular.ttf"/><Relationship Id="rId2" Type="http://schemas.openxmlformats.org/officeDocument/2006/relationships/font" Target="fonts/UnifrakturMagunt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