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0F5A1" w14:textId="77777777" w:rsidR="00E71202" w:rsidRDefault="00E71202" w:rsidP="00E71202">
      <w:pPr>
        <w:spacing w:line="480" w:lineRule="auto"/>
        <w:jc w:val="center"/>
        <w:rPr>
          <w:rFonts w:ascii="Times New Roman" w:hAnsi="Times New Roman" w:cs="Times New Roman"/>
          <w:sz w:val="24"/>
          <w:szCs w:val="24"/>
        </w:rPr>
      </w:pPr>
      <w:r>
        <w:rPr>
          <w:rFonts w:ascii="Times New Roman" w:hAnsi="Times New Roman" w:cs="Times New Roman"/>
          <w:sz w:val="24"/>
          <w:szCs w:val="24"/>
        </w:rPr>
        <w:t>Eli Baldwin</w:t>
      </w:r>
    </w:p>
    <w:p w14:paraId="094C0F30" w14:textId="77777777" w:rsidR="00E71202" w:rsidRDefault="00E71202" w:rsidP="00E71202">
      <w:pPr>
        <w:spacing w:line="480" w:lineRule="auto"/>
        <w:jc w:val="center"/>
        <w:rPr>
          <w:rFonts w:ascii="Times New Roman" w:hAnsi="Times New Roman" w:cs="Times New Roman"/>
          <w:sz w:val="24"/>
          <w:szCs w:val="24"/>
        </w:rPr>
      </w:pPr>
    </w:p>
    <w:p w14:paraId="45EF54EB" w14:textId="0D2246AD" w:rsidR="00E71202" w:rsidRDefault="00923CB1" w:rsidP="00E71202">
      <w:pPr>
        <w:spacing w:line="480" w:lineRule="auto"/>
        <w:jc w:val="center"/>
        <w:rPr>
          <w:rFonts w:ascii="Times New Roman" w:hAnsi="Times New Roman" w:cs="Times New Roman"/>
          <w:sz w:val="24"/>
          <w:szCs w:val="24"/>
        </w:rPr>
      </w:pPr>
      <w:r>
        <w:rPr>
          <w:rFonts w:ascii="Times New Roman" w:hAnsi="Times New Roman" w:cs="Times New Roman"/>
          <w:sz w:val="24"/>
          <w:szCs w:val="24"/>
        </w:rPr>
        <w:t>Master’s</w:t>
      </w:r>
      <w:r w:rsidR="00E71202">
        <w:rPr>
          <w:rFonts w:ascii="Times New Roman" w:hAnsi="Times New Roman" w:cs="Times New Roman"/>
          <w:sz w:val="24"/>
          <w:szCs w:val="24"/>
        </w:rPr>
        <w:t xml:space="preserve"> Thesis</w:t>
      </w:r>
    </w:p>
    <w:p w14:paraId="099982DB" w14:textId="77777777" w:rsidR="00E71202" w:rsidRDefault="00E71202" w:rsidP="00E71202">
      <w:pPr>
        <w:spacing w:line="480" w:lineRule="auto"/>
        <w:jc w:val="center"/>
        <w:rPr>
          <w:rFonts w:ascii="Times New Roman" w:hAnsi="Times New Roman" w:cs="Times New Roman"/>
          <w:sz w:val="24"/>
          <w:szCs w:val="24"/>
        </w:rPr>
      </w:pPr>
    </w:p>
    <w:p w14:paraId="613DC9F9" w14:textId="4B03E94E" w:rsidR="00E71202" w:rsidRDefault="00E71202" w:rsidP="00E71202">
      <w:pPr>
        <w:spacing w:line="480" w:lineRule="auto"/>
        <w:jc w:val="center"/>
        <w:rPr>
          <w:rFonts w:ascii="Times New Roman" w:hAnsi="Times New Roman" w:cs="Times New Roman"/>
          <w:sz w:val="24"/>
          <w:szCs w:val="24"/>
        </w:rPr>
      </w:pPr>
      <w:r>
        <w:rPr>
          <w:rFonts w:ascii="Times New Roman" w:hAnsi="Times New Roman" w:cs="Times New Roman"/>
          <w:sz w:val="24"/>
          <w:szCs w:val="24"/>
        </w:rPr>
        <w:t>Agricultural Land Change in Zambia, 2000-</w:t>
      </w:r>
      <w:r w:rsidR="000F5810">
        <w:rPr>
          <w:rFonts w:ascii="Times New Roman" w:hAnsi="Times New Roman" w:cs="Times New Roman"/>
          <w:sz w:val="24"/>
          <w:szCs w:val="24"/>
        </w:rPr>
        <w:t>2010-</w:t>
      </w:r>
      <w:r>
        <w:rPr>
          <w:rFonts w:ascii="Times New Roman" w:hAnsi="Times New Roman" w:cs="Times New Roman"/>
          <w:sz w:val="24"/>
          <w:szCs w:val="24"/>
        </w:rPr>
        <w:t>2015</w:t>
      </w:r>
    </w:p>
    <w:p w14:paraId="1A7A3B10" w14:textId="77777777" w:rsidR="00E71202" w:rsidRDefault="00E71202" w:rsidP="00E71202">
      <w:pPr>
        <w:spacing w:line="480" w:lineRule="auto"/>
        <w:jc w:val="center"/>
        <w:rPr>
          <w:rFonts w:ascii="Times New Roman" w:hAnsi="Times New Roman" w:cs="Times New Roman"/>
          <w:sz w:val="24"/>
          <w:szCs w:val="24"/>
        </w:rPr>
      </w:pPr>
    </w:p>
    <w:p w14:paraId="5E3893FA" w14:textId="77777777" w:rsidR="00E71202" w:rsidRDefault="00E71202" w:rsidP="00E71202">
      <w:pPr>
        <w:spacing w:line="480" w:lineRule="auto"/>
        <w:jc w:val="center"/>
        <w:rPr>
          <w:rFonts w:ascii="Times New Roman" w:hAnsi="Times New Roman" w:cs="Times New Roman"/>
          <w:sz w:val="24"/>
          <w:szCs w:val="24"/>
        </w:rPr>
      </w:pPr>
      <w:r>
        <w:rPr>
          <w:rFonts w:ascii="Times New Roman" w:hAnsi="Times New Roman" w:cs="Times New Roman"/>
          <w:sz w:val="24"/>
          <w:szCs w:val="24"/>
        </w:rPr>
        <w:t>Advisor: Professor Lyndon Estes</w:t>
      </w:r>
    </w:p>
    <w:p w14:paraId="3B91BC61" w14:textId="77777777" w:rsidR="00E71202" w:rsidRDefault="00E71202" w:rsidP="00E71202">
      <w:pPr>
        <w:spacing w:line="480" w:lineRule="auto"/>
        <w:jc w:val="center"/>
        <w:rPr>
          <w:rFonts w:ascii="Times New Roman" w:hAnsi="Times New Roman" w:cs="Times New Roman"/>
          <w:sz w:val="24"/>
          <w:szCs w:val="24"/>
        </w:rPr>
      </w:pPr>
    </w:p>
    <w:p w14:paraId="60F4B7EB" w14:textId="77777777" w:rsidR="00E71202" w:rsidRDefault="00E71202" w:rsidP="00E71202">
      <w:pPr>
        <w:spacing w:line="480" w:lineRule="auto"/>
        <w:jc w:val="center"/>
        <w:rPr>
          <w:rFonts w:ascii="Times New Roman" w:hAnsi="Times New Roman" w:cs="Times New Roman"/>
          <w:sz w:val="24"/>
          <w:szCs w:val="24"/>
        </w:rPr>
      </w:pPr>
      <w:r>
        <w:rPr>
          <w:rFonts w:ascii="Times New Roman" w:hAnsi="Times New Roman" w:cs="Times New Roman"/>
          <w:sz w:val="24"/>
          <w:szCs w:val="24"/>
        </w:rPr>
        <w:t>Clark University, Worcester, MA</w:t>
      </w:r>
    </w:p>
    <w:p w14:paraId="274094AE" w14:textId="77777777" w:rsidR="00E71202" w:rsidRDefault="00E71202" w:rsidP="00E71202">
      <w:pPr>
        <w:spacing w:line="480" w:lineRule="auto"/>
        <w:jc w:val="center"/>
        <w:rPr>
          <w:rFonts w:ascii="Times New Roman" w:hAnsi="Times New Roman" w:cs="Times New Roman"/>
          <w:sz w:val="24"/>
          <w:szCs w:val="24"/>
        </w:rPr>
      </w:pPr>
    </w:p>
    <w:p w14:paraId="739496AC" w14:textId="77777777" w:rsidR="00E71202" w:rsidRDefault="00E71202" w:rsidP="00E71202">
      <w:pPr>
        <w:spacing w:line="480" w:lineRule="auto"/>
        <w:jc w:val="center"/>
        <w:rPr>
          <w:rFonts w:ascii="Times New Roman" w:hAnsi="Times New Roman" w:cs="Times New Roman"/>
          <w:sz w:val="24"/>
          <w:szCs w:val="24"/>
        </w:rPr>
      </w:pPr>
    </w:p>
    <w:p w14:paraId="26653EEB" w14:textId="77777777" w:rsidR="00E71202" w:rsidRDefault="00E71202" w:rsidP="00E71202">
      <w:pPr>
        <w:spacing w:line="480" w:lineRule="auto"/>
        <w:jc w:val="center"/>
        <w:rPr>
          <w:rFonts w:ascii="Times New Roman" w:hAnsi="Times New Roman" w:cs="Times New Roman"/>
          <w:sz w:val="24"/>
          <w:szCs w:val="24"/>
        </w:rPr>
      </w:pPr>
    </w:p>
    <w:p w14:paraId="152B8FB8" w14:textId="77777777" w:rsidR="00E71202" w:rsidRDefault="00E71202" w:rsidP="00E71202">
      <w:pPr>
        <w:spacing w:line="480" w:lineRule="auto"/>
        <w:jc w:val="center"/>
        <w:rPr>
          <w:rFonts w:ascii="Times New Roman" w:hAnsi="Times New Roman" w:cs="Times New Roman"/>
          <w:sz w:val="24"/>
          <w:szCs w:val="24"/>
        </w:rPr>
      </w:pPr>
    </w:p>
    <w:p w14:paraId="43355139" w14:textId="77777777" w:rsidR="00E71202" w:rsidRDefault="00E71202" w:rsidP="00E71202">
      <w:pPr>
        <w:spacing w:line="480" w:lineRule="auto"/>
        <w:jc w:val="center"/>
        <w:rPr>
          <w:rFonts w:ascii="Times New Roman" w:hAnsi="Times New Roman" w:cs="Times New Roman"/>
          <w:sz w:val="24"/>
          <w:szCs w:val="24"/>
        </w:rPr>
      </w:pPr>
    </w:p>
    <w:p w14:paraId="6F79C734" w14:textId="77777777" w:rsidR="00E71202" w:rsidRDefault="00E71202" w:rsidP="00E71202">
      <w:pPr>
        <w:spacing w:line="480" w:lineRule="auto"/>
        <w:jc w:val="center"/>
        <w:rPr>
          <w:rFonts w:ascii="Times New Roman" w:hAnsi="Times New Roman" w:cs="Times New Roman"/>
          <w:sz w:val="24"/>
          <w:szCs w:val="24"/>
        </w:rPr>
      </w:pPr>
    </w:p>
    <w:p w14:paraId="2DDC0B61" w14:textId="77777777" w:rsidR="00E71202" w:rsidRDefault="00E71202" w:rsidP="00E71202">
      <w:pPr>
        <w:spacing w:line="480" w:lineRule="auto"/>
        <w:jc w:val="center"/>
        <w:rPr>
          <w:rFonts w:ascii="Times New Roman" w:hAnsi="Times New Roman" w:cs="Times New Roman"/>
          <w:sz w:val="24"/>
          <w:szCs w:val="24"/>
        </w:rPr>
      </w:pPr>
    </w:p>
    <w:p w14:paraId="6DAD5AE2" w14:textId="77777777" w:rsidR="00E71202" w:rsidRDefault="00E71202" w:rsidP="00E71202">
      <w:pPr>
        <w:spacing w:line="480" w:lineRule="auto"/>
        <w:jc w:val="center"/>
        <w:rPr>
          <w:rFonts w:ascii="Times New Roman" w:hAnsi="Times New Roman" w:cs="Times New Roman"/>
          <w:sz w:val="24"/>
          <w:szCs w:val="24"/>
        </w:rPr>
      </w:pPr>
    </w:p>
    <w:p w14:paraId="2E84775B" w14:textId="77777777" w:rsidR="00E71202" w:rsidRDefault="00E71202" w:rsidP="00E71202">
      <w:pPr>
        <w:spacing w:line="480" w:lineRule="auto"/>
        <w:jc w:val="center"/>
        <w:rPr>
          <w:rFonts w:ascii="Times New Roman" w:hAnsi="Times New Roman" w:cs="Times New Roman"/>
          <w:sz w:val="24"/>
          <w:szCs w:val="24"/>
        </w:rPr>
      </w:pPr>
    </w:p>
    <w:p w14:paraId="2AE39D3A" w14:textId="77777777" w:rsidR="00E71202" w:rsidRDefault="00E71202" w:rsidP="00E71202">
      <w:pPr>
        <w:spacing w:after="0" w:line="480" w:lineRule="auto"/>
        <w:rPr>
          <w:rFonts w:ascii="Times New Roman" w:hAnsi="Times New Roman" w:cs="Times New Roman"/>
          <w:sz w:val="24"/>
          <w:szCs w:val="24"/>
        </w:rPr>
      </w:pPr>
      <w:r w:rsidRPr="00FE3F2A">
        <w:rPr>
          <w:rFonts w:ascii="Times New Roman" w:hAnsi="Times New Roman" w:cs="Times New Roman"/>
          <w:sz w:val="24"/>
          <w:szCs w:val="24"/>
          <w:u w:val="single"/>
        </w:rPr>
        <w:lastRenderedPageBreak/>
        <w:t>Abstract</w:t>
      </w:r>
      <w:r>
        <w:rPr>
          <w:rFonts w:ascii="Times New Roman" w:hAnsi="Times New Roman" w:cs="Times New Roman"/>
          <w:sz w:val="24"/>
          <w:szCs w:val="24"/>
        </w:rPr>
        <w:t>:</w:t>
      </w:r>
    </w:p>
    <w:p w14:paraId="79137243" w14:textId="12793E38" w:rsidR="00E71202" w:rsidRDefault="00E71202" w:rsidP="00E7120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Agriculture has been identified as the largest and most important Land Use/Land Cover (LULC) class in terms of LULC change, especially in terms of its gain from natural land covers.  Agricultural land change can have important consequences for food security and environmental protection. There is a paucity of data and analysis of agricultural LULC change for Zambia. The literature shows many variables </w:t>
      </w:r>
      <w:r w:rsidR="00EB47D7">
        <w:rPr>
          <w:rFonts w:ascii="Times New Roman" w:hAnsi="Times New Roman" w:cs="Times New Roman"/>
          <w:sz w:val="24"/>
          <w:szCs w:val="24"/>
        </w:rPr>
        <w:t xml:space="preserve">affect </w:t>
      </w:r>
      <w:r>
        <w:rPr>
          <w:rFonts w:ascii="Times New Roman" w:hAnsi="Times New Roman" w:cs="Times New Roman"/>
          <w:sz w:val="24"/>
          <w:szCs w:val="24"/>
        </w:rPr>
        <w:t xml:space="preserve">agricultural LULC change, including population, accessibility and environmental factors. This thesis analyzes the change in agricultural LULC, </w:t>
      </w:r>
      <w:r w:rsidR="00EB47D7">
        <w:rPr>
          <w:rFonts w:ascii="Times New Roman" w:hAnsi="Times New Roman" w:cs="Times New Roman"/>
          <w:sz w:val="24"/>
          <w:szCs w:val="24"/>
        </w:rPr>
        <w:t xml:space="preserve">quantifies the strength of explanatory </w:t>
      </w:r>
      <w:r>
        <w:rPr>
          <w:rFonts w:ascii="Times New Roman" w:hAnsi="Times New Roman" w:cs="Times New Roman"/>
          <w:sz w:val="24"/>
          <w:szCs w:val="24"/>
        </w:rPr>
        <w:t>variables, and develops a model to predict the gain of agriculture in Zambia. There is a gain of agriculture between 2000 and 2010, and then a larger gain between 2010 and 2015. There are larger exchange</w:t>
      </w:r>
      <w:r w:rsidR="00EB47D7">
        <w:rPr>
          <w:rFonts w:ascii="Times New Roman" w:hAnsi="Times New Roman" w:cs="Times New Roman"/>
          <w:sz w:val="24"/>
          <w:szCs w:val="24"/>
        </w:rPr>
        <w:t>s</w:t>
      </w:r>
      <w:r>
        <w:rPr>
          <w:rFonts w:ascii="Times New Roman" w:hAnsi="Times New Roman" w:cs="Times New Roman"/>
          <w:sz w:val="24"/>
          <w:szCs w:val="24"/>
        </w:rPr>
        <w:t xml:space="preserve"> </w:t>
      </w:r>
      <w:r w:rsidR="00EB47D7">
        <w:rPr>
          <w:rFonts w:ascii="Times New Roman" w:hAnsi="Times New Roman" w:cs="Times New Roman"/>
          <w:sz w:val="24"/>
          <w:szCs w:val="24"/>
        </w:rPr>
        <w:t xml:space="preserve">during </w:t>
      </w:r>
      <w:r>
        <w:rPr>
          <w:rFonts w:ascii="Times New Roman" w:hAnsi="Times New Roman" w:cs="Times New Roman"/>
          <w:sz w:val="24"/>
          <w:szCs w:val="24"/>
        </w:rPr>
        <w:t>the first time interval. Areas of shifting cultivation can be identified as areas with a higher proportion of toggle</w:t>
      </w:r>
      <w:r w:rsidR="00A40733">
        <w:rPr>
          <w:rFonts w:ascii="Times New Roman" w:hAnsi="Times New Roman" w:cs="Times New Roman"/>
          <w:sz w:val="24"/>
          <w:szCs w:val="24"/>
        </w:rPr>
        <w:t xml:space="preserve">, </w:t>
      </w:r>
      <w:r w:rsidR="00EB47D7">
        <w:rPr>
          <w:rFonts w:ascii="Times New Roman" w:hAnsi="Times New Roman" w:cs="Times New Roman"/>
          <w:sz w:val="24"/>
          <w:szCs w:val="24"/>
        </w:rPr>
        <w:t xml:space="preserve">meaning </w:t>
      </w:r>
      <w:r w:rsidR="00A40733">
        <w:rPr>
          <w:rFonts w:ascii="Times New Roman" w:hAnsi="Times New Roman" w:cs="Times New Roman"/>
          <w:sz w:val="24"/>
          <w:szCs w:val="24"/>
        </w:rPr>
        <w:t>pixels that change to a different LULC class and then change back to the original</w:t>
      </w:r>
      <w:r w:rsidR="00EB47D7">
        <w:rPr>
          <w:rFonts w:ascii="Times New Roman" w:hAnsi="Times New Roman" w:cs="Times New Roman"/>
          <w:sz w:val="24"/>
          <w:szCs w:val="24"/>
        </w:rPr>
        <w:t xml:space="preserve"> class</w:t>
      </w:r>
      <w:r>
        <w:rPr>
          <w:rFonts w:ascii="Times New Roman" w:hAnsi="Times New Roman" w:cs="Times New Roman"/>
          <w:sz w:val="24"/>
          <w:szCs w:val="24"/>
        </w:rPr>
        <w:t xml:space="preserve">. Districts of Zambia with more agriculture tend to have medium gain intensities but low loss intensities. Districts of Zambia with less agriculture tend to have higher gain and loss intensities. Distance from existing agriculture is the most important variable in predicting gain of agriculture. Using distance from agriculture and </w:t>
      </w:r>
      <w:r w:rsidR="00964D0D">
        <w:rPr>
          <w:rFonts w:ascii="Times New Roman" w:hAnsi="Times New Roman" w:cs="Times New Roman"/>
          <w:sz w:val="24"/>
          <w:szCs w:val="24"/>
        </w:rPr>
        <w:t>holding the</w:t>
      </w:r>
      <w:r>
        <w:rPr>
          <w:rFonts w:ascii="Times New Roman" w:hAnsi="Times New Roman" w:cs="Times New Roman"/>
          <w:sz w:val="24"/>
          <w:szCs w:val="24"/>
        </w:rPr>
        <w:t xml:space="preserve"> other variables </w:t>
      </w:r>
      <w:r w:rsidR="00964D0D">
        <w:rPr>
          <w:rFonts w:ascii="Times New Roman" w:hAnsi="Times New Roman" w:cs="Times New Roman"/>
          <w:sz w:val="24"/>
          <w:szCs w:val="24"/>
        </w:rPr>
        <w:t xml:space="preserve">constant </w:t>
      </w:r>
      <w:r>
        <w:rPr>
          <w:rFonts w:ascii="Times New Roman" w:hAnsi="Times New Roman" w:cs="Times New Roman"/>
          <w:sz w:val="24"/>
          <w:szCs w:val="24"/>
        </w:rPr>
        <w:t xml:space="preserve">decreases the </w:t>
      </w:r>
      <w:r w:rsidR="00923CB1">
        <w:rPr>
          <w:rFonts w:ascii="Times New Roman" w:hAnsi="Times New Roman" w:cs="Times New Roman"/>
          <w:sz w:val="24"/>
          <w:szCs w:val="24"/>
        </w:rPr>
        <w:t xml:space="preserve">calibration </w:t>
      </w:r>
      <w:r>
        <w:rPr>
          <w:rFonts w:ascii="Times New Roman" w:hAnsi="Times New Roman" w:cs="Times New Roman"/>
          <w:sz w:val="24"/>
          <w:szCs w:val="24"/>
        </w:rPr>
        <w:t>accuracy of the transition potential modeling part of the land change model by less than 1 percentage point.</w:t>
      </w:r>
      <w:r w:rsidR="00A40733">
        <w:rPr>
          <w:rFonts w:ascii="Times New Roman" w:hAnsi="Times New Roman" w:cs="Times New Roman"/>
          <w:sz w:val="24"/>
          <w:szCs w:val="24"/>
        </w:rPr>
        <w:t xml:space="preserve"> The predictions of gain of agriculture can get</w:t>
      </w:r>
      <w:r w:rsidR="00937C40">
        <w:rPr>
          <w:rFonts w:ascii="Times New Roman" w:hAnsi="Times New Roman" w:cs="Times New Roman"/>
          <w:sz w:val="24"/>
          <w:szCs w:val="24"/>
        </w:rPr>
        <w:t xml:space="preserve"> a considerable amount</w:t>
      </w:r>
      <w:r w:rsidR="00A40733">
        <w:rPr>
          <w:rFonts w:ascii="Times New Roman" w:hAnsi="Times New Roman" w:cs="Times New Roman"/>
          <w:sz w:val="24"/>
          <w:szCs w:val="24"/>
        </w:rPr>
        <w:t xml:space="preserve"> of the agriculture in the correct general area, but not the exact right area.</w:t>
      </w:r>
    </w:p>
    <w:p w14:paraId="7A137D61" w14:textId="77777777" w:rsidR="00E71202" w:rsidRDefault="00E71202" w:rsidP="00E71202">
      <w:pPr>
        <w:spacing w:after="0" w:line="480" w:lineRule="auto"/>
        <w:rPr>
          <w:rFonts w:ascii="Times New Roman" w:hAnsi="Times New Roman" w:cs="Times New Roman"/>
          <w:sz w:val="24"/>
          <w:szCs w:val="24"/>
        </w:rPr>
      </w:pPr>
    </w:p>
    <w:p w14:paraId="58BDFAFB" w14:textId="77777777" w:rsidR="00E71202" w:rsidRDefault="00E71202" w:rsidP="00E71202">
      <w:pPr>
        <w:spacing w:after="0" w:line="480" w:lineRule="auto"/>
        <w:rPr>
          <w:rFonts w:ascii="Times New Roman" w:hAnsi="Times New Roman" w:cs="Times New Roman"/>
          <w:sz w:val="24"/>
          <w:szCs w:val="24"/>
        </w:rPr>
      </w:pPr>
    </w:p>
    <w:p w14:paraId="0B525C0F" w14:textId="77777777" w:rsidR="00E71202" w:rsidRDefault="00E71202" w:rsidP="00E71202">
      <w:pPr>
        <w:spacing w:after="0" w:line="480" w:lineRule="auto"/>
        <w:rPr>
          <w:rFonts w:ascii="Times New Roman" w:hAnsi="Times New Roman" w:cs="Times New Roman"/>
          <w:sz w:val="24"/>
          <w:szCs w:val="24"/>
        </w:rPr>
      </w:pPr>
    </w:p>
    <w:p w14:paraId="71A25C00" w14:textId="77777777" w:rsidR="00E71202" w:rsidRDefault="00E71202" w:rsidP="00E71202">
      <w:pPr>
        <w:spacing w:after="0" w:line="480" w:lineRule="auto"/>
        <w:rPr>
          <w:rFonts w:ascii="Times New Roman" w:hAnsi="Times New Roman" w:cs="Times New Roman"/>
          <w:sz w:val="24"/>
          <w:szCs w:val="24"/>
        </w:rPr>
      </w:pPr>
    </w:p>
    <w:p w14:paraId="413BE644" w14:textId="7C49A6ED" w:rsidR="00E71202" w:rsidRDefault="0055298B"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o</w:t>
      </w:r>
      <w:r w:rsidR="00E71202">
        <w:rPr>
          <w:rFonts w:ascii="Times New Roman" w:hAnsi="Times New Roman" w:cs="Times New Roman"/>
          <w:sz w:val="24"/>
          <w:szCs w:val="24"/>
        </w:rPr>
        <w:t>f Contents</w:t>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t>page #</w:t>
      </w:r>
    </w:p>
    <w:p w14:paraId="31FDA38F" w14:textId="1E5C9F88"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Chapter 1: Introduction</w:t>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r>
      <w:r w:rsidR="00A40733">
        <w:rPr>
          <w:rFonts w:ascii="Times New Roman" w:hAnsi="Times New Roman" w:cs="Times New Roman"/>
          <w:sz w:val="24"/>
          <w:szCs w:val="24"/>
        </w:rPr>
        <w:tab/>
        <w:t>1</w:t>
      </w:r>
    </w:p>
    <w:p w14:paraId="6A786B28" w14:textId="63704B51"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40733">
        <w:rPr>
          <w:rFonts w:ascii="Times New Roman" w:hAnsi="Times New Roman" w:cs="Times New Roman"/>
          <w:sz w:val="24"/>
          <w:szCs w:val="24"/>
        </w:rPr>
        <w:t xml:space="preserve">1a. </w:t>
      </w:r>
      <w:r>
        <w:rPr>
          <w:rFonts w:ascii="Times New Roman" w:hAnsi="Times New Roman" w:cs="Times New Roman"/>
          <w:sz w:val="24"/>
          <w:szCs w:val="24"/>
        </w:rPr>
        <w:t>Study Area</w:t>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t>3</w:t>
      </w:r>
    </w:p>
    <w:p w14:paraId="28B3BEF1" w14:textId="56001A77"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40733">
        <w:rPr>
          <w:rFonts w:ascii="Times New Roman" w:hAnsi="Times New Roman" w:cs="Times New Roman"/>
          <w:sz w:val="24"/>
          <w:szCs w:val="24"/>
        </w:rPr>
        <w:t xml:space="preserve">1b. </w:t>
      </w:r>
      <w:r>
        <w:rPr>
          <w:rFonts w:ascii="Times New Roman" w:hAnsi="Times New Roman" w:cs="Times New Roman"/>
          <w:sz w:val="24"/>
          <w:szCs w:val="24"/>
        </w:rPr>
        <w:t>Data</w:t>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t>4</w:t>
      </w:r>
    </w:p>
    <w:p w14:paraId="12B0DC20" w14:textId="1D3B2F57"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Chapter 2: Methods</w:t>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t>5</w:t>
      </w:r>
    </w:p>
    <w:p w14:paraId="25F9706C" w14:textId="01401A75"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Chapter 3: Results</w:t>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t>9</w:t>
      </w:r>
    </w:p>
    <w:p w14:paraId="6D5AACEF" w14:textId="3D4CA422"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Chapter 4: Discussion</w:t>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r>
      <w:r w:rsidR="00437EC9">
        <w:rPr>
          <w:rFonts w:ascii="Times New Roman" w:hAnsi="Times New Roman" w:cs="Times New Roman"/>
          <w:sz w:val="24"/>
          <w:szCs w:val="24"/>
        </w:rPr>
        <w:tab/>
        <w:t>19</w:t>
      </w:r>
    </w:p>
    <w:p w14:paraId="4AA93486" w14:textId="2E02C98B"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Chapter 5: Conclusion</w:t>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t>23</w:t>
      </w:r>
    </w:p>
    <w:p w14:paraId="5850E181" w14:textId="455B049E" w:rsidR="00FE3F2A" w:rsidRDefault="00FE3F2A"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References</w:t>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t>25</w:t>
      </w:r>
    </w:p>
    <w:p w14:paraId="31E7F020" w14:textId="678E7344" w:rsidR="00FE3F2A" w:rsidRDefault="00FE3F2A"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Appendices</w:t>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r>
      <w:r w:rsidR="00D41114">
        <w:rPr>
          <w:rFonts w:ascii="Times New Roman" w:hAnsi="Times New Roman" w:cs="Times New Roman"/>
          <w:sz w:val="24"/>
          <w:szCs w:val="24"/>
        </w:rPr>
        <w:tab/>
        <w:t>30</w:t>
      </w:r>
    </w:p>
    <w:p w14:paraId="29F3C26F" w14:textId="77777777" w:rsidR="00FE3F2A" w:rsidRDefault="00FE3F2A" w:rsidP="00E71202">
      <w:pPr>
        <w:spacing w:after="0" w:line="480" w:lineRule="auto"/>
        <w:rPr>
          <w:rFonts w:ascii="Times New Roman" w:hAnsi="Times New Roman" w:cs="Times New Roman"/>
          <w:sz w:val="24"/>
          <w:szCs w:val="24"/>
        </w:rPr>
      </w:pPr>
    </w:p>
    <w:p w14:paraId="0776E8C1" w14:textId="77777777" w:rsidR="00E71202" w:rsidRDefault="00E71202" w:rsidP="00E71202">
      <w:pPr>
        <w:spacing w:after="0" w:line="480" w:lineRule="auto"/>
        <w:rPr>
          <w:rFonts w:ascii="Times New Roman" w:hAnsi="Times New Roman" w:cs="Times New Roman"/>
          <w:sz w:val="24"/>
          <w:szCs w:val="24"/>
        </w:rPr>
      </w:pPr>
    </w:p>
    <w:p w14:paraId="77CBF213" w14:textId="77777777" w:rsidR="00E71202" w:rsidRDefault="00E71202" w:rsidP="00E71202">
      <w:pPr>
        <w:spacing w:after="0" w:line="480" w:lineRule="auto"/>
        <w:rPr>
          <w:rFonts w:ascii="Times New Roman" w:hAnsi="Times New Roman" w:cs="Times New Roman"/>
          <w:sz w:val="24"/>
          <w:szCs w:val="24"/>
        </w:rPr>
      </w:pPr>
    </w:p>
    <w:p w14:paraId="6612CB6B" w14:textId="77777777" w:rsidR="00E71202" w:rsidRDefault="00E71202" w:rsidP="00E71202">
      <w:pPr>
        <w:spacing w:after="0" w:line="480" w:lineRule="auto"/>
        <w:rPr>
          <w:rFonts w:ascii="Times New Roman" w:hAnsi="Times New Roman" w:cs="Times New Roman"/>
          <w:sz w:val="24"/>
          <w:szCs w:val="24"/>
        </w:rPr>
      </w:pPr>
    </w:p>
    <w:p w14:paraId="7A12C646" w14:textId="77777777" w:rsidR="00E71202" w:rsidRDefault="00E71202" w:rsidP="00E71202">
      <w:pPr>
        <w:spacing w:after="0" w:line="480" w:lineRule="auto"/>
        <w:rPr>
          <w:rFonts w:ascii="Times New Roman" w:hAnsi="Times New Roman" w:cs="Times New Roman"/>
          <w:sz w:val="24"/>
          <w:szCs w:val="24"/>
        </w:rPr>
      </w:pPr>
    </w:p>
    <w:p w14:paraId="3D4D55AE" w14:textId="77777777" w:rsidR="00E71202" w:rsidRDefault="00E71202" w:rsidP="00E71202">
      <w:pPr>
        <w:spacing w:after="0" w:line="480" w:lineRule="auto"/>
        <w:rPr>
          <w:rFonts w:ascii="Times New Roman" w:hAnsi="Times New Roman" w:cs="Times New Roman"/>
          <w:sz w:val="24"/>
          <w:szCs w:val="24"/>
        </w:rPr>
      </w:pPr>
    </w:p>
    <w:p w14:paraId="5ADCBD90" w14:textId="77777777" w:rsidR="00E71202" w:rsidRDefault="00E71202" w:rsidP="00E71202">
      <w:pPr>
        <w:spacing w:after="0" w:line="480" w:lineRule="auto"/>
        <w:rPr>
          <w:rFonts w:ascii="Times New Roman" w:hAnsi="Times New Roman" w:cs="Times New Roman"/>
          <w:sz w:val="24"/>
          <w:szCs w:val="24"/>
        </w:rPr>
      </w:pPr>
    </w:p>
    <w:p w14:paraId="616136D8" w14:textId="77777777" w:rsidR="00E71202" w:rsidRDefault="00E71202" w:rsidP="00E71202">
      <w:pPr>
        <w:spacing w:after="0" w:line="480" w:lineRule="auto"/>
        <w:rPr>
          <w:rFonts w:ascii="Times New Roman" w:hAnsi="Times New Roman" w:cs="Times New Roman"/>
          <w:sz w:val="24"/>
          <w:szCs w:val="24"/>
        </w:rPr>
      </w:pPr>
    </w:p>
    <w:p w14:paraId="6981EE22" w14:textId="77777777" w:rsidR="00E71202" w:rsidRDefault="00E71202" w:rsidP="00E71202">
      <w:pPr>
        <w:spacing w:after="0" w:line="480" w:lineRule="auto"/>
        <w:rPr>
          <w:rFonts w:ascii="Times New Roman" w:hAnsi="Times New Roman" w:cs="Times New Roman"/>
          <w:sz w:val="24"/>
          <w:szCs w:val="24"/>
        </w:rPr>
      </w:pPr>
    </w:p>
    <w:p w14:paraId="38997D3F" w14:textId="77777777" w:rsidR="00E71202" w:rsidRDefault="00E71202" w:rsidP="00E71202">
      <w:pPr>
        <w:spacing w:after="0" w:line="480" w:lineRule="auto"/>
        <w:rPr>
          <w:rFonts w:ascii="Times New Roman" w:hAnsi="Times New Roman" w:cs="Times New Roman"/>
          <w:sz w:val="24"/>
          <w:szCs w:val="24"/>
        </w:rPr>
      </w:pPr>
    </w:p>
    <w:p w14:paraId="7366AD21" w14:textId="77777777" w:rsidR="00E71202" w:rsidRDefault="00E71202" w:rsidP="00E71202">
      <w:pPr>
        <w:spacing w:after="0" w:line="480" w:lineRule="auto"/>
        <w:rPr>
          <w:rFonts w:ascii="Times New Roman" w:hAnsi="Times New Roman" w:cs="Times New Roman"/>
          <w:sz w:val="24"/>
          <w:szCs w:val="24"/>
        </w:rPr>
      </w:pPr>
    </w:p>
    <w:p w14:paraId="40DF39ED" w14:textId="77777777" w:rsidR="00437EC9" w:rsidRDefault="00437EC9" w:rsidP="00E71202">
      <w:pPr>
        <w:spacing w:after="0" w:line="480" w:lineRule="auto"/>
        <w:rPr>
          <w:rFonts w:ascii="Times New Roman" w:hAnsi="Times New Roman" w:cs="Times New Roman"/>
          <w:sz w:val="24"/>
          <w:szCs w:val="24"/>
        </w:rPr>
        <w:sectPr w:rsidR="00437EC9" w:rsidSect="00437EC9">
          <w:headerReference w:type="default" r:id="rId7"/>
          <w:pgSz w:w="12240" w:h="15840"/>
          <w:pgMar w:top="1440" w:right="1440" w:bottom="1440" w:left="1440" w:header="720" w:footer="720" w:gutter="0"/>
          <w:pgNumType w:fmt="lowerRoman" w:start="1"/>
          <w:cols w:space="720"/>
          <w:docGrid w:linePitch="360"/>
        </w:sectPr>
      </w:pPr>
    </w:p>
    <w:p w14:paraId="0BB03C22" w14:textId="77777777" w:rsidR="00E71202" w:rsidRPr="00FE3F2A" w:rsidRDefault="00E71202" w:rsidP="00E71202">
      <w:pPr>
        <w:spacing w:after="0" w:line="480" w:lineRule="auto"/>
        <w:rPr>
          <w:rFonts w:ascii="Times New Roman" w:hAnsi="Times New Roman" w:cs="Times New Roman"/>
          <w:sz w:val="24"/>
          <w:szCs w:val="24"/>
          <w:u w:val="single"/>
        </w:rPr>
      </w:pPr>
      <w:r w:rsidRPr="00FE3F2A">
        <w:rPr>
          <w:rFonts w:ascii="Times New Roman" w:hAnsi="Times New Roman" w:cs="Times New Roman"/>
          <w:sz w:val="24"/>
          <w:szCs w:val="24"/>
          <w:u w:val="single"/>
        </w:rPr>
        <w:lastRenderedPageBreak/>
        <w:t>Chapter 1: Introduction</w:t>
      </w:r>
    </w:p>
    <w:p w14:paraId="02FFAADD" w14:textId="2C639D2F" w:rsidR="00E71202" w:rsidRDefault="00E71202" w:rsidP="00FE3F2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Agriculture has been identified as the largest and most important Land Use/Land Cover (LULC) class in terms of LULC change, especially in terms of its gain from natural land covers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"10.1073/pnas.1100480108", "author" : [ { "dropping-particle" : "", "family" : "Lambin", "given" : "Eric F", "non-dropping-particle" : "", "parse-names" : false, "suffix" : "" }, { "dropping-particle" : "", "family" : "Meyfroidt", "given" : "Patrick", "non-dropping-particle" : "", "parse-names" : false, "suffix" : "" } ], "container-title" : "Proceedings of the National Academy of the Sciences", "id" : "ITEM-1", "issue" : "9", "issued" : { "date-parts" : [ [ "2011" ] ] }, "note" : "In extent, most important land conversion is expansion of agriculture into natural ecosystems.", "page" : "3465-3472", "title" : "Global land use change , economic globalization , and the looming land scarcity", "type" : "article-journal", "volume" : "108" }, "uris" : [ "http://www.mendeley.com/documents/?uuid=d30abfc1-6b59-43c8-b5b5-987795acc987" ] } ], "mendeley" : { "formattedCitation" : "(Lambin &amp; Meyfroidt, 2011)", "plainTextFormattedCitation" : "(Lambin &amp; Meyfroidt, 2011)", "previouslyFormattedCitation" : "(Lambin &amp; Meyfroidt, 2011)" }, "properties" : { "noteIndex" : 0 }, "schema" : "https://github.com/citation-style-language/schema/raw/master/csl-citation.json" }</w:instrText>
      </w:r>
      <w:r>
        <w:rPr>
          <w:rFonts w:ascii="Times New Roman" w:hAnsi="Times New Roman" w:cs="Times New Roman"/>
          <w:sz w:val="24"/>
          <w:szCs w:val="24"/>
        </w:rPr>
        <w:fldChar w:fldCharType="separate"/>
      </w:r>
      <w:r w:rsidRPr="00DF28AB">
        <w:rPr>
          <w:rFonts w:ascii="Times New Roman" w:hAnsi="Times New Roman" w:cs="Times New Roman"/>
          <w:noProof/>
          <w:sz w:val="24"/>
          <w:szCs w:val="24"/>
        </w:rPr>
        <w:t>(Lambin &amp; Meyfroidt,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A6025A">
        <w:rPr>
          <w:rFonts w:ascii="Times New Roman" w:hAnsi="Times New Roman" w:cs="Times New Roman"/>
          <w:sz w:val="24"/>
          <w:szCs w:val="24"/>
        </w:rPr>
        <w:t>E</w:t>
      </w:r>
      <w:r>
        <w:rPr>
          <w:rFonts w:ascii="Times New Roman" w:hAnsi="Times New Roman" w:cs="Times New Roman"/>
          <w:sz w:val="24"/>
          <w:szCs w:val="24"/>
        </w:rPr>
        <w:t>xpansion of agriculture has been identified as the biggest contributor to deforestation</w:t>
      </w:r>
      <w:r w:rsidR="00A6025A">
        <w:rPr>
          <w:rFonts w:ascii="Times New Roman" w:hAnsi="Times New Roman" w:cs="Times New Roman"/>
          <w:sz w:val="24"/>
          <w:szCs w:val="24"/>
        </w:rPr>
        <w:t xml:space="preserve"> in Eastern Africa </w:t>
      </w:r>
      <w:r w:rsidR="00A6025A">
        <w:rPr>
          <w:rFonts w:ascii="Times New Roman" w:hAnsi="Times New Roman" w:cs="Times New Roman"/>
          <w:sz w:val="24"/>
          <w:szCs w:val="24"/>
        </w:rPr>
        <w:fldChar w:fldCharType="begin" w:fldLock="1"/>
      </w:r>
      <w:r w:rsidR="00A6025A">
        <w:rPr>
          <w:rFonts w:ascii="Times New Roman" w:hAnsi="Times New Roman" w:cs="Times New Roman"/>
          <w:sz w:val="24"/>
          <w:szCs w:val="24"/>
        </w:rPr>
        <w:instrText>ADDIN CSL_CITATION { "citationItems" : [ { "id" : "ITEM-1", "itemData" : { "DOI" : "10.1073/pnas.0910275107", "author" : [ { "dropping-particle" : "", "family" : "Gibbs", "given" : "H K", "non-dropping-particle" : "", "parse-names" : false, "suffix" : "" }, { "dropping-particle" : "", "family" : "Ruesch", "given" : "A S", "non-dropping-particle" : "", "parse-names" : false, "suffix" : "" }, { "dropping-particle" : "", "family" : "Achard", "given" : "F", "non-dropping-particle" : "", "parse-names" : false, "suffix" : "" }, { "dropping-particle" : "", "family" : "Clayton", "given" : "M K", "non-dropping-particle" : "", "parse-names" : false, "suffix" : "" }, { "dropping-particle" : "", "family" : "Holmgren", "given" : "P", "non-dropping-particle" : "", "parse-names" : false, "suffix" : "" }, { "dropping-particle" : "", "family" : "Ramankutty", "given" : "N", "non-dropping-particle" : "", "parse-names" : false, "suffix" : "" }, { "dropping-particle" : "", "family" : "Foley", "given" : "J A", "non-dropping-particle" : "", "parse-names" : false, "suffix" : "" } ], "container-title" : "Proceedings of the National Academy of the Sciences", "id" : "ITEM-1", "issue" : "38", "issued" : { "date-parts" : [ [ "2010" ] ] }, "note" : "Agricultural expansion is largest driving force in deforestation.\n\nIn East Africa (which includes Zambia) farmaland grew by ~50% from 1980-2000.", "page" : "1-6", "title" : "Tropical forests were the primary sources of new agricultural land in the 1980s and 1990s", "type" : "article-journal", "volume" : "107" }, "uris" : [ "http://www.mendeley.com/documents/?uuid=2f8190e3-a182-42a5-ae53-0d89fb39fb3d" ] } ], "mendeley" : { "formattedCitation" : "(Gibbs et al., 2010)", "plainTextFormattedCitation" : "(Gibbs et al., 2010)", "previouslyFormattedCitation" : "(Gibbs et al., 2010)" }, "properties" : { "noteIndex" : 0 }, "schema" : "https://github.com/citation-style-language/schema/raw/master/csl-citation.json" }</w:instrText>
      </w:r>
      <w:r w:rsidR="00A6025A">
        <w:rPr>
          <w:rFonts w:ascii="Times New Roman" w:hAnsi="Times New Roman" w:cs="Times New Roman"/>
          <w:sz w:val="24"/>
          <w:szCs w:val="24"/>
        </w:rPr>
        <w:fldChar w:fldCharType="separate"/>
      </w:r>
      <w:r w:rsidR="00A6025A" w:rsidRPr="00A6025A">
        <w:rPr>
          <w:rFonts w:ascii="Times New Roman" w:hAnsi="Times New Roman" w:cs="Times New Roman"/>
          <w:noProof/>
          <w:sz w:val="24"/>
          <w:szCs w:val="24"/>
        </w:rPr>
        <w:t>(Gibbs et al., 2010)</w:t>
      </w:r>
      <w:r w:rsidR="00A6025A">
        <w:rPr>
          <w:rFonts w:ascii="Times New Roman" w:hAnsi="Times New Roman" w:cs="Times New Roman"/>
          <w:sz w:val="24"/>
          <w:szCs w:val="24"/>
        </w:rPr>
        <w:fldChar w:fldCharType="end"/>
      </w:r>
      <w:r w:rsidR="00A6025A">
        <w:rPr>
          <w:rFonts w:ascii="Times New Roman" w:hAnsi="Times New Roman" w:cs="Times New Roman"/>
          <w:sz w:val="24"/>
          <w:szCs w:val="24"/>
        </w:rPr>
        <w:t xml:space="preserve"> and Zambia (Vinya et al., 2011)</w:t>
      </w:r>
      <w:r>
        <w:rPr>
          <w:rFonts w:ascii="Times New Roman" w:hAnsi="Times New Roman" w:cs="Times New Roman"/>
          <w:sz w:val="24"/>
          <w:szCs w:val="24"/>
        </w:rPr>
        <w:t>. Agricultural expansion can negatively affect savannah biomes as well</w:t>
      </w:r>
      <w:r w:rsidR="00A6025A">
        <w:rPr>
          <w:rFonts w:ascii="Times New Roman" w:hAnsi="Times New Roman" w:cs="Times New Roman"/>
          <w:sz w:val="24"/>
          <w:szCs w:val="24"/>
        </w:rPr>
        <w:t xml:space="preserve"> </w:t>
      </w:r>
      <w:r w:rsidR="00A6025A">
        <w:rPr>
          <w:rFonts w:ascii="Times New Roman" w:hAnsi="Times New Roman" w:cs="Times New Roman"/>
          <w:sz w:val="24"/>
          <w:szCs w:val="24"/>
        </w:rPr>
        <w:fldChar w:fldCharType="begin" w:fldLock="1"/>
      </w:r>
      <w:r w:rsidR="00A6025A">
        <w:rPr>
          <w:rFonts w:ascii="Times New Roman" w:hAnsi="Times New Roman" w:cs="Times New Roman"/>
          <w:sz w:val="24"/>
          <w:szCs w:val="24"/>
        </w:rPr>
        <w:instrText>ADDIN CSL_CITATION { "citationItems" : [ { "id" : "ITEM-1", "itemData" : { "DOI" : "10.1038/NCLIMATE2584", "author" : [ { "dropping-particle" : "", "family" : "Searchinger", "given" : "Timothy D", "non-dropping-particle" : "", "parse-names" : false, "suffix" : "" }, { "dropping-particle" : "", "family" : "Estes", "given" : "Lyndon", "non-dropping-particle" : "", "parse-names" : false, "suffix" : "" }, { "dropping-particle" : "", "family" : "Thornton", "given" : "Philip K", "non-dropping-particle" : "", "parse-names" : false, "suffix" : "" }, { "dropping-particle" : "", "family" : "Beringer", "given" : "Tim", "non-dropping-particle" : "", "parse-names" : false, "suffix" : "" }, { "dropping-particle" : "", "family" : "Notenbaert", "given" : "An", "non-dropping-particle" : "", "parse-names" : false, "suffix" : "" }, { "dropping-particle" : "", "family" : "Rubenstein", "given" : "Daniel", "non-dropping-particle" : "", "parse-names" : false, "suffix" : "" }, { "dropping-particle" : "", "family" : "Heimlich", "given" : "Ralph", "non-dropping-particle" : "", "parse-names" : false, "suffix" : "" }, { "dropping-particle" : "", "family" : "Licker", "given" : "Rachel", "non-dropping-particle" : "", "parse-names" : false, "suffix" : "" }, { "dropping-particle" : "", "family" : "Herrero", "given" : "Mario", "non-dropping-particle" : "", "parse-names" : false, "suffix" : "" } ], "container-title" : "Nature Climate Change", "id" : "ITEM-1", "issue" : "April", "issued" : { "date-parts" : [ [ "2015" ] ] }, "note" : "why agriculture land change patterns are important to understand", "title" : "Converting Africa\u2019s Wet Savannahs to Cropland", "type" : "article-journal", "volume" : "5" }, "uris" : [ "http://www.mendeley.com/documents/?uuid=2afb9807-ffd3-47d1-9e4b-f5556722f4af" ] } ], "mendeley" : { "formattedCitation" : "(Searchinger et al., 2015)", "plainTextFormattedCitation" : "(Searchinger et al., 2015)", "previouslyFormattedCitation" : "(Searchinger et al., 2015)" }, "properties" : { "noteIndex" : 0 }, "schema" : "https://github.com/citation-style-language/schema/raw/master/csl-citation.json" }</w:instrText>
      </w:r>
      <w:r w:rsidR="00A6025A">
        <w:rPr>
          <w:rFonts w:ascii="Times New Roman" w:hAnsi="Times New Roman" w:cs="Times New Roman"/>
          <w:sz w:val="24"/>
          <w:szCs w:val="24"/>
        </w:rPr>
        <w:fldChar w:fldCharType="separate"/>
      </w:r>
      <w:r w:rsidR="00A6025A" w:rsidRPr="00A6025A">
        <w:rPr>
          <w:rFonts w:ascii="Times New Roman" w:hAnsi="Times New Roman" w:cs="Times New Roman"/>
          <w:noProof/>
          <w:sz w:val="24"/>
          <w:szCs w:val="24"/>
        </w:rPr>
        <w:t>(Searchinger et al., 2015)</w:t>
      </w:r>
      <w:r w:rsidR="00A6025A">
        <w:rPr>
          <w:rFonts w:ascii="Times New Roman" w:hAnsi="Times New Roman" w:cs="Times New Roman"/>
          <w:sz w:val="24"/>
          <w:szCs w:val="24"/>
        </w:rPr>
        <w:fldChar w:fldCharType="end"/>
      </w:r>
      <w:r>
        <w:rPr>
          <w:rFonts w:ascii="Times New Roman" w:hAnsi="Times New Roman" w:cs="Times New Roman"/>
          <w:sz w:val="24"/>
          <w:szCs w:val="24"/>
        </w:rPr>
        <w:t>. Agricultural land change can have important consequences for food security and environmental protection</w:t>
      </w:r>
      <w:r w:rsidR="00A6025A">
        <w:rPr>
          <w:rFonts w:ascii="Times New Roman" w:hAnsi="Times New Roman" w:cs="Times New Roman"/>
          <w:sz w:val="24"/>
          <w:szCs w:val="24"/>
        </w:rPr>
        <w:t xml:space="preserve"> </w:t>
      </w:r>
      <w:r w:rsidR="00A6025A">
        <w:rPr>
          <w:rFonts w:ascii="Times New Roman" w:hAnsi="Times New Roman" w:cs="Times New Roman"/>
          <w:sz w:val="24"/>
          <w:szCs w:val="24"/>
        </w:rPr>
        <w:fldChar w:fldCharType="begin" w:fldLock="1"/>
      </w:r>
      <w:r w:rsidR="00A67E93">
        <w:rPr>
          <w:rFonts w:ascii="Times New Roman" w:hAnsi="Times New Roman" w:cs="Times New Roman"/>
          <w:sz w:val="24"/>
          <w:szCs w:val="24"/>
        </w:rPr>
        <w:instrText>ADDIN CSL_CITATION { "citationItems" : [ { "id" : "ITEM-1", "itemData" : { "DOI" : "10.1073/pnas.0910275107", "author" : [ { "dropping-particle" : "", "family" : "Gibbs", "given" : "H K", "non-dropping-particle" : "", "parse-names" : false, "suffix" : "" }, { "dropping-particle" : "", "family" : "Ruesch", "given" : "A S", "non-dropping-particle" : "", "parse-names" : false, "suffix" : "" }, { "dropping-particle" : "", "family" : "Achard", "given" : "F", "non-dropping-particle" : "", "parse-names" : false, "suffix" : "" }, { "dropping-particle" : "", "family" : "Clayton", "given" : "M K", "non-dropping-particle" : "", "parse-names" : false, "suffix" : "" }, { "dropping-particle" : "", "family" : "Holmgren", "given" : "P", "non-dropping-particle" : "", "parse-names" : false, "suffix" : "" }, { "dropping-particle" : "", "family" : "Ramankutty", "given" : "N", "non-dropping-particle" : "", "parse-names" : false, "suffix" : "" }, { "dropping-particle" : "", "family" : "Foley", "given" : "J A", "non-dropping-particle" : "", "parse-names" : false, "suffix" : "" } ], "container-title" : "Proceedings of the National Academy of the Sciences", "id" : "ITEM-1", "issue" : "38", "issued" : { "date-parts" : [ [ "2010" ] ] }, "note" : "Agricultural expansion is largest driving force in deforestation.\n\nIn East Africa (which includes Zambia) farmaland grew by ~50% from 1980-2000.", "page" : "1-6", "title" : "Tropical forests were the primary sources of new agricultural land in the 1980s and 1990s", "type" : "article-journal", "volume" : "107" }, "uris" : [ "http://www.mendeley.com/documents/?uuid=2f8190e3-a182-42a5-ae53-0d89fb39fb3d" ] } ], "mendeley" : { "formattedCitation" : "(Gibbs et al., 2010)", "plainTextFormattedCitation" : "(Gibbs et al., 2010)", "previouslyFormattedCitation" : "(Gibbs et al., 2010)" }, "properties" : { "noteIndex" : 0 }, "schema" : "https://github.com/citation-style-language/schema/raw/master/csl-citation.json" }</w:instrText>
      </w:r>
      <w:r w:rsidR="00A6025A">
        <w:rPr>
          <w:rFonts w:ascii="Times New Roman" w:hAnsi="Times New Roman" w:cs="Times New Roman"/>
          <w:sz w:val="24"/>
          <w:szCs w:val="24"/>
        </w:rPr>
        <w:fldChar w:fldCharType="separate"/>
      </w:r>
      <w:r w:rsidR="00A6025A" w:rsidRPr="00A6025A">
        <w:rPr>
          <w:rFonts w:ascii="Times New Roman" w:hAnsi="Times New Roman" w:cs="Times New Roman"/>
          <w:noProof/>
          <w:sz w:val="24"/>
          <w:szCs w:val="24"/>
        </w:rPr>
        <w:t>(Gibbs et al., 2010)</w:t>
      </w:r>
      <w:r w:rsidR="00A6025A">
        <w:rPr>
          <w:rFonts w:ascii="Times New Roman" w:hAnsi="Times New Roman" w:cs="Times New Roman"/>
          <w:sz w:val="24"/>
          <w:szCs w:val="24"/>
        </w:rPr>
        <w:fldChar w:fldCharType="end"/>
      </w:r>
      <w:r>
        <w:rPr>
          <w:rFonts w:ascii="Times New Roman" w:hAnsi="Times New Roman" w:cs="Times New Roman"/>
          <w:sz w:val="24"/>
          <w:szCs w:val="24"/>
        </w:rPr>
        <w:t>. Zambia has high levels of malnutrition and a rural population dependent on agriculture</w:t>
      </w:r>
      <w:r w:rsidR="000D24D6">
        <w:rPr>
          <w:rFonts w:ascii="Times New Roman" w:hAnsi="Times New Roman" w:cs="Times New Roman"/>
          <w:sz w:val="24"/>
          <w:szCs w:val="24"/>
        </w:rPr>
        <w:t xml:space="preserve"> (World Development Indicators</w:t>
      </w:r>
      <w:r w:rsidR="004D366B">
        <w:rPr>
          <w:rFonts w:ascii="Times New Roman" w:hAnsi="Times New Roman" w:cs="Times New Roman"/>
          <w:sz w:val="24"/>
          <w:szCs w:val="24"/>
        </w:rPr>
        <w:t>, 2020)</w:t>
      </w:r>
      <w:r>
        <w:rPr>
          <w:rFonts w:ascii="Times New Roman" w:hAnsi="Times New Roman" w:cs="Times New Roman"/>
          <w:sz w:val="24"/>
          <w:szCs w:val="24"/>
        </w:rPr>
        <w:t xml:space="preserve">. </w:t>
      </w:r>
    </w:p>
    <w:p w14:paraId="254A90D7" w14:textId="09724F22" w:rsidR="00E71202" w:rsidRDefault="00E71202" w:rsidP="00E7120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There is a paucity of data and analysis of agricultural LULC change for Zambia. I have thus far found only one study that analyzed LULC change in one region of Zambia (Petit, Scudder, &amp; Lambin, 2001). The study was conducted in Lusitu, Southern Province, Zambia. The authors found that agriculture LULC was growing</w:t>
      </w:r>
      <w:r w:rsidR="009D0B1C">
        <w:rPr>
          <w:rFonts w:ascii="Times New Roman" w:hAnsi="Times New Roman" w:cs="Times New Roman"/>
          <w:sz w:val="24"/>
          <w:szCs w:val="24"/>
        </w:rPr>
        <w:t xml:space="preserve"> from 1986-1997</w:t>
      </w:r>
      <w:r>
        <w:rPr>
          <w:rFonts w:ascii="Times New Roman" w:hAnsi="Times New Roman" w:cs="Times New Roman"/>
          <w:sz w:val="24"/>
          <w:szCs w:val="24"/>
        </w:rPr>
        <w:t xml:space="preserve">, although that growth had slowed </w:t>
      </w:r>
      <w:r w:rsidR="009D0B1C">
        <w:rPr>
          <w:rFonts w:ascii="Times New Roman" w:hAnsi="Times New Roman" w:cs="Times New Roman"/>
          <w:sz w:val="24"/>
          <w:szCs w:val="24"/>
        </w:rPr>
        <w:t>between 1992 and 1997.</w:t>
      </w:r>
      <w:r>
        <w:rPr>
          <w:rFonts w:ascii="Times New Roman" w:hAnsi="Times New Roman" w:cs="Times New Roman"/>
          <w:sz w:val="24"/>
          <w:szCs w:val="24"/>
        </w:rPr>
        <w:t xml:space="preserve"> Agriculture gained mostly from forest and savannah. The authors found that agriculture pushed into natural LULC and then settlement expanded behind it, so some agricultural land was lost to settlement. Some agriculture also changed to grassland in the case of field abandonment, permanent or temporary. The study also found that Zambia’s protected areas remained largely unchanged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"10.1080/01431160010006881", "author" : [ { "dropping-particle" : "", "family" : "Petit", "given" : "C", "non-dropping-particle" : "", "parse-names" : false, "suffix" : "" }, { "dropping-particle" : "", "family" : "Scudder", "given" : "T", "non-dropping-particle" : "", "parse-names" : false, "suffix" : "" }, { "dropping-particle" : "", "family" : "Lambin", "given" : "E", "non-dropping-particle" : "", "parse-names" : false, "suffix" : "" } ], "container-title" : "Internation Journal of Remote Sensing", "id" : "ITEM-1", "issue" : "17", "issued" : { "date-parts" : [ [ "2001" ] ] }, "note" : "Lusitu, Southern Province, Zambia: land cover change &amp;quot;hot spot&amp;quot;\nfour questions of land cover change\nweather, population, remotely sensed\nland cover chnage slowed down in the more resent time period\nforest and savannah converted to settlement, agriculture, sandy soil.\nSome agriculture had reversible chnage due to fallow periods.\nUnchanged protected areas\nagriculture pushes into forest, settlement and sandy soil follow behind", "page" : "3435-3456", "title" : "Quantifying processes of land-cover change by remote sensing : Resettlement and rapid land- cover changes in south-eastern Zambia", "type" : "article-journal", "volume" : "22" }, "uris" : [ "http://www.mendeley.com/documents/?uuid=ed122154-fb99-4bd0-95fa-cfbcb4c6d492" ] } ], "mendeley" : { "formattedCitation" : "(Petit, Scudder, &amp; Lambin, 2001)", "plainTextFormattedCitation" : "(Petit, Scudder, &amp; Lambin, 2001)", "previouslyFormattedCitation" : "(Petit, Scudder, &amp; Lambin, 2001)" }, "properties" : { "noteIndex" : 0 }, "schema" : "https://github.com/citation-style-language/schema/raw/master/csl-citation.json" }</w:instrText>
      </w:r>
      <w:r>
        <w:rPr>
          <w:rFonts w:ascii="Times New Roman" w:hAnsi="Times New Roman" w:cs="Times New Roman"/>
          <w:sz w:val="24"/>
          <w:szCs w:val="24"/>
        </w:rPr>
        <w:fldChar w:fldCharType="separate"/>
      </w:r>
      <w:r w:rsidRPr="004A31E9">
        <w:rPr>
          <w:rFonts w:ascii="Times New Roman" w:hAnsi="Times New Roman" w:cs="Times New Roman"/>
          <w:noProof/>
          <w:sz w:val="24"/>
          <w:szCs w:val="24"/>
        </w:rPr>
        <w:t>(Petit, Scudder, &amp; Lambin, 2001)</w:t>
      </w:r>
      <w:r>
        <w:rPr>
          <w:rFonts w:ascii="Times New Roman" w:hAnsi="Times New Roman" w:cs="Times New Roman"/>
          <w:sz w:val="24"/>
          <w:szCs w:val="24"/>
        </w:rPr>
        <w:fldChar w:fldCharType="end"/>
      </w:r>
      <w:r>
        <w:rPr>
          <w:rFonts w:ascii="Times New Roman" w:hAnsi="Times New Roman" w:cs="Times New Roman"/>
          <w:sz w:val="24"/>
          <w:szCs w:val="24"/>
        </w:rPr>
        <w:t xml:space="preserve">. Most of the other studies I found in the literature from Africa and elsewhere found net growth of agriculture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"Gashaw", "given" : "Temesgen", "non-dropping-particle" : "", "parse-names" : false, "suffix" : "" }, { "dropping-particle" : "", "family" : "Bantider", "given" : "Amare", "non-dropping-particle" : "", "parse-names" : false, "suffix" : "" }, { "dropping-particle" : "", "family" : "Mahari", "given" : "Abraham", "non-dropping-particle" : "", "parse-names" : false, "suffix" : "" } ], "container-title" : "Global Journal of Biology, Agriculture &amp; Health Sciences", "id" : "ITEM-1", "issue" : "1", "issued" : { "date-parts" : [ [ "2014" ] ] }, "note" : "agriculture gains from forest\npopulation increase is important", "page" : "137-140", "title" : "Population dynamics and land use/land cover changes in Dera District, Ethiopia", "type" : "article-journal", "volume" : "3" }, "uris" : [ "http://www.mendeley.com/documents/?uuid=772a4872-962d-44a0-9100-dda71c768e85" ] }, { "id" : "ITEM-2", "itemData" : { "DOI" : "10.1007/s10661-015-4671-7", "author" : [ { "dropping-particle" : "", "family" : "Kindu", "given" : "Mengistie", "non-dropping-particle" : "", "parse-names" : false, "suffix" : "" }, { "dropping-particle" : "", "family" : "Schneider", "given" : "Thomas", "non-dropping-particle" : "", "parse-names" : false, "suffix" : "" }, { "dropping-particle" : "", "family" : "Tekatay", "given" : "Demel", "non-dropping-particle" : "", "parse-names" : false, "suffix" : "" }, { "dropping-particle" : "", "family" : "Knoke", "given" : "Thomas", "non-dropping-particle" : "", "parse-names" : false, "suffix" : "" } ], "container-title" : "Environmental Monitoring and Assessment", "id" : "ITEM-2", "issued" : { "date-parts" : [ [ "2015" ] ] }, "note" : "population growth, agricultural expansion, settlement expansion\ndistance to roads\npopulation\nmarket location\nslope\nagro-ecology zone\nrainfall variability\nmore LULC changes on steeper slopes and higher agro-ecological zones, indicating expansion onto marginal land", "page" : "452-469", "title" : "Drivers of land use/land cover changes in Munessa-Shashemene landscape of the south-central highlands of Ethiopia", "type" : "article-journal", "volume" : "187" }, "uris" : [ "http://www.mendeley.com/documents/?uuid=49cf7429-6f0b-40fa-8934-0c71be775792" ] }, { "id" : "ITEM-3", "itemData" : { "author" : [ { "dropping-particle" : "", "family" : "Ampofo", "given" : "S", "non-dropping-particle" : "", "parse-names" : false, "suffix" : "" }, { "dropping-particle" : "", "family" : "Sackey", "given" : "I", "non-dropping-particle" : "", "parse-names" : false, "suffix" : "" }, { "dropping-particle" : "", "family" : "Ampadu", "given" : "B", "non-dropping-particle" : "", "parse-names" : false, "suffix" : "" } ], "id" : "ITEM-3", "issue" : "4", "issued" : { "date-parts" : [ [ "2016" ] ] }, "note" : "use population (size and density) change as an explanatory factor, find high correlation", "page" : "412-429", "title" : "Ethiopian Journal of Environmental Studies &amp; Management", "type" : "article-journal", "volume" : "9" }, "uris" : [ "http://www.mendeley.com/documents/?uuid=0192bdf3-cc1f-420a-9926-9858ff7c99f7" ] }, { "id" : "ITEM-4", "itemData" : { "DOI" : "10.1017/S0014479710000840", "ISBN" : "0014479710", "author" : [ { "dropping-particle" : "", "family" : "Ali", "given" : "Hussein", "non-dropping-particle" : "", "parse-names" : false, "suffix" : "" }, { "dropping-particle" : "", "family" : "Descheemaeker", "given" : "Katrien", "non-dropping-particle" : "", "parse-names" : false, "suffix" : "" }, { "dropping-particle" : "", "family" : "Steenhuis", "given" : "Tammo S", "non-dropping-particle" : "", "parse-names" : false, "suffix" : "" }, { "dropping-particle" : "", "family" : "Pandey", "given" : "Suraj", "non-dropping-particle" : "", "parse-names" : false, "suffix" : "" } ], "container-title" : "Expl Agric.", "id" : "ITEM-4", "issue" : "1", "issued" : { "date-parts" : [ [ "2011" ] ] }, "note" : "little agricultural increase in sub-arid region, large agricultural increase in water-sufficient region, coming mostly from grazing/grass land and bare soil.\nIncludes socio-economic analysis\nsome evidence population growth and migration are affecting agricultural land change\ninorganic fertlizer use may be increasing agricultural land, laso irrigation projects", "page" : "71-83", "title" : "Comparison of Landuse and Landcover Changes, Drivers and Impacts for a Moisture-Sufficient and Drought-Prone Region in the Ethiopian Highlands", "type" : "article-journal", "volume" : "47" }, "uris" : [ "http://www.mendeley.com/documents/?uuid=449222c2-3ef9-4c04-9483-82489cbbc9e9" ] }, { "id" : "ITEM-5", "itemData" : { "DOI" : "10.3390/su11020505", "author" : [ { "dropping-particle" : "", "family" : "Msofe", "given" : "Nangware Kajia", "non-dropping-particle" : "", "parse-names" : false, "suffix" : "" }, { "dropping-particle" : "", "family" : "Sheng", "given" : "Lianxi", "non-dropping-particle" : "", "parse-names" : false, "suffix" : "" }, { "dropping-particle" : "", "family" : "Lyimo", "given" : "James", "non-dropping-particle" : "", "parse-names" : false, "suffix" : "" } ], "container-title" : "Sustainability", "id" : "ITEM-5", "issued" : { "date-parts" : [ [ "2019" ] ] }, "note" : "growth of agriculture, loss of wetland. Factors include population growth, improved infrastructure, soil characteristics, climate variation, terrrain\n\nAg gains from forest, bushland, wetland\nAg loss to grassland due to fallow", "page" : "505-32", "title" : "Land Use Change Trends and Their Driving Forces in the Kilombero Valley Floodplain , Southeastern Tanzania", "type" : "article-journal", "volume" : "11" }, "uris" : [ "http://www.mendeley.com/documents/?uuid=42bafb15-2f9c-46f4-8223-1fe2307f7f84" ] }, { "id" : "ITEM-6", "itemData" : { "DOI" : "10.1016/j.apgeog.2018.07.021", "author" : [ { "dropping-particle" : "", "family" : "Calzada", "given" : "Leonardo", "non-dropping-particle" : "", "parse-names" : false, "suffix" : "" }, { "dropping-particle" : "", "family" : "Meave", "given" : "Jorge A", "non-dropping-particle" : "", "parse-names" : false, "suffix" : "" }, { "dropping-particle" : "", "family" : "Bon", "given" : "Consuelo", "non-dropping-particle" : "", "parse-names" : false, "suffix" : "" }, { "dropping-particle" : "", "family" : "Figueroa", "given" : "Fernanda", "non-dropping-particle" : "", "parse-names" : false, "suffix" : "" } ], "container-title" : "Applied Geography", "id" : "ITEM-6", "issued" : { "date-parts" : [ [ "2018" ] ] }, "note" : "Agricultural expansion is most relevant LULCC.\nSocioeconomic and environmental drivers are important broadly speaking.\n\nIn the study area, agriculture gain was big as was human settlement\n\nHad intense gain of agriculture in certain time periods, more moderate gains in others\n\nSome crop being replaced by secondary vegetation, some by settlement", "page" : "22-30", "title" : "Lands at risk : Land use / land cover change in two contrasting tropical dry regions of Mexico", "type" : "article-journal", "volume" : "99" }, "uris" : [ "http://www.mendeley.com/documents/?uuid=33d8dacb-6e7b-4a84-8f09-78b74dc6f0f5" ] } ], "mendeley" : { "formattedCitation" : "(Ali, Descheemaeker, Steenhuis, &amp; Pandey, 2011; Ampofo, Sackey, &amp; Ampadu, 2016; Calzada, Meave, Bon, &amp; Figueroa, 2018; Gashaw, Bantider, &amp; Mahari, 2014; Kindu, Schneider, Tekatay, &amp; Knoke, 2015; Msofe, Sheng, &amp; Lyimo, 2019)", "plainTextFormattedCitation" : "(Ali, Descheemaeker, Steenhuis, &amp; Pandey, 2011; Ampofo, Sackey, &amp; Ampadu, 2016; Calzada, Meave, Bon, &amp; Figueroa, 2018; Gashaw, Bantider, &amp; Mahari, 2014; Kindu, Schneider, Tekatay, &amp; Knoke, 2015; Msofe, Sheng, &amp; Lyimo, 2019)", "previouslyFormattedCitation" : "(Ali, Descheemaeker, Steenhuis, &amp; Pandey, 2011; Ampofo, Sackey, &amp; Ampadu, 2016; Calzada, Meave, Bon, &amp; Figueroa, 2018; Gashaw, Bantider, &amp; Mahari, 2014; Kindu, Schneider, Tekatay, &amp; Knoke, 2015; Msofe, Sheng, &amp; Lyimo, 2019)" }, "properties" : { "noteIndex" : 0 }, "schema" : "https://github.com/citation-style-language/schema/raw/master/csl-citation.json" }</w:instrText>
      </w:r>
      <w:r>
        <w:rPr>
          <w:rFonts w:ascii="Times New Roman" w:hAnsi="Times New Roman" w:cs="Times New Roman"/>
          <w:sz w:val="24"/>
          <w:szCs w:val="24"/>
        </w:rPr>
        <w:fldChar w:fldCharType="separate"/>
      </w:r>
      <w:r w:rsidRPr="00755066">
        <w:rPr>
          <w:rFonts w:ascii="Times New Roman" w:hAnsi="Times New Roman" w:cs="Times New Roman"/>
          <w:noProof/>
          <w:sz w:val="24"/>
          <w:szCs w:val="24"/>
        </w:rPr>
        <w:t>(Ali, Descheemaeker, Steenhuis, &amp; Pandey, 2011; Ampofo, Sackey, &amp; Ampadu, 2016; Calzada, Meave, Bon, &amp; Figueroa, 2018; Gashaw, Bantider, &amp; Mahari, 2014; Kindu, Schneider, Tekatay, &amp; Knoke, 2015; Msofe, Sheng, &amp; Lyimo, 2019)</w:t>
      </w:r>
      <w:r>
        <w:rPr>
          <w:rFonts w:ascii="Times New Roman" w:hAnsi="Times New Roman" w:cs="Times New Roman"/>
          <w:sz w:val="24"/>
          <w:szCs w:val="24"/>
        </w:rPr>
        <w:fldChar w:fldCharType="end"/>
      </w:r>
      <w:r>
        <w:rPr>
          <w:rFonts w:ascii="Times New Roman" w:hAnsi="Times New Roman" w:cs="Times New Roman"/>
          <w:sz w:val="24"/>
          <w:szCs w:val="24"/>
        </w:rPr>
        <w:t xml:space="preserve">. This growth in agriculture was most often found to come from forest, savannah/grassland, or bare lands. Some of these studies mentioned </w:t>
      </w:r>
      <w:r>
        <w:rPr>
          <w:rFonts w:ascii="Times New Roman" w:hAnsi="Times New Roman" w:cs="Times New Roman"/>
          <w:sz w:val="24"/>
          <w:szCs w:val="24"/>
        </w:rPr>
        <w:lastRenderedPageBreak/>
        <w:t xml:space="preserve">some loss of agriculture to settlement or grassland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"10.3390/su11020505", "author" : [ { "dropping-particle" : "", "family" : "Msofe", "given" : "Nangware Kajia", "non-dropping-particle" : "", "parse-names" : false, "suffix" : "" }, { "dropping-particle" : "", "family" : "Sheng", "given" : "Lianxi", "non-dropping-particle" : "", "parse-names" : false, "suffix" : "" }, { "dropping-particle" : "", "family" : "Lyimo", "given" : "James", "non-dropping-particle" : "", "parse-names" : false, "suffix" : "" } ], "container-title" : "Sustainability", "id" : "ITEM-1", "issued" : { "date-parts" : [ [ "2019" ] ] }, "note" : "growth of agriculture, loss of wetland. Factors include population growth, improved infrastructure, soil characteristics, climate variation, terrrain\n\nAg gains from forest, bushland, wetland\nAg loss to grassland due to fallow", "page" : "505-32", "title" : "Land Use Change Trends and Their Driving Forces in the Kilombero Valley Floodplain , Southeastern Tanzania", "type" : "article-journal", "volume" : "11" }, "uris" : [ "http://www.mendeley.com/documents/?uuid=42bafb15-2f9c-46f4-8223-1fe2307f7f84" ] }, { "id" : "ITEM-2", "itemData" : { "DOI" : "10.1016/j.apgeog.2018.07.021", "author" : [ { "dropping-particle" : "", "family" : "Calzada", "given" : "Leonardo", "non-dropping-particle" : "", "parse-names" : false, "suffix" : "" }, { "dropping-particle" : "", "family" : "Meave", "given" : "Jorge A", "non-dropping-particle" : "", "parse-names" : false, "suffix" : "" }, { "dropping-particle" : "", "family" : "Bon", "given" : "Consuelo", "non-dropping-particle" : "", "parse-names" : false, "suffix" : "" }, { "dropping-particle" : "", "family" : "Figueroa", "given" : "Fernanda", "non-dropping-particle" : "", "parse-names" : false, "suffix" : "" } ], "container-title" : "Applied Geography", "id" : "ITEM-2", "issued" : { "date-parts" : [ [ "2018" ] ] }, "note" : "Agricultural expansion is most relevant LULCC.\nSocioeconomic and environmental drivers are important broadly speaking.\n\nIn the study area, agriculture gain was big as was human settlement\n\nHad intense gain of agriculture in certain time periods, more moderate gains in others\n\nSome crop being replaced by secondary vegetation, some by settlement", "page" : "22-30", "title" : "Lands at risk : Land use / land cover change in two contrasting tropical dry regions of Mexico", "type" : "article-journal", "volume" : "99" }, "uris" : [ "http://www.mendeley.com/documents/?uuid=33d8dacb-6e7b-4a84-8f09-78b74dc6f0f5" ] }, { "id" : "ITEM-3", "itemData" : { "DOI" : "10.1007/s10661-015-4671-7", "author" : [ { "dropping-particle" : "", "family" : "Kindu", "given" : "Mengistie", "non-dropping-particle" : "", "parse-names" : false, "suffix" : "" }, { "dropping-particle" : "", "family" : "Schneider", "given" : "Thomas", "non-dropping-particle" : "", "parse-names" : false, "suffix" : "" }, { "dropping-particle" : "", "family" : "Tekatay", "given" : "Demel", "non-dropping-particle" : "", "parse-names" : false, "suffix" : "" }, { "dropping-particle" : "", "family" : "Knoke", "given" : "Thomas", "non-dropping-particle" : "", "parse-names" : false, "suffix" : "" } ], "container-title" : "Environmental Monitoring and Assessment", "id" : "ITEM-3", "issued" : { "date-parts" : [ [ "2015" ] ] }, "note" : "population growth, agricultural expansion, settlement expansion\ndistance to roads\npopulation\nmarket location\nslope\nagro-ecology zone\nrainfall variability\nmore LULC changes on steeper slopes and higher agro-ecological zones, indicating expansion onto marginal land", "page" : "452-469", "title" : "Drivers of land use/land cover changes in Munessa-Shashemene landscape of the south-central highlands of Ethiopia", "type" : "article-journal", "volume" : "187" }, "uris" : [ "http://www.mendeley.com/documents/?uuid=49cf7429-6f0b-40fa-8934-0c71be775792" ] } ], "mendeley" : { "formattedCitation" : "(Calzada et al., 2018; Kindu et al., 2015; Msofe et al., 2019)", "plainTextFormattedCitation" : "(Calzada et al., 2018; Kindu et al., 2015; Msofe et al., 2019)", "previouslyFormattedCitation" : "(Calzada et al., 2018; Kindu et al., 2015; Msofe et al., 2019)" }, "properties" : { "noteIndex" : 0 }, "schema" : "https://github.com/citation-style-language/schema/raw/master/csl-citation.json" }</w:instrText>
      </w:r>
      <w:r>
        <w:rPr>
          <w:rFonts w:ascii="Times New Roman" w:hAnsi="Times New Roman" w:cs="Times New Roman"/>
          <w:sz w:val="24"/>
          <w:szCs w:val="24"/>
        </w:rPr>
        <w:fldChar w:fldCharType="separate"/>
      </w:r>
      <w:r w:rsidRPr="00755066">
        <w:rPr>
          <w:rFonts w:ascii="Times New Roman" w:hAnsi="Times New Roman" w:cs="Times New Roman"/>
          <w:noProof/>
          <w:sz w:val="24"/>
          <w:szCs w:val="24"/>
        </w:rPr>
        <w:t>(Calzada et al., 2018; Kindu et al., 2015; Msofe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There were also some studies which mentioned that expansion of agriculture is happening on increasingly marginal land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"Stehfest", "given" : "Elke", "non-dropping-particle" : "", "parse-names" : false, "suffix" : "" }, { "dropping-particle" : "", "family" : "Doelman", "given" : "Jonathan", "non-dropping-particle" : "", "parse-names" : false, "suffix" : "" }, { "dropping-particle" : "", "family" : "Mandryk", "given" : "Maryia", "non-dropping-particle" : "", "parse-names" : false, "suffix" : "" } ], "collection-title" : "FOODSECURE", "id" : "ITEM-1", "issued" : { "date-parts" : [ [ "2015" ] ] }, "note" : "in many places most of the good agricultural land is already in use or used up\n\nhard to define suitable agricultural land, many environmental and socio-economic factors\n\nexclude areas with slopes under 45 degrees\n\ncropland estimates based on raster cells often overestimate because they do not account for infrastructure etc at subpixe level\n\npopulation density and accessibility important factors", "number" : "7", "number-of-pages" : "1-22", "title" : "Assessment of global land availability: land supply for agriculture", "type" : "report" }, "uris" : [ "http://www.mendeley.com/documents/?uuid=4a48ed64-a92c-44dd-b649-129fd37f9f95" ] }, { "id" : "ITEM-2", "itemData" : { "DOI" : "10.1007/s10661-015-4671-7", "author" : [ { "dropping-particle" : "", "family" : "Kindu", "given" : "Mengistie", "non-dropping-particle" : "", "parse-names" : false, "suffix" : "" }, { "dropping-particle" : "", "family" : "Schneider", "given" : "Thomas", "non-dropping-particle" : "", "parse-names" : false, "suffix" : "" }, { "dropping-particle" : "", "family" : "Tekatay", "given" : "Demel", "non-dropping-particle" : "", "parse-names" : false, "suffix" : "" }, { "dropping-particle" : "", "family" : "Knoke", "given" : "Thomas", "non-dropping-particle" : "", "parse-names" : false, "suffix" : "" } ], "container-title" : "Environmental Monitoring and Assessment", "id" : "ITEM-2", "issued" : { "date-parts" : [ [ "2015" ] ] }, "note" : "population growth, agricultural expansion, settlement expansion\ndistance to roads\npopulation\nmarket location\nslope\nagro-ecology zone\nrainfall variability\nmore LULC changes on steeper slopes and higher agro-ecological zones, indicating expansion onto marginal land", "page" : "452-469", "title" : "Drivers of land use/land cover changes in Munessa-Shashemene landscape of the south-central highlands of Ethiopia", "type" : "article-journal", "volume" : "187" }, "uris" : [ "http://www.mendeley.com/documents/?uuid=49cf7429-6f0b-40fa-8934-0c71be775792" ] } ], "mendeley" : { "formattedCitation" : "(Kindu et al., 2015; Stehfest, Doelman, &amp; Mandryk, 2015)", "plainTextFormattedCitation" : "(Kindu et al., 2015; Stehfest, Doelman, &amp; Mandryk, 2015)", "previouslyFormattedCitation" : "(Kindu et al., 2015; Stehfest, Doelman, &amp; Mandryk, 2015)" }, "properties" : { "noteIndex" : 0 }, "schema" : "https://github.com/citation-style-language/schema/raw/master/csl-citation.json" }</w:instrText>
      </w:r>
      <w:r>
        <w:rPr>
          <w:rFonts w:ascii="Times New Roman" w:hAnsi="Times New Roman" w:cs="Times New Roman"/>
          <w:sz w:val="24"/>
          <w:szCs w:val="24"/>
        </w:rPr>
        <w:fldChar w:fldCharType="separate"/>
      </w:r>
      <w:r w:rsidRPr="00D91DBA">
        <w:rPr>
          <w:rFonts w:ascii="Times New Roman" w:hAnsi="Times New Roman" w:cs="Times New Roman"/>
          <w:noProof/>
          <w:sz w:val="24"/>
          <w:szCs w:val="24"/>
        </w:rPr>
        <w:t>(Kindu et al., 2015; Stehfest, Doelman, &amp; Mandryk, 2015)</w:t>
      </w:r>
      <w:r>
        <w:rPr>
          <w:rFonts w:ascii="Times New Roman" w:hAnsi="Times New Roman" w:cs="Times New Roman"/>
          <w:sz w:val="24"/>
          <w:szCs w:val="24"/>
        </w:rPr>
        <w:fldChar w:fldCharType="end"/>
      </w:r>
      <w:r>
        <w:rPr>
          <w:rFonts w:ascii="Times New Roman" w:hAnsi="Times New Roman" w:cs="Times New Roman"/>
          <w:sz w:val="24"/>
          <w:szCs w:val="24"/>
        </w:rPr>
        <w:t xml:space="preserve">. I have found two studies </w:t>
      </w:r>
      <w:r w:rsidR="001F41DE">
        <w:rPr>
          <w:rFonts w:ascii="Times New Roman" w:hAnsi="Times New Roman" w:cs="Times New Roman"/>
          <w:sz w:val="24"/>
          <w:szCs w:val="24"/>
        </w:rPr>
        <w:t xml:space="preserve">that </w:t>
      </w:r>
      <w:r>
        <w:rPr>
          <w:rFonts w:ascii="Times New Roman" w:hAnsi="Times New Roman" w:cs="Times New Roman"/>
          <w:sz w:val="24"/>
          <w:szCs w:val="24"/>
        </w:rPr>
        <w:t>found a net decrease in agriculture. One found that population change and poverty were influencing agricultura</w:t>
      </w:r>
      <w:r w:rsidR="00923CB1">
        <w:rPr>
          <w:rFonts w:ascii="Times New Roman" w:hAnsi="Times New Roman" w:cs="Times New Roman"/>
          <w:sz w:val="24"/>
          <w:szCs w:val="24"/>
        </w:rPr>
        <w:t>l LULC change in Central Malaw</w:t>
      </w:r>
      <w:r>
        <w:rPr>
          <w:rFonts w:ascii="Times New Roman" w:hAnsi="Times New Roman" w:cs="Times New Roman"/>
          <w:sz w:val="24"/>
          <w:szCs w:val="24"/>
        </w:rPr>
        <w:t xml:space="preserve">i from 1991-2015.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"10.3390/su11030832", "author" : [ { "dropping-particle" : "", "family" : "Munthali", "given" : "Maggie G", "non-dropping-particle" : "", "parse-names" : false, "suffix" : "" }, { "dropping-particle" : "", "family" : "Davis", "given" : "Nerhene", "non-dropping-particle" : "", "parse-names" : false, "suffix" : "" }, { "dropping-particle" : "", "family" : "Adeola", "given" : "Abiodun M", "non-dropping-particle" : "", "parse-names" : false, "suffix" : "" }, { "dropping-particle" : "", "family" : "Botai", "given" : "Joel O", "non-dropping-particle" : "", "parse-names" : false, "suffix" : "" }, { "dropping-particle" : "", "family" : "Kamwi", "given" : "Jonathan M", "non-dropping-particle" : "", "parse-names" : false, "suffix" : "" }, { "dropping-particle" : "", "family" : "Chisale", "given" : "Harold L W", "non-dropping-particle" : "", "parse-names" : false, "suffix" : "" }, { "dropping-particle" : "", "family" : "Orimoogunje", "given" : "Oluwagbenga O I", "non-dropping-particle" : "", "parse-names" : false, "suffix" : "" } ], "container-title" : "Sustainability", "id" : "ITEM-1", "issued" : { "date-parts" : [ [ "2019" ] ] }, "note" : "barren and built gain from forest and ag\npop growth and poverty\n\nfirewood, charcoal, timber, key to deforestation\n\nbuilt gained form ag", "page" : "832-857", "title" : "Local Perception of Drivers of Land-Use and Land-Cover Change Dynamics across Dedza District , Central Malawi Region", "type" : "article-journal", "volume" : "11" }, "uris" : [ "http://www.mendeley.com/documents/?uuid=0e110250-34dc-46d7-b520-481c281cdf15" ] } ], "mendeley" : { "formattedCitation" : "(Munthali et al., 2019)", "plainTextFormattedCitation" : "(Munthali et al., 2019)", "previouslyFormattedCitation" : "(Munthali et al., 2019)" }, "properties" : { "noteIndex" : 0 }, "schema" : "https://github.com/citation-style-language/schema/raw/master/csl-citation.json" }</w:instrText>
      </w:r>
      <w:r>
        <w:rPr>
          <w:rFonts w:ascii="Times New Roman" w:hAnsi="Times New Roman" w:cs="Times New Roman"/>
          <w:sz w:val="24"/>
          <w:szCs w:val="24"/>
        </w:rPr>
        <w:fldChar w:fldCharType="separate"/>
      </w:r>
      <w:r w:rsidRPr="00D91DBA">
        <w:rPr>
          <w:rFonts w:ascii="Times New Roman" w:hAnsi="Times New Roman" w:cs="Times New Roman"/>
          <w:noProof/>
          <w:sz w:val="24"/>
          <w:szCs w:val="24"/>
        </w:rPr>
        <w:t>(Munthali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The other study hypothesized that intensification of agriculture and fewer farmers were the causes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"Kamwi", "given" : "Jonathan M", "non-dropping-particle" : "", "parse-names" : false, "suffix" : "" }, { "dropping-particle" : "", "family" : "Chirwa", "given" : "Paxie W. C.", "non-dropping-particle" : "", "parse-names" : false, "suffix" : "" }, { "dropping-particle" : "", "family" : "Manda", "given" : "Samuel O M", "non-dropping-particle" : "", "parse-names" : false, "suffix" : "" }, { "dropping-particle" : "", "family" : "Graz", "given" : "Patric F", "non-dropping-particle" : "", "parse-names" : false, "suffix" : "" }, { "dropping-particle" : "", "family" : "Katsch", "given" : "Christoph", "non-dropping-particle" : "", "parse-names" : false, "suffix" : "" } ], "container-title" : "Population and Environment", "id" : "ITEM-1", "issue" : "2", "issued" : { "date-parts" : [ [ "2015" ] ] }, "note" : "people claimed agricultural expansion and population increase\n\ncrop/grass decreased, possibly due to intensification and fewer people in ag", "page" : "203-230", "title" : "Livelihoods, land use and land cover change in the Zambezi Region, Namibia", "type" : "article-journal", "volume" : "37" }, "uris" : [ "http://www.mendeley.com/documents/?uuid=1200064f-d6fc-4153-a540-782878213010" ] } ], "mendeley" : { "formattedCitation" : "(Kamwi, Chirwa, Manda, Graz, &amp; Katsch, 2015)", "plainTextFormattedCitation" : "(Kamwi, Chirwa, Manda, Graz, &amp; Katsch, 2015)", "previouslyFormattedCitation" : "(Kamwi, Chirwa, Manda, Graz, &amp; Katsch, 2015)" }, "properties" : { "noteIndex" : 0 }, "schema" : "https://github.com/citation-style-language/schema/raw/master/csl-citation.json" }</w:instrText>
      </w:r>
      <w:r>
        <w:rPr>
          <w:rFonts w:ascii="Times New Roman" w:hAnsi="Times New Roman" w:cs="Times New Roman"/>
          <w:sz w:val="24"/>
          <w:szCs w:val="24"/>
        </w:rPr>
        <w:fldChar w:fldCharType="separate"/>
      </w:r>
      <w:r w:rsidRPr="00D91DBA">
        <w:rPr>
          <w:rFonts w:ascii="Times New Roman" w:hAnsi="Times New Roman" w:cs="Times New Roman"/>
          <w:noProof/>
          <w:sz w:val="24"/>
          <w:szCs w:val="24"/>
        </w:rPr>
        <w:t>(Kamwi, Chirwa, Manda, Graz, &amp; Katsch,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8A3568F" w14:textId="396DCF4E"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There are numerous LULC driver/predictor variables found in the literature. One of the most common seems to be population or population density change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"Gashaw", "given" : "Temesgen", "non-dropping-particle" : "", "parse-names" : false, "suffix" : "" }, { "dropping-particle" : "", "family" : "Bantider", "given" : "Amare", "non-dropping-particle" : "", "parse-names" : false, "suffix" : "" }, { "dropping-particle" : "", "family" : "Mahari", "given" : "Abraham", "non-dropping-particle" : "", "parse-names" : false, "suffix" : "" } ], "container-title" : "Global Journal of Biology, Agriculture &amp; Health Sciences", "id" : "ITEM-1", "issue" : "1", "issued" : { "date-parts" : [ [ "2014" ] ] }, "note" : "agriculture gains from forest\npopulation increase is important", "page" : "137-140", "title" : "Population dynamics and land use/land cover changes in Dera District, Ethiopia", "type" : "article-journal", "volume" : "3" }, "uris" : [ "http://www.mendeley.com/documents/?uuid=772a4872-962d-44a0-9100-dda71c768e85" ] }, { "id" : "ITEM-2", "itemData" : { "DOI" : "10.1007/s10661-015-4671-7", "author" : [ { "dropping-particle" : "", "family" : "Kindu", "given" : "Mengistie", "non-dropping-particle" : "", "parse-names" : false, "suffix" : "" }, { "dropping-particle" : "", "family" : "Schneider", "given" : "Thomas", "non-dropping-particle" : "", "parse-names" : false, "suffix" : "" }, { "dropping-particle" : "", "family" : "Tekatay", "given" : "Demel", "non-dropping-particle" : "", "parse-names" : false, "suffix" : "" }, { "dropping-particle" : "", "family" : "Knoke", "given" : "Thomas", "non-dropping-particle" : "", "parse-names" : false, "suffix" : "" } ], "container-title" : "Environmental Monitoring and Assessment", "id" : "ITEM-2", "issued" : { "date-parts" : [ [ "2015" ] ] }, "note" : "population growth, agricultural expansion, settlement expansion\ndistance to roads\npopulation\nmarket location\nslope\nagro-ecology zone\nrainfall variability\nmore LULC changes on steeper slopes and higher agro-ecological zones, indicating expansion onto marginal land", "page" : "452-469", "title" : "Drivers of land use/land cover changes in Munessa-Shashemene landscape of the south-central highlands of Ethiopia", "type" : "article-journal", "volume" : "187" }, "uris" : [ "http://www.mendeley.com/documents/?uuid=49cf7429-6f0b-40fa-8934-0c71be775792" ] }, { "id" : "ITEM-3", "itemData" : { "author" : [ { "dropping-particle" : "", "family" : "Ampofo", "given" : "S", "non-dropping-particle" : "", "parse-names" : false, "suffix" : "" }, { "dropping-particle" : "", "family" : "Sackey", "given" : "I", "non-dropping-particle" : "", "parse-names" : false, "suffix" : "" }, { "dropping-particle" : "", "family" : "Ampadu", "given" : "B", "non-dropping-particle" : "", "parse-names" : false, "suffix" : "" } ], "id" : "ITEM-3", "issue" : "4", "issued" : { "date-parts" : [ [ "2016" ] ] }, "note" : "use population (size and density) change as an explanatory factor, find high correlation", "page" : "412-429", "title" : "Ethiopian Journal of Environmental Studies &amp; Management", "type" : "article-journal", "volume" : "9" }, "uris" : [ "http://www.mendeley.com/documents/?uuid=0192bdf3-cc1f-420a-9926-9858ff7c99f7" ] }, { "id" : "ITEM-4", "itemData" : { "DOI" : "10.1017/S0014479710000840", "ISBN" : "0014479710", "author" : [ { "dropping-particle" : "", "family" : "Ali", "given" : "Hussein", "non-dropping-particle" : "", "parse-names" : false, "suffix" : "" }, { "dropping-particle" : "", "family" : "Descheemaeker", "given" : "Katrien", "non-dropping-particle" : "", "parse-names" : false, "suffix" : "" }, { "dropping-particle" : "", "family" : "Steenhuis", "given" : "Tammo S", "non-dropping-particle" : "", "parse-names" : false, "suffix" : "" }, { "dropping-particle" : "", "family" : "Pandey", "given" : "Suraj", "non-dropping-particle" : "", "parse-names" : false, "suffix" : "" } ], "container-title" : "Expl Agric.", "id" : "ITEM-4", "issue" : "1", "issued" : { "date-parts" : [ [ "2011" ] ] }, "note" : "little agricultural increase in sub-arid region, large agricultural increase in water-sufficient region, coming mostly from grazing/grass land and bare soil.\nIncludes socio-economic analysis\nsome evidence population growth and migration are affecting agricultural land change\ninorganic fertlizer use may be increasing agricultural land, laso irrigation projects", "page" : "71-83", "title" : "Comparison of Landuse and Landcover Changes, Drivers and Impacts for a Moisture-Sufficient and Drought-Prone Region in the Ethiopian Highlands", "type" : "article-journal", "volume" : "47" }, "uris" : [ "http://www.mendeley.com/documents/?uuid=449222c2-3ef9-4c04-9483-82489cbbc9e9" ] }, { "id" : "ITEM-5", "itemData" : { "ISBN" : "1111111111", "author" : [ { "dropping-particle" : "", "family" : "Id", "given" : "Jane Southworth", "non-dropping-particle" : "", "parse-names" : false, "suffix" : "" }, { "dropping-particle" : "", "family" : "Bunting", "given" : "Erin", "non-dropping-particle" : "", "parse-names" : false, "suffix" : "" }, { "dropping-particle" : "", "family" : "Zhu", "given" : "Likai", "non-dropping-particle" : "", "parse-names" : false, "suffix" : "" }, { "dropping-particle" : "", "family" : "Ryan", "given" : "Sadie J", "non-dropping-particle" : "", "parse-names" : false, "suffix" : "" }, { "dropping-particle" : "", "family" : "Id", "given" : "Hannah V Herrero", "non-dropping-particle" : "", "parse-names" : false, "suffix" : "" }, { "dropping-particle" : "", "family" : "Id", "given" : "David Kaplan", "non-dropping-particle" : "", "parse-names" : false, "suffix" : "" }, { "dropping-particle" : "", "family" : "Waylen", "given" : "Peter", "non-dropping-particle" : "", "parse-names" : false, "suffix" : "" }, { "dropping-particle" : "", "family" : "Mu", "given" : "Rafael", "non-dropping-particle" : "", "parse-names" : false, "suffix" : "" }, { "dropping-particle" : "", "family" : "Campo-besco", "given" : "Miguel A", "non-dropping-particle" : "", "parse-names" : false, "suffix" : "" } ], "container-title" : "PLoS ONE", "id" : "ITEM-5", "issue" : "12", "issued" : { "date-parts" : [ [ "2018" ] ] }, "note" : "landscape change driven by soil moisture and other environmental variables\n\nelevation, land cover, pop, country, protection status, distance from were also important.\n\nnot specifically about agriculture", "page" : "1-19", "title" : "Using a coupled dynamic factor \u2013 random forest analysis ( DFRFA ) to reveal drivers of spatiotemporal heterogeneity in the semi-arid regions of southern Africa", "type" : "article-journal", "volume" : "13" }, "uris" : [ "http://www.mendeley.com/documents/?uuid=18975884-6887-47f9-9982-dc218a5348a9" ] }, { "id" : "ITEM-6", "itemData" : { "DOI" : "10.3390/su11020505", "author" : [ { "dropping-particle" : "", "family" : "Msofe", "given" : "Nangware Kajia", "non-dropping-particle" : "", "parse-names" : false, "suffix" : "" }, { "dropping-particle" : "", "family" : "Sheng", "given" : "Lianxi", "non-dropping-particle" : "", "parse-names" : false, "suffix" : "" }, { "dropping-particle" : "", "family" : "Lyimo", "given" : "James", "non-dropping-particle" : "", "parse-names" : false, "suffix" : "" } ], "container-title" : "Sustainability", "id" : "ITEM-6", "issued" : { "date-parts" : [ [ "2019" ] ] }, "note" : "growth of agriculture, loss of wetland. Factors include population growth, improved infrastructure, soil characteristics, climate variation, terrrain\n\nAg gains from forest, bushland, wetland\nAg loss to grassland due to fallow", "page" : "505-32", "title" : "Land Use Change Trends and Their Driving Forces in the Kilombero Valley Floodplain , Southeastern Tanzania", "type" : "article-journal", "volume" : "11" }, "uris" : [ "http://www.mendeley.com/documents/?uuid=42bafb15-2f9c-46f4-8223-1fe2307f7f84" ] }, { "id" : "ITEM-7", "itemData" : { "DOI" : "10.3390/su11030832", "author" : [ { "dropping-particle" : "", "family" : "Munthali", "given" : "Maggie G", "non-dropping-particle" : "", "parse-names" : false, "suffix" : "" }, { "dropping-particle" : "", "family" : "Davis", "given" : "Nerhene", "non-dropping-particle" : "", "parse-names" : false, "suffix" : "" }, { "dropping-particle" : "", "family" : "Adeola", "given" : "Abiodun M", "non-dropping-particle" : "", "parse-names" : false, "suffix" : "" }, { "dropping-particle" : "", "family" : "Botai", "given" : "Joel O", "non-dropping-particle" : "", "parse-names" : false, "suffix" : "" }, { "dropping-particle" : "", "family" : "Kamwi", "given" : "Jonathan M", "non-dropping-particle" : "", "parse-names" : false, "suffix" : "" }, { "dropping-particle" : "", "family" : "Chisale", "given" : "Harold L W", "non-dropping-particle" : "", "parse-names" : false, "suffix" : "" }, { "dropping-particle" : "", "family" : "Orimoogunje", "given" : "Oluwagbenga O I", "non-dropping-particle" : "", "parse-names" : false, "suffix" : "" } ], "container-title" : "Sustainability", "id" : "ITEM-7", "issued" : { "date-parts" : [ [ "2019" ] ] }, "note" : "barren and built gain from forest and ag\npop growth and poverty\n\nfirewood, charcoal, timber, key to deforestation\n\nbuilt gained form ag", "page" : "832-857", "title" : "Local Perception of Drivers of Land-Use and Land-Cover Change Dynamics across Dedza District , Central Malawi Region", "type" : "article-journal", "volume" : "11" }, "uris" : [ "http://www.mendeley.com/documents/?uuid=0e110250-34dc-46d7-b520-481c281cdf15" ] } ], "mendeley" : { "formattedCitation" : "(Ali et al., 2011; Ampofo et al., 2016; Gashaw et al., 2014; Id et al., 2018; Kindu et al., 2015; Msofe et al., 2019; Munthali et al., 2019)", "plainTextFormattedCitation" : "(Ali et al., 2011; Ampofo et al., 2016; Gashaw et al., 2014; Id et al., 2018; Kindu et al., 2015; Msofe et al., 2019; Munthali et al., 2019)", "previouslyFormattedCitation" : "(Ali et al., 2011; Ampofo et al., 2016; Gashaw et al., 2014; Id et al., 2018; Kindu et al., 2015; Msofe et al., 2019; Munthali et al., 2019)" }, "properties" : { "noteIndex" : 0 }, "schema" : "https://github.com/citation-style-language/schema/raw/master/csl-citation.json" }</w:instrText>
      </w:r>
      <w:r>
        <w:rPr>
          <w:rFonts w:ascii="Times New Roman" w:hAnsi="Times New Roman" w:cs="Times New Roman"/>
          <w:sz w:val="24"/>
          <w:szCs w:val="24"/>
        </w:rPr>
        <w:fldChar w:fldCharType="separate"/>
      </w:r>
      <w:r w:rsidRPr="005D06C6">
        <w:rPr>
          <w:rFonts w:ascii="Times New Roman" w:hAnsi="Times New Roman" w:cs="Times New Roman"/>
          <w:noProof/>
          <w:sz w:val="24"/>
          <w:szCs w:val="24"/>
        </w:rPr>
        <w:t>(Ali et al., 2011; Ampofo et al., 2016; Gashaw et al., 2014; Id et al., 2018; Kindu et al., 2015; Msofe et al., 2019; Munthali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Another group of commonly cited variables are accessibility. These include distance to existing agriculture, distance to roads, distance to settlements, and a variable called accessibility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"ISBN" : "1111111111", "author" : [ { "dropping-particle" : "", "family" : "Id", "given" : "Jane Southworth", "non-dropping-particle" : "", "parse-names" : false, "suffix" : "" }, { "dropping-particle" : "", "family" : "Bunting", "given" : "Erin", "non-dropping-particle" : "", "parse-names" : false, "suffix" : "" }, { "dropping-particle" : "", "family" : "Zhu", "given" : "Likai", "non-dropping-particle" : "", "parse-names" : false, "suffix" : "" }, { "dropping-particle" : "", "family" : "Ryan", "given" : "Sadie J", "non-dropping-particle" : "", "parse-names" : false, "suffix" : "" }, { "dropping-particle" : "", "family" : "Id", "given" : "Hannah V Herrero", "non-dropping-particle" : "", "parse-names" : false, "suffix" : "" }, { "dropping-particle" : "", "family" : "Id", "given" : "David Kaplan", "non-dropping-particle" : "", "parse-names" : false, "suffix" : "" }, { "dropping-particle" : "", "family" : "Waylen", "given" : "Peter", "non-dropping-particle" : "", "parse-names" : false, "suffix" : "" }, { "dropping-particle" : "", "family" : "Mu", "given" : "Rafael", "non-dropping-particle" : "", "parse-names" : false, "suffix" : "" }, { "dropping-particle" : "", "family" : "Campo-besco", "given" : "Miguel A", "non-dropping-particle" : "", "parse-names" : false, "suffix" : "" } ], "container-title" : "PLoS ONE", "id" : "ITEM-1", "issue" : "12", "issued" : { "date-parts" : [ [ "2018" ] ] }, "note" : "landscape change driven by soil moisture and other environmental variables\n\nelevation, land cover, pop, country, protection status, distance from were also important.\n\nnot specifically about agriculture", "page" : "1-19", "title" : "Using a coupled dynamic factor \u2013 random forest analysis ( DFRFA ) to reveal drivers of spatiotemporal heterogeneity in the semi-arid regions of southern Africa", "type" : "article-journal", "volume" : "13" }, "uris" : [ "http://www.mendeley.com/documents/?uuid=18975884-6887-47f9-9982-dc218a5348a9" ] }, { "id" : "ITEM-2", "itemData" : { "author" : [ { "dropping-particle" : "", "family" : "Stehfest", "given" : "Elke", "non-dropping-particle" : "", "parse-names" : false, "suffix" : "" }, { "dropping-particle" : "", "family" : "Doelman", "given" : "Jonathan", "non-dropping-particle" : "", "parse-names" : false, "suffix" : "" }, { "dropping-particle" : "", "family" : "Mandryk", "given" : "Maryia", "non-dropping-particle" : "", "parse-names" : false, "suffix" : "" } ], "collection-title" : "FOODSECURE", "id" : "ITEM-2", "issued" : { "date-parts" : [ [ "2015" ] ] }, "note" : "in many places most of the good agricultural land is already in use or used up\n\nhard to define suitable agricultural land, many environmental and socio-economic factors\n\nexclude areas with slopes under 45 degrees\n\ncropland estimates based on raster cells often overestimate because they do not account for infrastructure etc at subpixe level\n\npopulation density and accessibility important factors", "number" : "7", "number-of-pages" : "1-22", "title" : "Assessment of global land availability: land supply for agriculture", "type" : "report" }, "uris" : [ "http://www.mendeley.com/documents/?uuid=4a48ed64-a92c-44dd-b649-129fd37f9f95" ] }, { "id" : "ITEM-3", "itemData" : { "DOI" : "10.1007/s10661-015-4671-7", "author" : [ { "dropping-particle" : "", "family" : "Kindu", "given" : "Mengistie", "non-dropping-particle" : "", "parse-names" : false, "suffix" : "" }, { "dropping-particle" : "", "family" : "Schneider", "given" : "Thomas", "non-dropping-particle" : "", "parse-names" : false, "suffix" : "" }, { "dropping-particle" : "", "family" : "Tekatay", "given" : "Demel", "non-dropping-particle" : "", "parse-names" : false, "suffix" : "" }, { "dropping-particle" : "", "family" : "Knoke", "given" : "Thomas", "non-dropping-particle" : "", "parse-names" : false, "suffix" : "" } ], "container-title" : "Environmental Monitoring and Assessment", "id" : "ITEM-3", "issued" : { "date-parts" : [ [ "2015" ] ] }, "note" : "population growth, agricultural expansion, settlement expansion\ndistance to roads\npopulation\nmarket location\nslope\nagro-ecology zone\nrainfall variability\nmore LULC changes on steeper slopes and higher agro-ecological zones, indicating expansion onto marginal land", "page" : "452-469", "title" : "Drivers of land use/land cover changes in Munessa-Shashemene landscape of the south-central highlands of Ethiopia", "type" : "article-journal", "volume" : "187" }, "uris" : [ "http://www.mendeley.com/documents/?uuid=49cf7429-6f0b-40fa-8934-0c71be775792" ] }, { "id" : "ITEM-4", "itemData" : { "DOI" : "10.3390/su11020505", "author" : [ { "dropping-particle" : "", "family" : "Msofe", "given" : "Nangware Kajia", "non-dropping-particle" : "", "parse-names" : false, "suffix" : "" }, { "dropping-particle" : "", "family" : "Sheng", "given" : "Lianxi", "non-dropping-particle" : "", "parse-names" : false, "suffix" : "" }, { "dropping-particle" : "", "family" : "Lyimo", "given" : "James", "non-dropping-particle" : "", "parse-names" : false, "suffix" : "" } ], "container-title" : "Sustainability", "id" : "ITEM-4", "issued" : { "date-parts" : [ [ "2019" ] ] }, "note" : "growth of agriculture, loss of wetland. Factors include population growth, improved infrastructure, soil characteristics, climate variation, terrrain\n\nAg gains from forest, bushland, wetland\nAg loss to grassland due to fallow", "page" : "505-32", "title" : "Land Use Change Trends and Their Driving Forces in the Kilombero Valley Floodplain , Southeastern Tanzania", "type" : "article-journal", "volume" : "11" }, "uris" : [ "http://www.mendeley.com/documents/?uuid=42bafb15-2f9c-46f4-8223-1fe2307f7f84" ] } ], "mendeley" : { "formattedCitation" : "(Id et al., 2018; Kindu et al., 2015; Msofe et al., 2019; Stehfest et al., 2015)", "plainTextFormattedCitation" : "(Id et al., 2018; Kindu et al., 2015; Msofe et al., 2019; Stehfest et al., 2015)", "previouslyFormattedCitation" : "(Id et al., 2018; Kindu et al., 2015; Msofe et al., 2019; Stehfest et al., 2015)" }, "properties" : { "noteIndex" : 0 }, "schema" : "https://github.com/citation-style-language/schema/raw/master/csl-citation.json" }</w:instrText>
      </w:r>
      <w:r>
        <w:rPr>
          <w:rFonts w:ascii="Times New Roman" w:hAnsi="Times New Roman" w:cs="Times New Roman"/>
          <w:sz w:val="24"/>
          <w:szCs w:val="24"/>
        </w:rPr>
        <w:fldChar w:fldCharType="separate"/>
      </w:r>
      <w:r w:rsidRPr="005D06C6">
        <w:rPr>
          <w:rFonts w:ascii="Times New Roman" w:hAnsi="Times New Roman" w:cs="Times New Roman"/>
          <w:noProof/>
          <w:sz w:val="24"/>
          <w:szCs w:val="24"/>
        </w:rPr>
        <w:t>(Id et al., 2018; Kindu et al., 2015; Msofe et al., 2019; Stehfest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There are multiple raster datasets of accessibility that represent distance to nearest settlement of a certain size. Some of the literature also examined environmental factors such as rainfall, temperature, soil suitability and </w:t>
      </w:r>
      <w:r w:rsidR="00923CB1">
        <w:rPr>
          <w:rFonts w:ascii="Times New Roman" w:hAnsi="Times New Roman" w:cs="Times New Roman"/>
          <w:sz w:val="24"/>
          <w:szCs w:val="24"/>
        </w:rPr>
        <w:t>agro ecological</w:t>
      </w:r>
      <w:r>
        <w:rPr>
          <w:rFonts w:ascii="Times New Roman" w:hAnsi="Times New Roman" w:cs="Times New Roman"/>
          <w:sz w:val="24"/>
          <w:szCs w:val="24"/>
        </w:rPr>
        <w:t xml:space="preserve"> zone and found that they effected the growth of agriculture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"10.1007/s10661-015-4671-7", "author" : [ { "dropping-particle" : "", "family" : "Kindu", "given" : "Mengistie", "non-dropping-particle" : "", "parse-names" : false, "suffix" : "" }, { "dropping-particle" : "", "family" : "Schneider", "given" : "Thomas", "non-dropping-particle" : "", "parse-names" : false, "suffix" : "" }, { "dropping-particle" : "", "family" : "Tekatay", "given" : "Demel", "non-dropping-particle" : "", "parse-names" : false, "suffix" : "" }, { "dropping-particle" : "", "family" : "Knoke", "given" : "Thomas", "non-dropping-particle" : "", "parse-names" : false, "suffix" : "" } ], "container-title" : "Environmental Monitoring and Assessment", "id" : "ITEM-1", "issued" : { "date-parts" : [ [ "2015" ] ] }, "note" : "population growth, agricultural expansion, settlement expansion\ndistance to roads\npopulation\nmarket location\nslope\nagro-ecology zone\nrainfall variability\nmore LULC changes on steeper slopes and higher agro-ecological zones, indicating expansion onto marginal land", "page" : "452-469", "title" : "Drivers of land use/land cover changes in Munessa-Shashemene landscape of the south-central highlands of Ethiopia", "type" : "article-journal", "volume" : "187" }, "uris" : [ "http://www.mendeley.com/documents/?uuid=49cf7429-6f0b-40fa-8934-0c71be775792" ] }, { "id" : "ITEM-2", "itemData" : { "author" : [ { "dropping-particle" : "", "family" : "Stehfest", "given" : "Elke", "non-dropping-particle" : "", "parse-names" : false, "suffix" : "" }, { "dropping-particle" : "", "family" : "Doelman", "given" : "Jonathan", "non-dropping-particle" : "", "parse-names" : false, "suffix" : "" }, { "dropping-particle" : "", "family" : "Mandryk", "given" : "Maryia", "non-dropping-particle" : "", "parse-names" : false, "suffix" : "" } ], "collection-title" : "FOODSECURE", "id" : "ITEM-2", "issued" : { "date-parts" : [ [ "2015" ] ] }, "note" : "in many places most of the good agricultural land is already in use or used up\n\nhard to define suitable agricultural land, many environmental and socio-economic factors\n\nexclude areas with slopes under 45 degrees\n\ncropland estimates based on raster cells often overestimate because they do not account for infrastructure etc at subpixe level\n\npopulation density and accessibility important factors", "number" : "7", "number-of-pages" : "1-22", "title" : "Assessment of global land availability: land supply for agriculture", "type" : "report" }, "uris" : [ "http://www.mendeley.com/documents/?uuid=4a48ed64-a92c-44dd-b649-129fd37f9f95" ] }, { "id" : "ITEM-3", "itemData" : { "DOI" : "10.1007/s40808-016-0167-x", "ISSN" : "2363-6211", "author" : [ { "dropping-particle" : "", "family" : "Yalew", "given" : "Seleshi G", "non-dropping-particle" : "", "parse-names" : false, "suffix" : "" }, { "dropping-particle" : "Van", "family" : "Griensven", "given" : "Ann", "non-dropping-particle" : "", "parse-names" : false, "suffix" : "" }, { "dropping-particle" : "", "family" : "Mul", "given" : "Marlous L", "non-dropping-particle" : "", "parse-names" : false, "suffix" : "" }, { "dropping-particle" : "Van Der", "family" : "Zaag", "given" : "Pieter", "non-dropping-particle" : "", "parse-names" : false, "suffix" : "" } ], "container-title" : "Modeling Earth Systems and Environment", "id" : "ITEM-3", "issue" : "2", "issued" : { "date-parts" : [ [ "2016" ] ] }, "note" : "use a variety of factors including, soil type, depth, water content and stoniness", "page" : "1-14", "publisher" : "Springer International Publishing", "title" : "Land suitability analysis for agriculture in the Abbay basin using remote sensing , GIS and AHP techniques", "type" : "article-journal", "volume" : "2" }, "uris" : [ "http://www.mendeley.com/documents/?uuid=f636b4ab-b60c-42e7-bc0d-f58edd1509d1" ] }, { "id" : "ITEM-4", "itemData" : { "ISBN" : "1111111111", "author" : [ { "dropping-particle" : "", "family" : "Id", "given" : "Jane Southworth", "non-dropping-particle" : "", "parse-names" : false, "suffix" : "" }, { "dropping-particle" : "", "family" : "Bunting", "given" : "Erin", "non-dropping-particle" : "", "parse-names" : false, "suffix" : "" }, { "dropping-particle" : "", "family" : "Zhu", "given" : "Likai", "non-dropping-particle" : "", "parse-names" : false, "suffix" : "" }, { "dropping-particle" : "", "family" : "Ryan", "given" : "Sadie J", "non-dropping-particle" : "", "parse-names" : false, "suffix" : "" }, { "dropping-particle" : "", "family" : "Id", "given" : "Hannah V Herrero", "non-dropping-particle" : "", "parse-names" : false, "suffix" : "" }, { "dropping-particle" : "", "family" : "Id", "given" : "David Kaplan", "non-dropping-particle" : "", "parse-names" : false, "suffix" : "" }, { "dropping-particle" : "", "family" : "Waylen", "given" : "Peter", "non-dropping-particle" : "", "parse-names" : false, "suffix" : "" }, { "dropping-particle" : "", "family" : "Mu", "given" : "Rafael", "non-dropping-particle" : "", "parse-names" : false, "suffix" : "" }, { "dropping-particle" : "", "family" : "Campo-besco", "given" : "Miguel A", "non-dropping-particle" : "", "parse-names" : false, "suffix" : "" } ], "container-title" : "PLoS ONE", "id" : "ITEM-4", "issue" : "12", "issued" : { "date-parts" : [ [ "2018" ] ] }, "note" : "landscape change driven by soil moisture and other environmental variables\n\nelevation, land cover, pop, country, protection status, distance from were also important.\n\nnot specifically about agriculture", "page" : "1-19", "title" : "Using a coupled dynamic factor \u2013 random forest analysis ( DFRFA ) to reveal drivers of spatiotemporal heterogeneity in the semi-arid regions of southern Africa", "type" : "article-journal", "volume" : "13" }, "uris" : [ "http://www.mendeley.com/documents/?uuid=18975884-6887-47f9-9982-dc218a5348a9" ] }, { "id" : "ITEM-5", "itemData" : { "DOI" : "10.1016/j.apgeog.2018.07.021", "author" : [ { "dropping-particle" : "", "family" : "Calzada", "given" : "Leonardo", "non-dropping-particle" : "", "parse-names" : false, "suffix" : "" }, { "dropping-particle" : "", "family" : "Meave", "given" : "Jorge A", "non-dropping-particle" : "", "parse-names" : false, "suffix" : "" }, { "dropping-particle" : "", "family" : "Bon", "given" : "Consuelo", "non-dropping-particle" : "", "parse-names" : false, "suffix" : "" }, { "dropping-particle" : "", "family" : "Figueroa", "given" : "Fernanda", "non-dropping-particle" : "", "parse-names" : false, "suffix" : "" } ], "container-title" : "Applied Geography", "id" : "ITEM-5", "issued" : { "date-parts" : [ [ "2018" ] ] }, "note" : "Agricultural expansion is most relevant LULCC.\nSocioeconomic and environmental drivers are important broadly speaking.\n\nIn the study area, agriculture gain was big as was human settlement\n\nHad intense gain of agriculture in certain time periods, more moderate gains in others\n\nSome crop being replaced by secondary vegetation, some by settlement", "page" : "22-30", "title" : "Lands at risk : Land use / land cover change in two contrasting tropical dry regions of Mexico", "type" : "article-journal", "volume" : "99" }, "uris" : [ "http://www.mendeley.com/documents/?uuid=33d8dacb-6e7b-4a84-8f09-78b74dc6f0f5" ] }, { "id" : "ITEM-6", "itemData" : { "DOI" : "10.3390/su11020505", "author" : [ { "dropping-particle" : "", "family" : "Msofe", "given" : "Nangware Kajia", "non-dropping-particle" : "", "parse-names" : false, "suffix" : "" }, { "dropping-particle" : "", "family" : "Sheng", "given" : "Lianxi", "non-dropping-particle" : "", "parse-names" : false, "suffix" : "" }, { "dropping-particle" : "", "family" : "Lyimo", "given" : "James", "non-dropping-particle" : "", "parse-names" : false, "suffix" : "" } ], "container-title" : "Sustainability", "id" : "ITEM-6", "issued" : { "date-parts" : [ [ "2019" ] ] }, "note" : "growth of agriculture, loss of wetland. Factors include population growth, improved infrastructure, soil characteristics, climate variation, terrrain\n\nAg gains from forest, bushland, wetland\nAg loss to grassland due to fallow", "page" : "505-32", "title" : "Land Use Change Trends and Their Driving Forces in the Kilombero Valley Floodplain , Southeastern Tanzania", "type" : "article-journal", "volume" : "11" }, "uris" : [ "http://www.mendeley.com/documents/?uuid=42bafb15-2f9c-46f4-8223-1fe2307f7f84" ] } ], "mendeley" : { "formattedCitation" : "(Calzada et al., 2018; Id et al., 2018; Kindu et al., 2015; Msofe et al., 2019; Stehfest et al., 2015; Yalew, Griensven, Mul, &amp; Zaag, 2016)", "plainTextFormattedCitation" : "(Calzada et al., 2018; Id et al., 2018; Kindu et al., 2015; Msofe et al., 2019; Stehfest et al., 2015; Yalew, Griensven, Mul, &amp; Zaag, 2016)", "previouslyFormattedCitation" : "(Calzada et al., 2018; Id et al., 2018; Kindu et al., 2015; Msofe et al., 2019; Stehfest et al., 2015; Yalew, Griensven, Mul, &amp; Zaag, 2016)" }, "properties" : { "noteIndex" : 0 }, "schema" : "https://github.com/citation-style-language/schema/raw/master/csl-citation.json" }</w:instrText>
      </w:r>
      <w:r>
        <w:rPr>
          <w:rFonts w:ascii="Times New Roman" w:hAnsi="Times New Roman" w:cs="Times New Roman"/>
          <w:sz w:val="24"/>
          <w:szCs w:val="24"/>
        </w:rPr>
        <w:fldChar w:fldCharType="separate"/>
      </w:r>
      <w:r w:rsidRPr="00E01E03">
        <w:rPr>
          <w:rFonts w:ascii="Times New Roman" w:hAnsi="Times New Roman" w:cs="Times New Roman"/>
          <w:noProof/>
          <w:sz w:val="24"/>
          <w:szCs w:val="24"/>
        </w:rPr>
        <w:t>(Calzada et al., 2018; Id et al., 2018; Kindu et al., 2015; Msofe et al., 2019; Stehfest et al., 2015; Yalew, Griensven, Mul, &amp; Zaag, 2016)</w:t>
      </w:r>
      <w:r>
        <w:rPr>
          <w:rFonts w:ascii="Times New Roman" w:hAnsi="Times New Roman" w:cs="Times New Roman"/>
          <w:sz w:val="24"/>
          <w:szCs w:val="24"/>
        </w:rPr>
        <w:fldChar w:fldCharType="end"/>
      </w:r>
      <w:r>
        <w:rPr>
          <w:rFonts w:ascii="Times New Roman" w:hAnsi="Times New Roman" w:cs="Times New Roman"/>
          <w:sz w:val="24"/>
          <w:szCs w:val="24"/>
        </w:rPr>
        <w:t xml:space="preserve">. Elevation and slope were also found to be relevant variables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"10.3390/su11020505", "author" : [ { "dropping-particle" : "", "family" : "Msofe", "given" : "Nangware Kajia", "non-dropping-particle" : "", "parse-names" : false, "suffix" : "" }, { "dropping-particle" : "", "family" : "Sheng", "given" : "Lianxi", "non-dropping-particle" : "", "parse-names" : false, "suffix" : "" }, { "dropping-particle" : "", "family" : "Lyimo", "given" : "James", "non-dropping-particle" : "", "parse-names" : false, "suffix" : "" } ], "container-title" : "Sustainability", "id" : "ITEM-1", "issued" : { "date-parts" : [ [ "2019" ] ] }, "note" : "growth of agriculture, loss of wetland. Factors include population growth, improved infrastructure, soil characteristics, climate variation, terrrain\n\nAg gains from forest, bushland, wetland\nAg loss to grassland due to fallow", "page" : "505-32", "title" : "Land Use Change Trends and Their Driving Forces in the Kilombero Valley Floodplain , Southeastern Tanzania", "type" : "article-journal", "volume" : "11" }, "uris" : [ "http://www.mendeley.com/documents/?uuid=42bafb15-2f9c-46f4-8223-1fe2307f7f84" ] }, { "id" : "ITEM-2", "itemData" : { "ISBN" : "1111111111", "author" : [ { "dropping-particle" : "", "family" : "Id", "given" : "Jane Southworth", "non-dropping-particle" : "", "parse-names" : false, "suffix" : "" }, { "dropping-particle" : "", "family" : "Bunting", "given" : "Erin", "non-dropping-particle" : "", "parse-names" : false, "suffix" : "" }, { "dropping-particle" : "", "family" : "Zhu", "given" : "Likai", "non-dropping-particle" : "", "parse-names" : false, "suffix" : "" }, { "dropping-particle" : "", "family" : "Ryan", "given" : "Sadie J", "non-dropping-particle" : "", "parse-names" : false, "suffix" : "" }, { "dropping-particle" : "", "family" : "Id", "given" : "Hannah V Herrero", "non-dropping-particle" : "", "parse-names" : false, "suffix" : "" }, { "dropping-particle" : "", "family" : "Id", "given" : "David Kaplan", "non-dropping-particle" : "", "parse-names" : false, "suffix" : "" }, { "dropping-particle" : "", "family" : "Waylen", "given" : "Peter", "non-dropping-particle" : "", "parse-names" : false, "suffix" : "" }, { "dropping-particle" : "", "family" : "Mu", "given" : "Rafael", "non-dropping-particle" : "", "parse-names" : false, "suffix" : "" }, { "dropping-particle" : "", "family" : "Campo-besco", "given" : "Miguel A", "non-dropping-particle" : "", "parse-names" : false, "suffix" : "" } ], "container-title" : "PLoS ONE", "id" : "ITEM-2", "issue" : "12", "issued" : { "date-parts" : [ [ "2018" ] ] }, "note" : "landscape change driven by soil moisture and other environmental variables\n\nelevation, land cover, pop, country, protection status, distance from were also important.\n\nnot specifically about agriculture", "page" : "1-19", "title" : "Using a coupled dynamic factor \u2013 random forest analysis ( DFRFA ) to reveal drivers of spatiotemporal heterogeneity in the semi-arid regions of southern Africa", "type" : "article-journal", "volume" : "13" }, "uris" : [ "http://www.mendeley.com/documents/?uuid=18975884-6887-47f9-9982-dc218a5348a9" ] }, { "id" : "ITEM-3", "itemData" : { "author" : [ { "dropping-particle" : "", "family" : "Stehfest", "given" : "Elke", "non-dropping-particle" : "", "parse-names" : false, "suffix" : "" }, { "dropping-particle" : "", "family" : "Doelman", "given" : "Jonathan", "non-dropping-particle" : "", "parse-names" : false, "suffix" : "" }, { "dropping-particle" : "", "family" : "Mandryk", "given" : "Maryia", "non-dropping-particle" : "", "parse-names" : false, "suffix" : "" } ], "collection-title" : "FOODSECURE", "id" : "ITEM-3", "issued" : { "date-parts" : [ [ "2015" ] ] }, "note" : "in many places most of the good agricultural land is already in use or used up\n\nhard to define suitable agricultural land, many environmental and socio-economic factors\n\nexclude areas with slopes under 45 degrees\n\ncropland estimates based on raster cells often overestimate because they do not account for infrastructure etc at subpixe level\n\npopulation density and accessibility important factors", "number" : "7", "number-of-pages" : "1-22", "title" : "Assessment of global land availability: land supply for agriculture", "type" : "report" }, "uris" : [ "http://www.mendeley.com/documents/?uuid=4a48ed64-a92c-44dd-b649-129fd37f9f95" ] }, { "id" : "ITEM-4", "itemData" : { "DOI" : "10.1007/s10661-015-4671-7", "author" : [ { "dropping-particle" : "", "family" : "Kindu", "given" : "Mengistie", "non-dropping-particle" : "", "parse-names" : false, "suffix" : "" }, { "dropping-particle" : "", "family" : "Schneider", "given" : "Thomas", "non-dropping-particle" : "", "parse-names" : false, "suffix" : "" }, { "dropping-particle" : "", "family" : "Tekatay", "given" : "Demel", "non-dropping-particle" : "", "parse-names" : false, "suffix" : "" }, { "dropping-particle" : "", "family" : "Knoke", "given" : "Thomas", "non-dropping-particle" : "", "parse-names" : false, "suffix" : "" } ], "container-title" : "Environmental Monitoring and Assessment", "id" : "ITEM-4", "issued" : { "date-parts" : [ [ "2015" ] ] }, "note" : "population growth, agricultural expansion, settlement expansion\ndistance to roads\npopulation\nmarket location\nslope\nagro-ecology zone\nrainfall variability\nmore LULC changes on steeper slopes and higher agro-ecological zones, indicating expansion onto marginal land", "page" : "452-469", "title" : "Drivers of land use/land cover changes in Munessa-Shashemene landscape of the south-central highlands of Ethiopia", "type" : "article-journal", "volume" : "187" }, "uris" : [ "http://www.mendeley.com/documents/?uuid=49cf7429-6f0b-40fa-8934-0c71be775792" ] } ], "mendeley" : { "formattedCitation" : "(Id et al., 2018; Kindu et al., 2015; Msofe et al., 2019; Stehfest et al., 2015)", "plainTextFormattedCitation" : "(Id et al., 2018; Kindu et al., 2015; Msofe et al., 2019; Stehfest et al., 2015)", "previouslyFormattedCitation" : "(Id et al., 2018; Kindu et al., 2015; Msofe et al., 2019; Stehfest et al., 2015)" }, "properties" : { "noteIndex" : 0 }, "schema" : "https://github.com/citation-style-language/schema/raw/master/csl-citation.json" }</w:instrText>
      </w:r>
      <w:r>
        <w:rPr>
          <w:rFonts w:ascii="Times New Roman" w:hAnsi="Times New Roman" w:cs="Times New Roman"/>
          <w:sz w:val="24"/>
          <w:szCs w:val="24"/>
        </w:rPr>
        <w:fldChar w:fldCharType="separate"/>
      </w:r>
      <w:r w:rsidRPr="00E8793C">
        <w:rPr>
          <w:rFonts w:ascii="Times New Roman" w:hAnsi="Times New Roman" w:cs="Times New Roman"/>
          <w:noProof/>
          <w:sz w:val="24"/>
          <w:szCs w:val="24"/>
        </w:rPr>
        <w:t>(Id et al., 2018; Kindu et al., 2015; Msofe et al., 2019; Stehfest et al., 2015)</w:t>
      </w:r>
      <w:r>
        <w:rPr>
          <w:rFonts w:ascii="Times New Roman" w:hAnsi="Times New Roman" w:cs="Times New Roman"/>
          <w:sz w:val="24"/>
          <w:szCs w:val="24"/>
        </w:rPr>
        <w:fldChar w:fldCharType="end"/>
      </w:r>
      <w:r>
        <w:rPr>
          <w:rFonts w:ascii="Times New Roman" w:hAnsi="Times New Roman" w:cs="Times New Roman"/>
          <w:sz w:val="24"/>
          <w:szCs w:val="24"/>
        </w:rPr>
        <w:t>. Stehfast et al. (2015) recommend excluding pixels with slopes greater than 45 degrees when determining suitability for agriculture.</w:t>
      </w:r>
    </w:p>
    <w:p w14:paraId="6D3C7D3E" w14:textId="4BE00EB8" w:rsidR="00E71202" w:rsidRDefault="00E71202"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project contributes to the agricultural LULC change literature by analyzing the entire country of Zambia at 30m resolution. This will be done in three stages. The first stage is </w:t>
      </w:r>
      <w:r>
        <w:rPr>
          <w:rFonts w:ascii="Times New Roman" w:hAnsi="Times New Roman" w:cs="Times New Roman"/>
          <w:sz w:val="24"/>
          <w:szCs w:val="24"/>
        </w:rPr>
        <w:lastRenderedPageBreak/>
        <w:t>analysis of binary agriculture and non-agriculture maps to determine the quantities of agriculture LULC change and their distribution in Zambia’s districts. The second stage is the analysis of driver variables. The third stage is modelling the agricultural LULC change. All of the analyses will be carried out for three time points</w:t>
      </w:r>
      <w:r w:rsidR="001F41DE">
        <w:rPr>
          <w:rFonts w:ascii="Times New Roman" w:hAnsi="Times New Roman" w:cs="Times New Roman"/>
          <w:sz w:val="24"/>
          <w:szCs w:val="24"/>
        </w:rPr>
        <w:t xml:space="preserve">, meaning </w:t>
      </w:r>
      <w:r>
        <w:rPr>
          <w:rFonts w:ascii="Times New Roman" w:hAnsi="Times New Roman" w:cs="Times New Roman"/>
          <w:sz w:val="24"/>
          <w:szCs w:val="24"/>
        </w:rPr>
        <w:t>two time intervals, 2000-2010-2015.</w:t>
      </w:r>
    </w:p>
    <w:p w14:paraId="449DB6CC" w14:textId="77777777" w:rsidR="00E71202" w:rsidRDefault="00E71202" w:rsidP="00E71202">
      <w:pPr>
        <w:spacing w:after="0" w:line="480" w:lineRule="auto"/>
        <w:rPr>
          <w:rFonts w:ascii="Times New Roman" w:hAnsi="Times New Roman" w:cs="Times New Roman"/>
          <w:sz w:val="24"/>
          <w:szCs w:val="24"/>
        </w:rPr>
      </w:pPr>
      <w:r w:rsidRPr="00FE3F2A">
        <w:rPr>
          <w:rFonts w:ascii="Times New Roman" w:hAnsi="Times New Roman" w:cs="Times New Roman"/>
          <w:sz w:val="24"/>
          <w:szCs w:val="24"/>
          <w:u w:val="single"/>
        </w:rPr>
        <w:t>Chapter 1a. Study Area</w:t>
      </w:r>
      <w:r>
        <w:rPr>
          <w:rFonts w:ascii="Times New Roman" w:hAnsi="Times New Roman" w:cs="Times New Roman"/>
          <w:sz w:val="24"/>
          <w:szCs w:val="24"/>
        </w:rPr>
        <w:t>:</w:t>
      </w:r>
    </w:p>
    <w:p w14:paraId="717A92F0" w14:textId="0904685C" w:rsidR="00FE3F2A" w:rsidRDefault="00FE3F2A" w:rsidP="00FE3F2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country of Zambia. Zambia is in a sub-tropical climate zone. Most of the vegetation cover in Zambia is woodlands, with Miombo being the largest type. The second largest vegetation cover category is grasslands</w:t>
      </w:r>
      <w:r w:rsidR="00A67E93">
        <w:rPr>
          <w:rFonts w:ascii="Times New Roman" w:hAnsi="Times New Roman" w:cs="Times New Roman"/>
          <w:sz w:val="24"/>
          <w:szCs w:val="24"/>
        </w:rPr>
        <w:t xml:space="preserve"> (Vinya et al., 2011)</w:t>
      </w:r>
      <w:r>
        <w:rPr>
          <w:rFonts w:ascii="Times New Roman" w:hAnsi="Times New Roman" w:cs="Times New Roman"/>
          <w:sz w:val="24"/>
          <w:szCs w:val="24"/>
        </w:rPr>
        <w:t>. The FAO estimates that there are 23,836,000 hectares of farmland in Zambia (2016).</w:t>
      </w:r>
    </w:p>
    <w:p w14:paraId="0663F16F" w14:textId="77777777" w:rsidR="00FE3F2A" w:rsidRPr="0055298B" w:rsidRDefault="00FE3F2A" w:rsidP="0055298B">
      <w:pPr>
        <w:spacing w:after="0" w:line="240" w:lineRule="auto"/>
        <w:rPr>
          <w:rFonts w:ascii="Times New Roman" w:hAnsi="Times New Roman" w:cs="Times New Roman"/>
        </w:rPr>
      </w:pPr>
      <w:r w:rsidRPr="0055298B">
        <w:rPr>
          <w:rFonts w:ascii="Times New Roman" w:hAnsi="Times New Roman" w:cs="Times New Roman"/>
        </w:rPr>
        <w:t>Figure 1: Agriculture in Zambia.</w:t>
      </w:r>
    </w:p>
    <w:p w14:paraId="4331E6B2" w14:textId="77777777" w:rsidR="00FE3F2A" w:rsidRDefault="00FE3F2A" w:rsidP="00FE3F2A">
      <w:pPr>
        <w:spacing w:after="0" w:line="480" w:lineRule="auto"/>
        <w:rPr>
          <w:rFonts w:ascii="Times New Roman" w:hAnsi="Times New Roman" w:cs="Times New Roman"/>
          <w:sz w:val="24"/>
          <w:szCs w:val="24"/>
        </w:rPr>
      </w:pPr>
      <w:r>
        <w:rPr>
          <w:noProof/>
        </w:rPr>
        <w:drawing>
          <wp:inline distT="0" distB="0" distL="0" distR="0" wp14:anchorId="08B652D3" wp14:editId="55942D36">
            <wp:extent cx="5943600" cy="42221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2115"/>
                    </a:xfrm>
                    <a:prstGeom prst="rect">
                      <a:avLst/>
                    </a:prstGeom>
                  </pic:spPr>
                </pic:pic>
              </a:graphicData>
            </a:graphic>
          </wp:inline>
        </w:drawing>
      </w:r>
    </w:p>
    <w:p w14:paraId="6C6C1D6B" w14:textId="40DD4F4E" w:rsidR="00E71202" w:rsidRDefault="00FE3F2A" w:rsidP="00FE3F2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According to Figure 1 agriculture in Zambia is concentrated in the central part of the country, and the southeast. The west and northeastern parts of the country have sparser agriculture.</w:t>
      </w:r>
      <w:r w:rsidR="00EF7271">
        <w:rPr>
          <w:rFonts w:ascii="Times New Roman" w:hAnsi="Times New Roman" w:cs="Times New Roman"/>
          <w:sz w:val="24"/>
          <w:szCs w:val="24"/>
        </w:rPr>
        <w:t xml:space="preserve"> Toggle refers to the case when a pixel changed during the first time interval and then changed back to the original category in the second time interval.</w:t>
      </w:r>
      <w:r w:rsidR="00A67E93">
        <w:rPr>
          <w:rFonts w:ascii="Times New Roman" w:hAnsi="Times New Roman" w:cs="Times New Roman"/>
          <w:sz w:val="24"/>
          <w:szCs w:val="24"/>
        </w:rPr>
        <w:t xml:space="preserve"> The northeastern part of Zambia is known to have more traditional shifting cultivation, which is called </w:t>
      </w:r>
      <w:r w:rsidR="00923CB1">
        <w:rPr>
          <w:rFonts w:ascii="Times New Roman" w:hAnsi="Times New Roman" w:cs="Times New Roman"/>
          <w:sz w:val="24"/>
          <w:szCs w:val="24"/>
        </w:rPr>
        <w:t>chitemene</w:t>
      </w:r>
      <w:r w:rsidR="00A67E93">
        <w:rPr>
          <w:rFonts w:ascii="Times New Roman" w:hAnsi="Times New Roman" w:cs="Times New Roman"/>
          <w:sz w:val="24"/>
          <w:szCs w:val="24"/>
        </w:rPr>
        <w:t xml:space="preserve"> </w:t>
      </w:r>
      <w:r w:rsidR="00A67E93">
        <w:rPr>
          <w:rFonts w:ascii="Times New Roman" w:hAnsi="Times New Roman" w:cs="Times New Roman"/>
          <w:sz w:val="24"/>
          <w:szCs w:val="24"/>
        </w:rPr>
        <w:fldChar w:fldCharType="begin" w:fldLock="1"/>
      </w:r>
      <w:r w:rsidR="006043A0">
        <w:rPr>
          <w:rFonts w:ascii="Times New Roman" w:hAnsi="Times New Roman" w:cs="Times New Roman"/>
          <w:sz w:val="24"/>
          <w:szCs w:val="24"/>
        </w:rPr>
        <w:instrText>ADDIN CSL_CITATION { "citationItems" : [ { "id" : "ITEM-1", "itemData" : { "author" : [ { "dropping-particle" : "", "family" : "Araki", "given" : "Shigeru", "non-dropping-particle" : "", "parse-names" : false, "suffix" : "" } ], "container-title" : "African Study Monographs", "id" : "ITEM-1", "issue" : "Supplementary Issue", "issued" : { "date-parts" : [ [ "2007" ] ] }, "note" : "chitemene miomba woodlands northern Zambia", "page" : "75-89", "title" : "Ten Years of Population Change and the Chitemene Slash-and-Burn System around the Mpika Area , Northern Zambia", "type" : "article-journal", "volume" : "34" }, "uris" : [ "http://www.mendeley.com/documents/?uuid=eb3ea951-ae9f-47b1-8264-c53c76c7adca" ] }, { "id" : "ITEM-2", "itemData" : { "author" : [ { "dropping-particle" : "", "family" : "Kapekele", "given" : "Evans M", "non-dropping-particle" : "", "parse-names" : false, "suffix" : "" } ], "id" : "ITEM-2", "issued" : { "date-parts" : [ [ "2006" ] ] }, "note" : "chitmene miomba woodlands northern zambia", "number-of-pages" : "112", "publisher" : "University of Pretoria", "title" : "Determinants of slash and burn: The case of chitemene farming system in Zambia", "type" : "thesis" }, "uris" : [ "http://www.mendeley.com/documents/?uuid=8721cce8-add1-4429-8b7f-5b3d3365b4c9" ] } ], "mendeley" : { "formattedCitation" : "(Araki, 2007; Kapekele, 2006)", "plainTextFormattedCitation" : "(Araki, 2007; Kapekele, 2006)", "previouslyFormattedCitation" : "(Araki, 2007; Kapekele, 2006)" }, "properties" : { "noteIndex" : 0 }, "schema" : "https://github.com/citation-style-language/schema/raw/master/csl-citation.json" }</w:instrText>
      </w:r>
      <w:r w:rsidR="00A67E93">
        <w:rPr>
          <w:rFonts w:ascii="Times New Roman" w:hAnsi="Times New Roman" w:cs="Times New Roman"/>
          <w:sz w:val="24"/>
          <w:szCs w:val="24"/>
        </w:rPr>
        <w:fldChar w:fldCharType="separate"/>
      </w:r>
      <w:r w:rsidR="00A67E93" w:rsidRPr="00A67E93">
        <w:rPr>
          <w:rFonts w:ascii="Times New Roman" w:hAnsi="Times New Roman" w:cs="Times New Roman"/>
          <w:noProof/>
          <w:sz w:val="24"/>
          <w:szCs w:val="24"/>
        </w:rPr>
        <w:t>(Araki, 2007; Kapekele, 2006)</w:t>
      </w:r>
      <w:r w:rsidR="00A67E93">
        <w:rPr>
          <w:rFonts w:ascii="Times New Roman" w:hAnsi="Times New Roman" w:cs="Times New Roman"/>
          <w:sz w:val="24"/>
          <w:szCs w:val="24"/>
        </w:rPr>
        <w:fldChar w:fldCharType="end"/>
      </w:r>
      <w:r w:rsidR="00A67E93">
        <w:rPr>
          <w:rFonts w:ascii="Times New Roman" w:hAnsi="Times New Roman" w:cs="Times New Roman"/>
          <w:sz w:val="24"/>
          <w:szCs w:val="24"/>
        </w:rPr>
        <w:t>.</w:t>
      </w:r>
    </w:p>
    <w:p w14:paraId="0AB17B26" w14:textId="77777777" w:rsidR="00FE3F2A" w:rsidRDefault="00FE3F2A" w:rsidP="00FE3F2A">
      <w:pPr>
        <w:spacing w:after="0" w:line="480" w:lineRule="auto"/>
        <w:rPr>
          <w:rFonts w:ascii="Times New Roman" w:hAnsi="Times New Roman" w:cs="Times New Roman"/>
          <w:sz w:val="24"/>
          <w:szCs w:val="24"/>
        </w:rPr>
      </w:pPr>
      <w:r w:rsidRPr="00FE3F2A">
        <w:rPr>
          <w:rFonts w:ascii="Times New Roman" w:hAnsi="Times New Roman" w:cs="Times New Roman"/>
          <w:sz w:val="24"/>
          <w:szCs w:val="24"/>
          <w:u w:val="single"/>
        </w:rPr>
        <w:t>Chapter 1b; Data</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37"/>
        <w:gridCol w:w="2337"/>
        <w:gridCol w:w="2338"/>
        <w:gridCol w:w="2338"/>
      </w:tblGrid>
      <w:tr w:rsidR="00FE3F2A" w14:paraId="43550298" w14:textId="77777777" w:rsidTr="00332633">
        <w:tc>
          <w:tcPr>
            <w:tcW w:w="2337" w:type="dxa"/>
          </w:tcPr>
          <w:p w14:paraId="55CE1C39"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Name</w:t>
            </w:r>
          </w:p>
        </w:tc>
        <w:tc>
          <w:tcPr>
            <w:tcW w:w="2337" w:type="dxa"/>
          </w:tcPr>
          <w:p w14:paraId="5F1D921E"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Source</w:t>
            </w:r>
          </w:p>
        </w:tc>
        <w:tc>
          <w:tcPr>
            <w:tcW w:w="2338" w:type="dxa"/>
          </w:tcPr>
          <w:p w14:paraId="0C7B79D2"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77FD167F"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resolution</w:t>
            </w:r>
          </w:p>
        </w:tc>
      </w:tr>
      <w:tr w:rsidR="00FE3F2A" w14:paraId="6C847D98" w14:textId="77777777" w:rsidTr="00332633">
        <w:tc>
          <w:tcPr>
            <w:tcW w:w="2337" w:type="dxa"/>
          </w:tcPr>
          <w:p w14:paraId="2F514FD2" w14:textId="77777777" w:rsidR="00FE3F2A" w:rsidRDefault="00FE3F2A" w:rsidP="00FE3F2A">
            <w:pPr>
              <w:rPr>
                <w:rFonts w:ascii="Times New Roman" w:hAnsi="Times New Roman" w:cs="Times New Roman"/>
                <w:sz w:val="24"/>
                <w:szCs w:val="24"/>
              </w:rPr>
            </w:pPr>
            <w:r>
              <w:rPr>
                <w:rFonts w:ascii="Times New Roman" w:hAnsi="Times New Roman" w:cs="Times New Roman"/>
                <w:sz w:val="24"/>
                <w:szCs w:val="24"/>
              </w:rPr>
              <w:t>Global Food Security-Support Analysis Data</w:t>
            </w:r>
          </w:p>
        </w:tc>
        <w:tc>
          <w:tcPr>
            <w:tcW w:w="2337" w:type="dxa"/>
          </w:tcPr>
          <w:p w14:paraId="5D6FF385"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NASA</w:t>
            </w:r>
          </w:p>
        </w:tc>
        <w:tc>
          <w:tcPr>
            <w:tcW w:w="2338" w:type="dxa"/>
          </w:tcPr>
          <w:p w14:paraId="2ADE130E"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2015</w:t>
            </w:r>
          </w:p>
        </w:tc>
        <w:tc>
          <w:tcPr>
            <w:tcW w:w="2338" w:type="dxa"/>
          </w:tcPr>
          <w:p w14:paraId="248DBC7B"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30m</w:t>
            </w:r>
          </w:p>
        </w:tc>
      </w:tr>
      <w:tr w:rsidR="00FE3F2A" w14:paraId="2003E3B1" w14:textId="77777777" w:rsidTr="00332633">
        <w:tc>
          <w:tcPr>
            <w:tcW w:w="2337" w:type="dxa"/>
          </w:tcPr>
          <w:p w14:paraId="31D311ED" w14:textId="77777777" w:rsidR="00FE3F2A" w:rsidRDefault="00FE3F2A" w:rsidP="00451F1E">
            <w:pPr>
              <w:rPr>
                <w:rFonts w:ascii="Times New Roman" w:hAnsi="Times New Roman" w:cs="Times New Roman"/>
                <w:sz w:val="24"/>
                <w:szCs w:val="24"/>
              </w:rPr>
            </w:pPr>
            <w:r>
              <w:rPr>
                <w:rFonts w:ascii="Times New Roman" w:hAnsi="Times New Roman" w:cs="Times New Roman"/>
                <w:sz w:val="24"/>
                <w:szCs w:val="24"/>
              </w:rPr>
              <w:t>Land Cover Project of the Climate Change Initiative</w:t>
            </w:r>
          </w:p>
        </w:tc>
        <w:tc>
          <w:tcPr>
            <w:tcW w:w="2337" w:type="dxa"/>
          </w:tcPr>
          <w:p w14:paraId="0963858C" w14:textId="77777777" w:rsidR="00FE3F2A" w:rsidDel="00F1211D"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ESA</w:t>
            </w:r>
          </w:p>
        </w:tc>
        <w:tc>
          <w:tcPr>
            <w:tcW w:w="2338" w:type="dxa"/>
          </w:tcPr>
          <w:p w14:paraId="4A06F42C" w14:textId="77777777" w:rsidR="00FE3F2A" w:rsidDel="00F1211D"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2016</w:t>
            </w:r>
          </w:p>
        </w:tc>
        <w:tc>
          <w:tcPr>
            <w:tcW w:w="2338" w:type="dxa"/>
          </w:tcPr>
          <w:p w14:paraId="07D20B30"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20m</w:t>
            </w:r>
          </w:p>
        </w:tc>
      </w:tr>
      <w:tr w:rsidR="00FE3F2A" w14:paraId="562F03EB" w14:textId="77777777" w:rsidTr="00332633">
        <w:tc>
          <w:tcPr>
            <w:tcW w:w="2337" w:type="dxa"/>
          </w:tcPr>
          <w:p w14:paraId="5042BA11" w14:textId="77777777" w:rsidR="00FE3F2A" w:rsidRDefault="00577602" w:rsidP="00332633">
            <w:pPr>
              <w:spacing w:line="480" w:lineRule="auto"/>
              <w:rPr>
                <w:rFonts w:ascii="Times New Roman" w:hAnsi="Times New Roman" w:cs="Times New Roman"/>
                <w:sz w:val="24"/>
                <w:szCs w:val="24"/>
              </w:rPr>
            </w:pPr>
            <w:r>
              <w:rPr>
                <w:rFonts w:ascii="Times New Roman" w:hAnsi="Times New Roman" w:cs="Times New Roman"/>
                <w:sz w:val="24"/>
                <w:szCs w:val="24"/>
              </w:rPr>
              <w:t>LULC 30m</w:t>
            </w:r>
          </w:p>
        </w:tc>
        <w:tc>
          <w:tcPr>
            <w:tcW w:w="2337" w:type="dxa"/>
          </w:tcPr>
          <w:p w14:paraId="2AE903EE" w14:textId="77777777" w:rsidR="00FE3F2A" w:rsidRDefault="00577602" w:rsidP="00577602">
            <w:pPr>
              <w:rPr>
                <w:rFonts w:ascii="Times New Roman" w:hAnsi="Times New Roman" w:cs="Times New Roman"/>
                <w:sz w:val="24"/>
                <w:szCs w:val="24"/>
              </w:rPr>
            </w:pPr>
            <w:r>
              <w:rPr>
                <w:rFonts w:ascii="Times New Roman" w:hAnsi="Times New Roman" w:cs="Times New Roman"/>
                <w:sz w:val="24"/>
                <w:szCs w:val="24"/>
              </w:rPr>
              <w:t xml:space="preserve">Regional Centre for Mapping and Resource Development </w:t>
            </w:r>
          </w:p>
        </w:tc>
        <w:tc>
          <w:tcPr>
            <w:tcW w:w="2338" w:type="dxa"/>
          </w:tcPr>
          <w:p w14:paraId="48488E90"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2000, 2010</w:t>
            </w:r>
          </w:p>
        </w:tc>
        <w:tc>
          <w:tcPr>
            <w:tcW w:w="2338" w:type="dxa"/>
          </w:tcPr>
          <w:p w14:paraId="229200A2"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30m</w:t>
            </w:r>
          </w:p>
        </w:tc>
      </w:tr>
      <w:tr w:rsidR="00FE3F2A" w14:paraId="52E8D8CB" w14:textId="77777777" w:rsidTr="00332633">
        <w:tc>
          <w:tcPr>
            <w:tcW w:w="2337" w:type="dxa"/>
          </w:tcPr>
          <w:p w14:paraId="64B629A2" w14:textId="206C37D5" w:rsidR="00FE3F2A" w:rsidRDefault="00DC5821">
            <w:pPr>
              <w:spacing w:line="480" w:lineRule="auto"/>
              <w:rPr>
                <w:rFonts w:ascii="Times New Roman" w:hAnsi="Times New Roman" w:cs="Times New Roman"/>
                <w:sz w:val="24"/>
                <w:szCs w:val="24"/>
              </w:rPr>
            </w:pPr>
            <w:r>
              <w:rPr>
                <w:rFonts w:ascii="Times New Roman" w:hAnsi="Times New Roman" w:cs="Times New Roman"/>
                <w:sz w:val="24"/>
                <w:szCs w:val="24"/>
              </w:rPr>
              <w:t>GlobeLand30</w:t>
            </w:r>
          </w:p>
        </w:tc>
        <w:tc>
          <w:tcPr>
            <w:tcW w:w="2337" w:type="dxa"/>
          </w:tcPr>
          <w:p w14:paraId="3B680ED5" w14:textId="77777777" w:rsidR="00FE3F2A" w:rsidRDefault="00FE3F2A" w:rsidP="00332633">
            <w:pPr>
              <w:rPr>
                <w:rFonts w:ascii="Times New Roman" w:hAnsi="Times New Roman" w:cs="Times New Roman"/>
                <w:sz w:val="24"/>
                <w:szCs w:val="24"/>
              </w:rPr>
            </w:pPr>
            <w:r>
              <w:rPr>
                <w:rFonts w:ascii="Times New Roman" w:hAnsi="Times New Roman" w:cs="Times New Roman"/>
                <w:sz w:val="24"/>
                <w:szCs w:val="24"/>
              </w:rPr>
              <w:t>National Geomatics Center of China</w:t>
            </w:r>
          </w:p>
        </w:tc>
        <w:tc>
          <w:tcPr>
            <w:tcW w:w="2338" w:type="dxa"/>
          </w:tcPr>
          <w:p w14:paraId="220DD932"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2000, 2010</w:t>
            </w:r>
          </w:p>
        </w:tc>
        <w:tc>
          <w:tcPr>
            <w:tcW w:w="2338" w:type="dxa"/>
          </w:tcPr>
          <w:p w14:paraId="08522883"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30m</w:t>
            </w:r>
          </w:p>
        </w:tc>
      </w:tr>
      <w:tr w:rsidR="00FE3F2A" w14:paraId="15123414" w14:textId="77777777" w:rsidTr="00332633">
        <w:tc>
          <w:tcPr>
            <w:tcW w:w="2337" w:type="dxa"/>
          </w:tcPr>
          <w:p w14:paraId="49D1CE38"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Elevation</w:t>
            </w:r>
          </w:p>
        </w:tc>
        <w:tc>
          <w:tcPr>
            <w:tcW w:w="2337" w:type="dxa"/>
          </w:tcPr>
          <w:p w14:paraId="10E11875"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USGS</w:t>
            </w:r>
          </w:p>
        </w:tc>
        <w:tc>
          <w:tcPr>
            <w:tcW w:w="2338" w:type="dxa"/>
          </w:tcPr>
          <w:p w14:paraId="2673F960"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2000</w:t>
            </w:r>
          </w:p>
        </w:tc>
        <w:tc>
          <w:tcPr>
            <w:tcW w:w="2338" w:type="dxa"/>
          </w:tcPr>
          <w:p w14:paraId="4A32AC8B"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30m</w:t>
            </w:r>
          </w:p>
        </w:tc>
      </w:tr>
      <w:tr w:rsidR="00FE3F2A" w14:paraId="04ECB25B" w14:textId="77777777" w:rsidTr="00332633">
        <w:tc>
          <w:tcPr>
            <w:tcW w:w="2337" w:type="dxa"/>
          </w:tcPr>
          <w:p w14:paraId="7664A619"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Soil</w:t>
            </w:r>
          </w:p>
        </w:tc>
        <w:tc>
          <w:tcPr>
            <w:tcW w:w="2337" w:type="dxa"/>
          </w:tcPr>
          <w:p w14:paraId="0E450E30"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FAO</w:t>
            </w:r>
          </w:p>
        </w:tc>
        <w:tc>
          <w:tcPr>
            <w:tcW w:w="2338" w:type="dxa"/>
          </w:tcPr>
          <w:p w14:paraId="0A3DF9B8"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2001</w:t>
            </w:r>
          </w:p>
        </w:tc>
        <w:tc>
          <w:tcPr>
            <w:tcW w:w="2338" w:type="dxa"/>
          </w:tcPr>
          <w:p w14:paraId="06A1B6C1"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1km</w:t>
            </w:r>
          </w:p>
        </w:tc>
      </w:tr>
      <w:tr w:rsidR="00FE3F2A" w14:paraId="0F7929D6" w14:textId="77777777" w:rsidTr="00332633">
        <w:tc>
          <w:tcPr>
            <w:tcW w:w="2337" w:type="dxa"/>
          </w:tcPr>
          <w:p w14:paraId="0782EEEE"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Roads</w:t>
            </w:r>
          </w:p>
        </w:tc>
        <w:tc>
          <w:tcPr>
            <w:tcW w:w="2337" w:type="dxa"/>
          </w:tcPr>
          <w:p w14:paraId="4514D7D5"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Estes et al (2016)</w:t>
            </w:r>
          </w:p>
        </w:tc>
        <w:tc>
          <w:tcPr>
            <w:tcW w:w="2338" w:type="dxa"/>
          </w:tcPr>
          <w:p w14:paraId="4BA8E922" w14:textId="77777777" w:rsidR="00FE3F2A" w:rsidRDefault="00FE3F2A" w:rsidP="00332633">
            <w:pPr>
              <w:spacing w:line="480" w:lineRule="auto"/>
              <w:rPr>
                <w:rFonts w:ascii="Times New Roman" w:hAnsi="Times New Roman" w:cs="Times New Roman"/>
                <w:sz w:val="24"/>
                <w:szCs w:val="24"/>
              </w:rPr>
            </w:pPr>
          </w:p>
        </w:tc>
        <w:tc>
          <w:tcPr>
            <w:tcW w:w="2338" w:type="dxa"/>
          </w:tcPr>
          <w:p w14:paraId="2A04A6A1"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vector</w:t>
            </w:r>
          </w:p>
        </w:tc>
      </w:tr>
      <w:tr w:rsidR="00FE3F2A" w14:paraId="24453BDA" w14:textId="77777777" w:rsidTr="00332633">
        <w:tc>
          <w:tcPr>
            <w:tcW w:w="2337" w:type="dxa"/>
          </w:tcPr>
          <w:p w14:paraId="3646A4D3"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Protected areas</w:t>
            </w:r>
          </w:p>
        </w:tc>
        <w:tc>
          <w:tcPr>
            <w:tcW w:w="2337" w:type="dxa"/>
          </w:tcPr>
          <w:p w14:paraId="4F2E0154"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UNEP</w:t>
            </w:r>
          </w:p>
        </w:tc>
        <w:tc>
          <w:tcPr>
            <w:tcW w:w="2338" w:type="dxa"/>
          </w:tcPr>
          <w:p w14:paraId="32F5C2B7"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2014</w:t>
            </w:r>
          </w:p>
        </w:tc>
        <w:tc>
          <w:tcPr>
            <w:tcW w:w="2338" w:type="dxa"/>
          </w:tcPr>
          <w:p w14:paraId="193BC019"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vector</w:t>
            </w:r>
          </w:p>
        </w:tc>
      </w:tr>
      <w:tr w:rsidR="00FE3F2A" w14:paraId="00472FCB" w14:textId="77777777" w:rsidTr="00332633">
        <w:tc>
          <w:tcPr>
            <w:tcW w:w="2337" w:type="dxa"/>
          </w:tcPr>
          <w:p w14:paraId="0F15D997"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Climate</w:t>
            </w:r>
          </w:p>
        </w:tc>
        <w:tc>
          <w:tcPr>
            <w:tcW w:w="2337" w:type="dxa"/>
          </w:tcPr>
          <w:p w14:paraId="54491C98"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WorldClim</w:t>
            </w:r>
          </w:p>
        </w:tc>
        <w:tc>
          <w:tcPr>
            <w:tcW w:w="2338" w:type="dxa"/>
          </w:tcPr>
          <w:p w14:paraId="13DAC98A"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 xml:space="preserve">1970-2000 </w:t>
            </w:r>
          </w:p>
        </w:tc>
        <w:tc>
          <w:tcPr>
            <w:tcW w:w="2338" w:type="dxa"/>
          </w:tcPr>
          <w:p w14:paraId="4B727033"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1km</w:t>
            </w:r>
          </w:p>
        </w:tc>
      </w:tr>
      <w:tr w:rsidR="00FE3F2A" w14:paraId="5B994C42" w14:textId="77777777" w:rsidTr="00332633">
        <w:tc>
          <w:tcPr>
            <w:tcW w:w="2337" w:type="dxa"/>
          </w:tcPr>
          <w:p w14:paraId="46013B5D"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Population</w:t>
            </w:r>
          </w:p>
        </w:tc>
        <w:tc>
          <w:tcPr>
            <w:tcW w:w="2337" w:type="dxa"/>
          </w:tcPr>
          <w:p w14:paraId="384F369A"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NASA SEDAC</w:t>
            </w:r>
          </w:p>
        </w:tc>
        <w:tc>
          <w:tcPr>
            <w:tcW w:w="2338" w:type="dxa"/>
          </w:tcPr>
          <w:p w14:paraId="51EE95AD"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2000, 2010, 2015</w:t>
            </w:r>
          </w:p>
        </w:tc>
        <w:tc>
          <w:tcPr>
            <w:tcW w:w="2338" w:type="dxa"/>
          </w:tcPr>
          <w:p w14:paraId="48F0DE9F"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250m</w:t>
            </w:r>
          </w:p>
        </w:tc>
      </w:tr>
      <w:tr w:rsidR="00FE3F2A" w14:paraId="7939D5BE" w14:textId="77777777" w:rsidTr="00332633">
        <w:tc>
          <w:tcPr>
            <w:tcW w:w="2337" w:type="dxa"/>
          </w:tcPr>
          <w:p w14:paraId="230F594B"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Accessibility</w:t>
            </w:r>
          </w:p>
        </w:tc>
        <w:tc>
          <w:tcPr>
            <w:tcW w:w="2337" w:type="dxa"/>
          </w:tcPr>
          <w:p w14:paraId="1EE15981" w14:textId="77777777" w:rsidR="00FE3F2A" w:rsidRDefault="00FE3F2A" w:rsidP="00332633">
            <w:pPr>
              <w:rPr>
                <w:rFonts w:ascii="Times New Roman" w:hAnsi="Times New Roman" w:cs="Times New Roman"/>
                <w:sz w:val="24"/>
                <w:szCs w:val="24"/>
              </w:rPr>
            </w:pPr>
            <w:r w:rsidRPr="00220A9B">
              <w:rPr>
                <w:rFonts w:ascii="Times New Roman" w:hAnsi="Times New Roman" w:cs="Times New Roman"/>
                <w:sz w:val="24"/>
                <w:szCs w:val="24"/>
              </w:rPr>
              <w:t>Global Environment Monitoring Unit - Joint Research Centre of the European Commission</w:t>
            </w:r>
          </w:p>
        </w:tc>
        <w:tc>
          <w:tcPr>
            <w:tcW w:w="2338" w:type="dxa"/>
          </w:tcPr>
          <w:p w14:paraId="463379BD"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2000</w:t>
            </w:r>
          </w:p>
        </w:tc>
        <w:tc>
          <w:tcPr>
            <w:tcW w:w="2338" w:type="dxa"/>
          </w:tcPr>
          <w:p w14:paraId="3FD21343" w14:textId="77777777" w:rsidR="00FE3F2A" w:rsidRDefault="00FE3F2A" w:rsidP="00332633">
            <w:pPr>
              <w:spacing w:line="480" w:lineRule="auto"/>
              <w:rPr>
                <w:rFonts w:ascii="Times New Roman" w:hAnsi="Times New Roman" w:cs="Times New Roman"/>
                <w:sz w:val="24"/>
                <w:szCs w:val="24"/>
              </w:rPr>
            </w:pPr>
            <w:r>
              <w:rPr>
                <w:rFonts w:ascii="Times New Roman" w:hAnsi="Times New Roman" w:cs="Times New Roman"/>
                <w:sz w:val="24"/>
                <w:szCs w:val="24"/>
              </w:rPr>
              <w:t>1km</w:t>
            </w:r>
          </w:p>
        </w:tc>
      </w:tr>
    </w:tbl>
    <w:p w14:paraId="3AC9C326" w14:textId="77777777" w:rsidR="00FE3F2A" w:rsidRDefault="00FE3F2A" w:rsidP="00FE3F2A">
      <w:pPr>
        <w:spacing w:after="0" w:line="480" w:lineRule="auto"/>
        <w:rPr>
          <w:rFonts w:ascii="Times New Roman" w:hAnsi="Times New Roman" w:cs="Times New Roman"/>
          <w:sz w:val="24"/>
          <w:szCs w:val="24"/>
        </w:rPr>
      </w:pPr>
    </w:p>
    <w:p w14:paraId="69505CA6" w14:textId="1883DAFF" w:rsidR="00FE3F2A" w:rsidRDefault="00577602" w:rsidP="0057760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Priscilla Baltezar created maps of agriculture in Zambia for 2000, 2010 and 2015 using Bayesian fusion of the </w:t>
      </w:r>
      <w:r w:rsidR="0055298B">
        <w:rPr>
          <w:rFonts w:ascii="Times New Roman" w:hAnsi="Times New Roman" w:cs="Times New Roman"/>
          <w:sz w:val="24"/>
          <w:szCs w:val="24"/>
        </w:rPr>
        <w:t>LULC datasets in the data table</w:t>
      </w:r>
      <w:r>
        <w:rPr>
          <w:rFonts w:ascii="Times New Roman" w:hAnsi="Times New Roman" w:cs="Times New Roman"/>
          <w:sz w:val="24"/>
          <w:szCs w:val="24"/>
        </w:rPr>
        <w:t>. This process was also bolstered by validation at approximately 800 points spread around Zambia using a stratified random sampling approach.</w:t>
      </w:r>
      <w:r w:rsidR="006221E6">
        <w:rPr>
          <w:rFonts w:ascii="Times New Roman" w:hAnsi="Times New Roman" w:cs="Times New Roman"/>
          <w:sz w:val="24"/>
          <w:szCs w:val="24"/>
        </w:rPr>
        <w:t xml:space="preserve"> This process </w:t>
      </w:r>
      <w:r w:rsidR="004976AF">
        <w:rPr>
          <w:rFonts w:ascii="Times New Roman" w:hAnsi="Times New Roman" w:cs="Times New Roman"/>
          <w:sz w:val="24"/>
          <w:szCs w:val="24"/>
        </w:rPr>
        <w:t xml:space="preserve">of creating Bayesian updated land cover maps </w:t>
      </w:r>
      <w:r w:rsidR="006221E6">
        <w:rPr>
          <w:rFonts w:ascii="Times New Roman" w:hAnsi="Times New Roman" w:cs="Times New Roman"/>
          <w:sz w:val="24"/>
          <w:szCs w:val="24"/>
        </w:rPr>
        <w:t xml:space="preserve">is described in </w:t>
      </w:r>
      <w:r w:rsidR="006221E6">
        <w:rPr>
          <w:rFonts w:ascii="Times New Roman" w:hAnsi="Times New Roman" w:cs="Times New Roman"/>
          <w:sz w:val="24"/>
          <w:szCs w:val="24"/>
        </w:rPr>
        <w:fldChar w:fldCharType="begin" w:fldLock="1"/>
      </w:r>
      <w:r w:rsidR="006221E6">
        <w:rPr>
          <w:rFonts w:ascii="Times New Roman" w:hAnsi="Times New Roman" w:cs="Times New Roman"/>
          <w:sz w:val="24"/>
          <w:szCs w:val="24"/>
        </w:rPr>
        <w:instrText>ADDIN CSL_CITATION { "citationItems" : [ { "id" : "ITEM-1", "itemData" : { "author" : [ { "dropping-particle" : "", "family" : "Baltezar", "given" : "Priscilla", "non-dropping-particle" : "", "parse-names" : false, "suffix" : "" }, { "dropping-particle" : "", "family" : "Crema", "given" : "Stefano", "non-dropping-particle" : "", "parse-names" : false, "suffix" : "" }, { "dropping-particle" : "", "family" : "Baldwin", "given" : "Eli", "non-dropping-particle" : "", "parse-names" : false, "suffix" : "" }, { "dropping-particle" : "", "family" : "Ye", "given" : "Su", "non-dropping-particle" : "", "parse-names" : false, "suffix" : "" }, { "dropping-particle" : "", "family" : "Crowley", "given" : "Morgan", "non-dropping-particle" : "", "parse-names" : false, "suffix" : "" }, { "dropping-particle" : "", "family" : "Cardille", "given" : "Jeffrey", "non-dropping-particle" : "", "parse-names" : false, "suffix" : "" }, { "dropping-particle" : "", "family" : "Estes", "given" : "Lyndon", "non-dropping-particle" : "", "parse-names" : false, "suffix" : "" } ], "id" : "ITEM-1", "issued" : { "date-parts" : [ [ "2020" ] ] }, "number-of-pages" : "23", "publisher" : "Clark University", "title" : "Support Vector Machine (SVM) Time Interval Mapping of Agriculture : A case study in Zambia Agroecological (AER) Zone IIa", "type" : "thesis" }, "uris" : [ "http://www.mendeley.com/documents/?uuid=88af54f1-3a2f-47e3-a392-d2f95d17d1d4" ] } ], "mendeley" : { "formattedCitation" : "(Baltezar et al., 2020)", "plainTextFormattedCitation" : "(Baltezar et al., 2020)" }, "properties" : { "noteIndex" : 0 }, "schema" : "https://github.com/citation-style-language/schema/raw/master/csl-citation.json" }</w:instrText>
      </w:r>
      <w:r w:rsidR="006221E6">
        <w:rPr>
          <w:rFonts w:ascii="Times New Roman" w:hAnsi="Times New Roman" w:cs="Times New Roman"/>
          <w:sz w:val="24"/>
          <w:szCs w:val="24"/>
        </w:rPr>
        <w:fldChar w:fldCharType="separate"/>
      </w:r>
      <w:r w:rsidR="006221E6" w:rsidRPr="006221E6">
        <w:rPr>
          <w:rFonts w:ascii="Times New Roman" w:hAnsi="Times New Roman" w:cs="Times New Roman"/>
          <w:noProof/>
          <w:sz w:val="24"/>
          <w:szCs w:val="24"/>
        </w:rPr>
        <w:t>(Baltezar et al., 2020)</w:t>
      </w:r>
      <w:r w:rsidR="006221E6">
        <w:rPr>
          <w:rFonts w:ascii="Times New Roman" w:hAnsi="Times New Roman" w:cs="Times New Roman"/>
          <w:sz w:val="24"/>
          <w:szCs w:val="24"/>
        </w:rPr>
        <w:fldChar w:fldCharType="end"/>
      </w:r>
      <w:r w:rsidR="006221E6">
        <w:rPr>
          <w:rFonts w:ascii="Times New Roman" w:hAnsi="Times New Roman" w:cs="Times New Roman"/>
          <w:sz w:val="24"/>
          <w:szCs w:val="24"/>
        </w:rPr>
        <w:t>.</w:t>
      </w:r>
      <w:r>
        <w:rPr>
          <w:rFonts w:ascii="Times New Roman" w:hAnsi="Times New Roman" w:cs="Times New Roman"/>
          <w:sz w:val="24"/>
          <w:szCs w:val="24"/>
        </w:rPr>
        <w:t xml:space="preserve"> </w:t>
      </w:r>
      <w:r w:rsidR="00FE3F2A">
        <w:rPr>
          <w:rFonts w:ascii="Times New Roman" w:hAnsi="Times New Roman" w:cs="Times New Roman"/>
          <w:sz w:val="24"/>
          <w:szCs w:val="24"/>
        </w:rPr>
        <w:t>The terrain module in TerrSet was used to calculate slope from the elevation model. I calculated the difference and percent change in population for both time intervals using the image difference module in TerrSet. I used the climate data, which consists of monthly mean temperature, maximum temperature and precipitation in the crop climate suitability modeler in TerrSet. I calculated the suitabilities for maize, soy and cassava, the three main crops grown in Zambia (Zambia Cou</w:t>
      </w:r>
      <w:r w:rsidR="00923CB1">
        <w:rPr>
          <w:rFonts w:ascii="Times New Roman" w:hAnsi="Times New Roman" w:cs="Times New Roman"/>
          <w:sz w:val="24"/>
          <w:szCs w:val="24"/>
        </w:rPr>
        <w:t>n</w:t>
      </w:r>
      <w:r w:rsidR="00FE3F2A">
        <w:rPr>
          <w:rFonts w:ascii="Times New Roman" w:hAnsi="Times New Roman" w:cs="Times New Roman"/>
          <w:sz w:val="24"/>
          <w:szCs w:val="24"/>
        </w:rPr>
        <w:t>trySTAT, 2016), using the minimum suitability between temperature and precipitation. I then overlaid these three outputs using the mean operator to create one suitability map.</w:t>
      </w:r>
    </w:p>
    <w:p w14:paraId="4AFF2FF5" w14:textId="77777777" w:rsidR="00B75C8E" w:rsidRDefault="00B75C8E" w:rsidP="00B75C8E">
      <w:pPr>
        <w:spacing w:after="0" w:line="480" w:lineRule="auto"/>
        <w:rPr>
          <w:rFonts w:ascii="Times New Roman" w:hAnsi="Times New Roman" w:cs="Times New Roman"/>
          <w:sz w:val="24"/>
          <w:szCs w:val="24"/>
        </w:rPr>
      </w:pPr>
      <w:r>
        <w:rPr>
          <w:rFonts w:ascii="Times New Roman" w:hAnsi="Times New Roman" w:cs="Times New Roman"/>
          <w:sz w:val="24"/>
          <w:szCs w:val="24"/>
          <w:u w:val="single"/>
        </w:rPr>
        <w:t>Chapter 2, Methods</w:t>
      </w:r>
      <w:r>
        <w:rPr>
          <w:rFonts w:ascii="Times New Roman" w:hAnsi="Times New Roman" w:cs="Times New Roman"/>
          <w:sz w:val="24"/>
          <w:szCs w:val="24"/>
        </w:rPr>
        <w:t>:</w:t>
      </w:r>
    </w:p>
    <w:p w14:paraId="3ADFBA2C" w14:textId="14F30BE6" w:rsidR="00B75C8E" w:rsidRDefault="00B75C8E" w:rsidP="00B75C8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calculated the cross tabulations for both time intervals, 2000-2010 and 2010-2015. Then I entered the </w:t>
      </w:r>
      <w:r w:rsidR="006657C6">
        <w:rPr>
          <w:rFonts w:ascii="Times New Roman" w:hAnsi="Times New Roman" w:cs="Times New Roman"/>
          <w:sz w:val="24"/>
          <w:szCs w:val="24"/>
        </w:rPr>
        <w:t>cross-tabulation</w:t>
      </w:r>
      <w:r>
        <w:rPr>
          <w:rFonts w:ascii="Times New Roman" w:hAnsi="Times New Roman" w:cs="Times New Roman"/>
          <w:sz w:val="24"/>
          <w:szCs w:val="24"/>
        </w:rPr>
        <w:t xml:space="preserve"> outputs in the PontiusMatrix</w:t>
      </w:r>
      <w:r w:rsidR="00986245">
        <w:rPr>
          <w:rFonts w:ascii="Times New Roman" w:hAnsi="Times New Roman" w:cs="Times New Roman"/>
          <w:sz w:val="24"/>
          <w:szCs w:val="24"/>
        </w:rPr>
        <w:t>42.xlsx</w:t>
      </w:r>
      <w:r w:rsidR="006657C6">
        <w:rPr>
          <w:rFonts w:ascii="Times New Roman" w:hAnsi="Times New Roman" w:cs="Times New Roman"/>
          <w:sz w:val="24"/>
          <w:szCs w:val="24"/>
        </w:rPr>
        <w:t xml:space="preserve"> (available at www.clarku.edu/~rpontius)</w:t>
      </w:r>
      <w:r>
        <w:rPr>
          <w:rFonts w:ascii="Times New Roman" w:hAnsi="Times New Roman" w:cs="Times New Roman"/>
          <w:sz w:val="24"/>
          <w:szCs w:val="24"/>
        </w:rPr>
        <w:t xml:space="preserve"> which calculates gain and loss, and quantity and exchange for both. Quantity refers to the net gain or loss that a category experiences. Exchange refers to the changes back and forth below the net. Gain exchange and loss exchange will be equal for each category when there are only two categories </w:t>
      </w:r>
      <w:r w:rsidR="006043A0">
        <w:rPr>
          <w:rFonts w:ascii="Times New Roman" w:hAnsi="Times New Roman" w:cs="Times New Roman"/>
          <w:sz w:val="24"/>
          <w:szCs w:val="24"/>
        </w:rPr>
        <w:fldChar w:fldCharType="begin" w:fldLock="1"/>
      </w:r>
      <w:r w:rsidR="006043A0">
        <w:rPr>
          <w:rFonts w:ascii="Times New Roman" w:hAnsi="Times New Roman" w:cs="Times New Roman"/>
          <w:sz w:val="24"/>
          <w:szCs w:val="24"/>
        </w:rPr>
        <w:instrText>ADDIN CSL_CITATION { "citationItems" : [ { "id" : "ITEM-1", "itemData" : { "DOI" : "10.1080/2150704X.2014.969814", "author" : [ { "dropping-particle" : "", "family" : "Pontius Jr.", "given" : "Robert Gilmore", "non-dropping-particle" : "", "parse-names" : false, "suffix" : "" }, { "dropping-particle" : "", "family" : "Santacruz", "given" : "Al\u00ed", "non-dropping-particle" : "", "parse-names" : false, "suffix" : "" } ], "container-title" : "Internation Journal of Remote Sensing", "id" : "ITEM-1", "issue" : "21", "issued" : { "date-parts" : [ [ "2014" ] ] }, "page" : "7543-7554", "title" : "Quantity , exchange , and shift components of difference in a square contingency table", "type" : "article-journal", "volume" : "35" }, "uris" : [ "http://www.mendeley.com/documents/?uuid=b5c1c9a0-961c-405d-9cd9-8f0804336cc7" ] } ], "mendeley" : { "formattedCitation" : "(Pontius Jr. &amp; Santacruz, 2014)", "plainTextFormattedCitation" : "(Pontius Jr. &amp; Santacruz, 2014)", "previouslyFormattedCitation" : "(Pontius Jr. &amp; Santacruz, 2014)" }, "properties" : { "noteIndex" : 0 }, "schema" : "https://github.com/citation-style-language/schema/raw/master/csl-citation.json" }</w:instrText>
      </w:r>
      <w:r w:rsidR="006043A0">
        <w:rPr>
          <w:rFonts w:ascii="Times New Roman" w:hAnsi="Times New Roman" w:cs="Times New Roman"/>
          <w:sz w:val="24"/>
          <w:szCs w:val="24"/>
        </w:rPr>
        <w:fldChar w:fldCharType="separate"/>
      </w:r>
      <w:r w:rsidR="006043A0" w:rsidRPr="006043A0">
        <w:rPr>
          <w:rFonts w:ascii="Times New Roman" w:hAnsi="Times New Roman" w:cs="Times New Roman"/>
          <w:noProof/>
          <w:sz w:val="24"/>
          <w:szCs w:val="24"/>
        </w:rPr>
        <w:t>(Pontius Jr. &amp; Santacruz, 2014)</w:t>
      </w:r>
      <w:r w:rsidR="006043A0">
        <w:rPr>
          <w:rFonts w:ascii="Times New Roman" w:hAnsi="Times New Roman" w:cs="Times New Roman"/>
          <w:sz w:val="24"/>
          <w:szCs w:val="24"/>
        </w:rPr>
        <w:fldChar w:fldCharType="end"/>
      </w:r>
      <w:r w:rsidR="00914FFE">
        <w:rPr>
          <w:rFonts w:ascii="Times New Roman" w:hAnsi="Times New Roman" w:cs="Times New Roman"/>
          <w:sz w:val="24"/>
          <w:szCs w:val="24"/>
        </w:rPr>
        <w:t>.</w:t>
      </w:r>
      <w:r w:rsidR="009C28CD">
        <w:rPr>
          <w:rFonts w:ascii="Times New Roman" w:hAnsi="Times New Roman" w:cs="Times New Roman"/>
          <w:sz w:val="24"/>
          <w:szCs w:val="24"/>
        </w:rPr>
        <w:t xml:space="preserve"> I then calculated the average yearly gain quantity and exchange values because the two time intervals are different lengths of time.</w:t>
      </w:r>
      <w:r w:rsidR="00020A89">
        <w:rPr>
          <w:rFonts w:ascii="Times New Roman" w:hAnsi="Times New Roman" w:cs="Times New Roman"/>
          <w:sz w:val="24"/>
          <w:szCs w:val="24"/>
        </w:rPr>
        <w:t xml:space="preserve"> I created a scatterplot of the percentage of Zambia that is agriculture at each of the three years also adding points showing what percent of Zambia would be agriculture in 2010 and 2015 if only gross gain was taken into account.</w:t>
      </w:r>
      <w:r w:rsidR="00020A89">
        <w:rPr>
          <w:rFonts w:ascii="Times New Roman" w:hAnsi="Times New Roman" w:cs="Times New Roman"/>
          <w:sz w:val="24"/>
          <w:szCs w:val="24"/>
        </w:rPr>
        <w:t xml:space="preserve"> This figure is based on (Pontius &amp; Malanson 2005).</w:t>
      </w:r>
      <w:r w:rsidR="00914FFE">
        <w:rPr>
          <w:rFonts w:ascii="Times New Roman" w:hAnsi="Times New Roman" w:cs="Times New Roman"/>
          <w:sz w:val="24"/>
          <w:szCs w:val="24"/>
        </w:rPr>
        <w:t xml:space="preserve"> </w:t>
      </w:r>
      <w:r>
        <w:rPr>
          <w:rFonts w:ascii="Times New Roman" w:hAnsi="Times New Roman" w:cs="Times New Roman"/>
          <w:sz w:val="24"/>
          <w:szCs w:val="24"/>
        </w:rPr>
        <w:t xml:space="preserve">I </w:t>
      </w:r>
      <w:r>
        <w:rPr>
          <w:rFonts w:ascii="Times New Roman" w:hAnsi="Times New Roman" w:cs="Times New Roman"/>
          <w:sz w:val="24"/>
          <w:szCs w:val="24"/>
        </w:rPr>
        <w:lastRenderedPageBreak/>
        <w:t xml:space="preserve">calculated the three-way cross tabulation for all three time points. I calculated the persistence, incidence and toggle based on the results of the three-way crosstab. This analysis follows the methods of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"10.1080/1747423X.2017.1338768", "ISSN" : "1747-423X", "author" : [ { "dropping-particle" : "", "family" : "Pontius Jr.", "given" : "Robert Gilmore", "non-dropping-particle" : "", "parse-names" : false, "suffix" : "" }, { "dropping-particle" : "", "family" : "Krithivasan", "given" : "Roopa", "non-dropping-particle" : "", "parse-names" : false, "suffix" : "" }, { "dropping-particle" : "", "family" : "Sauls", "given" : "Laura", "non-dropping-particle" : "", "parse-names" : false, "suffix" : "" }, { "dropping-particle" : "", "family" : "Yan", "given" : "Yan", "non-dropping-particle" : "", "parse-names" : false, "suffix" : "" }, { "dropping-particle" : "", "family" : "Sauls", "given" : "Laura", "non-dropping-particle" : "", "parse-names" : false, "suffix" : "" } ], "container-title" : "Journal of Land Use Science", "id" : "ITEM-1", "issue" : "4", "issued" : { "date-parts" : [ [ "2017" ] ] }, "note" : "incidents and states, toggle (might indicate error)\nflow matrix", "page" : "218-230", "publisher" : "Taylor &amp; Francis", "title" : "Methods to summarize change among land categories across time intervals", "type" : "article-journal", "volume" : "12" }, "uris" : [ "http://www.mendeley.com/documents/?uuid=3fd6465a-8899-4248-aea1-c9e6810d9c96" ] } ], "mendeley" : { "formattedCitation" : "(Pontius Jr., Krithivasan, Sauls, Yan, &amp; Sauls, 2017)", "plainTextFormattedCitation" : "(Pontius Jr., Krithivasan, Sauls, Yan, &amp; Sauls, 2017)", "previouslyFormattedCitation" : "(Pontius Jr., Krithivasan, Sauls, Yan, &amp; Sauls, 2017)" }, "properties" : { "noteIndex" : 0 }, "schema" : "https://github.com/citation-style-language/schema/raw/master/csl-citation.json" }</w:instrText>
      </w:r>
      <w:r>
        <w:rPr>
          <w:rFonts w:ascii="Times New Roman" w:hAnsi="Times New Roman" w:cs="Times New Roman"/>
          <w:sz w:val="24"/>
          <w:szCs w:val="24"/>
        </w:rPr>
        <w:fldChar w:fldCharType="separate"/>
      </w:r>
      <w:r w:rsidRPr="0066724C">
        <w:rPr>
          <w:rFonts w:ascii="Times New Roman" w:hAnsi="Times New Roman" w:cs="Times New Roman"/>
          <w:noProof/>
          <w:sz w:val="24"/>
          <w:szCs w:val="24"/>
        </w:rPr>
        <w:t>(Pontius Jr., Krithivasan, Sauls, Yan, &amp; Sauls, 2017)</w:t>
      </w:r>
      <w:r>
        <w:rPr>
          <w:rFonts w:ascii="Times New Roman" w:hAnsi="Times New Roman" w:cs="Times New Roman"/>
          <w:sz w:val="24"/>
          <w:szCs w:val="24"/>
        </w:rPr>
        <w:fldChar w:fldCharType="end"/>
      </w:r>
      <w:r>
        <w:rPr>
          <w:rFonts w:ascii="Times New Roman" w:hAnsi="Times New Roman" w:cs="Times New Roman"/>
          <w:sz w:val="24"/>
          <w:szCs w:val="24"/>
        </w:rPr>
        <w:t xml:space="preserve">. I took the results from the three-way cross tabulation and aggregated the pixels to a coarser resolution in order to determine </w:t>
      </w:r>
      <w:r w:rsidR="009B6F89">
        <w:rPr>
          <w:rFonts w:ascii="Times New Roman" w:hAnsi="Times New Roman" w:cs="Times New Roman"/>
          <w:sz w:val="24"/>
          <w:szCs w:val="24"/>
        </w:rPr>
        <w:t xml:space="preserve">the </w:t>
      </w:r>
      <w:r>
        <w:rPr>
          <w:rFonts w:ascii="Times New Roman" w:hAnsi="Times New Roman" w:cs="Times New Roman"/>
          <w:sz w:val="24"/>
          <w:szCs w:val="24"/>
        </w:rPr>
        <w:t xml:space="preserve">areas of the country </w:t>
      </w:r>
      <w:r w:rsidR="009B6F89">
        <w:rPr>
          <w:rFonts w:ascii="Times New Roman" w:hAnsi="Times New Roman" w:cs="Times New Roman"/>
          <w:sz w:val="24"/>
          <w:szCs w:val="24"/>
        </w:rPr>
        <w:t xml:space="preserve">that </w:t>
      </w:r>
      <w:r>
        <w:rPr>
          <w:rFonts w:ascii="Times New Roman" w:hAnsi="Times New Roman" w:cs="Times New Roman"/>
          <w:sz w:val="24"/>
          <w:szCs w:val="24"/>
        </w:rPr>
        <w:t>had the most toggle relative to persistent and new agriculture</w:t>
      </w:r>
      <w:r w:rsidR="00DC5821">
        <w:rPr>
          <w:rFonts w:ascii="Times New Roman" w:hAnsi="Times New Roman" w:cs="Times New Roman"/>
          <w:sz w:val="24"/>
          <w:szCs w:val="24"/>
        </w:rPr>
        <w:t xml:space="preserve"> (toggle/[toggle + persistent agriculture + new agriculture])</w:t>
      </w:r>
      <w:r>
        <w:rPr>
          <w:rFonts w:ascii="Times New Roman" w:hAnsi="Times New Roman" w:cs="Times New Roman"/>
          <w:sz w:val="24"/>
          <w:szCs w:val="24"/>
        </w:rPr>
        <w:t xml:space="preserve">. The hypothesis behind this is that there is more </w:t>
      </w:r>
      <w:r w:rsidR="00192573">
        <w:rPr>
          <w:rFonts w:ascii="Times New Roman" w:hAnsi="Times New Roman" w:cs="Times New Roman"/>
          <w:sz w:val="24"/>
          <w:szCs w:val="24"/>
        </w:rPr>
        <w:t>chitemene</w:t>
      </w:r>
      <w:r>
        <w:rPr>
          <w:rFonts w:ascii="Times New Roman" w:hAnsi="Times New Roman" w:cs="Times New Roman"/>
          <w:sz w:val="24"/>
          <w:szCs w:val="24"/>
        </w:rPr>
        <w:t xml:space="preserve"> shifting cultivation in the northeast of Zambia</w:t>
      </w:r>
      <w:r w:rsidR="00A67E93">
        <w:rPr>
          <w:rFonts w:ascii="Times New Roman" w:hAnsi="Times New Roman" w:cs="Times New Roman"/>
          <w:sz w:val="24"/>
          <w:szCs w:val="24"/>
        </w:rPr>
        <w:t xml:space="preserve"> </w:t>
      </w:r>
      <w:r w:rsidR="00A67E93">
        <w:rPr>
          <w:rFonts w:ascii="Times New Roman" w:hAnsi="Times New Roman" w:cs="Times New Roman"/>
          <w:sz w:val="24"/>
          <w:szCs w:val="24"/>
        </w:rPr>
        <w:fldChar w:fldCharType="begin" w:fldLock="1"/>
      </w:r>
      <w:r w:rsidR="00A67E93">
        <w:rPr>
          <w:rFonts w:ascii="Times New Roman" w:hAnsi="Times New Roman" w:cs="Times New Roman"/>
          <w:sz w:val="24"/>
          <w:szCs w:val="24"/>
        </w:rPr>
        <w:instrText>ADDIN CSL_CITATION { "citationItems" : [ { "id" : "ITEM-1", "itemData" : { "author" : [ { "dropping-particle" : "", "family" : "Araki", "given" : "Shigeru", "non-dropping-particle" : "", "parse-names" : false, "suffix" : "" } ], "container-title" : "African Study Monographs", "id" : "ITEM-1", "issue" : "Supplementary Issue", "issued" : { "date-parts" : [ [ "2007" ] ] }, "note" : "chitemene miomba woodlands northern Zambia", "page" : "75-89", "title" : "Ten Years of Population Change and the Chitemene Slash-and-Burn System around the Mpika Area , Northern Zambia", "type" : "article-journal", "volume" : "34" }, "uris" : [ "http://www.mendeley.com/documents/?uuid=eb3ea951-ae9f-47b1-8264-c53c76c7adca" ] }, { "id" : "ITEM-2", "itemData" : { "author" : [ { "dropping-particle" : "", "family" : "Kapekele", "given" : "Evans M", "non-dropping-particle" : "", "parse-names" : false, "suffix" : "" } ], "id" : "ITEM-2", "issued" : { "date-parts" : [ [ "2006" ] ] }, "note" : "chitmene miomba woodlands northern zambia", "number-of-pages" : "112", "publisher" : "University of Pretoria", "title" : "Determinants of slash and burn: The case of chitemene farming system in Zambia", "type" : "thesis" }, "uris" : [ "http://www.mendeley.com/documents/?uuid=8721cce8-add1-4429-8b7f-5b3d3365b4c9" ] } ], "mendeley" : { "formattedCitation" : "(Araki, 2007; Kapekele, 2006)", "plainTextFormattedCitation" : "(Araki, 2007; Kapekele, 2006)", "previouslyFormattedCitation" : "(Araki, 2007; Kapekele, 2006)" }, "properties" : { "noteIndex" : 0 }, "schema" : "https://github.com/citation-style-language/schema/raw/master/csl-citation.json" }</w:instrText>
      </w:r>
      <w:r w:rsidR="00A67E93">
        <w:rPr>
          <w:rFonts w:ascii="Times New Roman" w:hAnsi="Times New Roman" w:cs="Times New Roman"/>
          <w:sz w:val="24"/>
          <w:szCs w:val="24"/>
        </w:rPr>
        <w:fldChar w:fldCharType="separate"/>
      </w:r>
      <w:r w:rsidR="00A67E93" w:rsidRPr="00A67E93">
        <w:rPr>
          <w:rFonts w:ascii="Times New Roman" w:hAnsi="Times New Roman" w:cs="Times New Roman"/>
          <w:noProof/>
          <w:sz w:val="24"/>
          <w:szCs w:val="24"/>
        </w:rPr>
        <w:t>(Araki, 2007; Kapekele, 2006)</w:t>
      </w:r>
      <w:r w:rsidR="00A67E93">
        <w:rPr>
          <w:rFonts w:ascii="Times New Roman" w:hAnsi="Times New Roman" w:cs="Times New Roman"/>
          <w:sz w:val="24"/>
          <w:szCs w:val="24"/>
        </w:rPr>
        <w:fldChar w:fldCharType="end"/>
      </w:r>
      <w:r>
        <w:rPr>
          <w:rFonts w:ascii="Times New Roman" w:hAnsi="Times New Roman" w:cs="Times New Roman"/>
          <w:sz w:val="24"/>
          <w:szCs w:val="24"/>
        </w:rPr>
        <w:t xml:space="preserve">, and so that area was expected to have more toggle. I used the zonal statistics tool to determine the amount of agriculture in each district of Zambia </w:t>
      </w:r>
      <w:r w:rsidR="009B6F89">
        <w:rPr>
          <w:rFonts w:ascii="Times New Roman" w:hAnsi="Times New Roman" w:cs="Times New Roman"/>
          <w:sz w:val="24"/>
          <w:szCs w:val="24"/>
        </w:rPr>
        <w:t xml:space="preserve">at </w:t>
      </w:r>
      <w:r>
        <w:rPr>
          <w:rFonts w:ascii="Times New Roman" w:hAnsi="Times New Roman" w:cs="Times New Roman"/>
          <w:sz w:val="24"/>
          <w:szCs w:val="24"/>
        </w:rPr>
        <w:t xml:space="preserve">each time point and the gain of agriculture </w:t>
      </w:r>
      <w:r w:rsidR="009B6F89">
        <w:rPr>
          <w:rFonts w:ascii="Times New Roman" w:hAnsi="Times New Roman" w:cs="Times New Roman"/>
          <w:sz w:val="24"/>
          <w:szCs w:val="24"/>
        </w:rPr>
        <w:t xml:space="preserve">during </w:t>
      </w:r>
      <w:r>
        <w:rPr>
          <w:rFonts w:ascii="Times New Roman" w:hAnsi="Times New Roman" w:cs="Times New Roman"/>
          <w:sz w:val="24"/>
          <w:szCs w:val="24"/>
        </w:rPr>
        <w:t xml:space="preserve">both time intervals. I then used these numbers to calculate the percent of each district that is agriculture, the gain and loss intensities for each district for both time intervals and the </w:t>
      </w:r>
      <w:r w:rsidR="009C28CD">
        <w:rPr>
          <w:rFonts w:ascii="Times New Roman" w:hAnsi="Times New Roman" w:cs="Times New Roman"/>
          <w:sz w:val="24"/>
          <w:szCs w:val="24"/>
        </w:rPr>
        <w:t>net</w:t>
      </w:r>
      <w:r>
        <w:rPr>
          <w:rFonts w:ascii="Times New Roman" w:hAnsi="Times New Roman" w:cs="Times New Roman"/>
          <w:sz w:val="24"/>
          <w:szCs w:val="24"/>
        </w:rPr>
        <w:t xml:space="preserve"> gain and </w:t>
      </w:r>
      <w:r w:rsidR="009C28CD">
        <w:rPr>
          <w:rFonts w:ascii="Times New Roman" w:hAnsi="Times New Roman" w:cs="Times New Roman"/>
          <w:sz w:val="24"/>
          <w:szCs w:val="24"/>
        </w:rPr>
        <w:t xml:space="preserve">net </w:t>
      </w:r>
      <w:r>
        <w:rPr>
          <w:rFonts w:ascii="Times New Roman" w:hAnsi="Times New Roman" w:cs="Times New Roman"/>
          <w:sz w:val="24"/>
          <w:szCs w:val="24"/>
        </w:rPr>
        <w:t xml:space="preserve">percent change for each district from 2000-2015. The gain intensity is defined as the proportion of agriculture at the second time point that is new, i.e. </w:t>
      </w:r>
      <w:r w:rsidR="009D3FB2">
        <w:rPr>
          <w:rFonts w:ascii="Times New Roman" w:hAnsi="Times New Roman" w:cs="Times New Roman"/>
          <w:sz w:val="24"/>
          <w:szCs w:val="24"/>
        </w:rPr>
        <w:t>was not agriculture</w:t>
      </w:r>
      <w:r>
        <w:rPr>
          <w:rFonts w:ascii="Times New Roman" w:hAnsi="Times New Roman" w:cs="Times New Roman"/>
          <w:sz w:val="24"/>
          <w:szCs w:val="24"/>
        </w:rPr>
        <w:t xml:space="preserve"> at the first time point. The loss intensity is defined as the proportion of the agriculture at the first time point that </w:t>
      </w:r>
      <w:r w:rsidR="009D3FB2">
        <w:rPr>
          <w:rFonts w:ascii="Times New Roman" w:hAnsi="Times New Roman" w:cs="Times New Roman"/>
          <w:sz w:val="24"/>
          <w:szCs w:val="24"/>
        </w:rPr>
        <w:t>transitions to non-</w:t>
      </w:r>
      <w:r>
        <w:rPr>
          <w:rFonts w:ascii="Times New Roman" w:hAnsi="Times New Roman" w:cs="Times New Roman"/>
          <w:sz w:val="24"/>
          <w:szCs w:val="24"/>
        </w:rPr>
        <w:t xml:space="preserve">agriculture at the second time point </w:t>
      </w:r>
      <w:r w:rsidR="006043A0">
        <w:rPr>
          <w:rFonts w:ascii="Times New Roman" w:hAnsi="Times New Roman" w:cs="Times New Roman"/>
          <w:sz w:val="24"/>
          <w:szCs w:val="24"/>
        </w:rPr>
        <w:fldChar w:fldCharType="begin" w:fldLock="1"/>
      </w:r>
      <w:r w:rsidR="006043A0">
        <w:rPr>
          <w:rFonts w:ascii="Times New Roman" w:hAnsi="Times New Roman" w:cs="Times New Roman"/>
          <w:sz w:val="24"/>
          <w:szCs w:val="24"/>
        </w:rPr>
        <w:instrText>ADDIN CSL_CITATION { "citationItems" : [ { "id" : "ITEM-1", "itemData" : { "DOI" : "10.1016/j.jag.2018.07.024", "ISSN" : "0303-2434", "author" : [ { "dropping-particle" : "", "family" : "Pontius Jr.", "given" : "Robert Gilmore", "non-dropping-particle" : "", "parse-names" : false, "suffix" : "" } ], "container-title" : "Int J Appl Earth Obs Geoinformation", "id" : "ITEM-1", "issued" : { "date-parts" : [ [ "2019" ] ] }, "page" : "94-99", "publisher" : "Elsevier", "title" : "Component intensities to relate difference by category with difference overall", "type" : "article-journal", "volume" : "77" }, "uris" : [ "http://www.mendeley.com/documents/?uuid=acd523d2-96d4-4cae-8281-fd3f6de8fd77" ] }, { "id" : "ITEM-2", "itemData" : { "DOI" : "10.1080/15481603.2019.1658420", "ISSN" : "1548-1603", "author" : [ { "dropping-particle" : "", "family" : "Quan", "given" : "Bin", "non-dropping-particle" : "", "parse-names" : false, "suffix" : "" }, { "dropping-particle" : "", "family" : "Pontius Jr.", "given" : "Robert Gilmore", "non-dropping-particle" : "", "parse-names" : false, "suffix" : "" }, { "dropping-particle" : "", "family" : "Song", "given" : "Hui", "non-dropping-particle" : "", "parse-names" : false, "suffix" : "" } ], "container-title" : "GIScience &amp; Remote Sensing", "id" : "ITEM-2", "issued" : { "date-parts" : [ [ "2019" ] ] }, "page" : "1-16", "publisher" : "Taylor &amp; Francis", "title" : "Intensity Analysis to communicate land change during three time intervals in two regions of Quanzhou City , China", "type" : "article-journal" }, "uris" : [ "http://www.mendeley.com/documents/?uuid=523d8f1a-8281-409c-abe4-1c386e581b4a" ] } ], "mendeley" : { "formattedCitation" : "(Pontius Jr., 2019; Quan, Pontius Jr., &amp; Song, 2019)", "plainTextFormattedCitation" : "(Pontius Jr., 2019; Quan, Pontius Jr., &amp; Song, 2019)", "previouslyFormattedCitation" : "(Pontius Jr., 2019; Quan, Pontius Jr., &amp; Song, 2019)" }, "properties" : { "noteIndex" : 0 }, "schema" : "https://github.com/citation-style-language/schema/raw/master/csl-citation.json" }</w:instrText>
      </w:r>
      <w:r w:rsidR="006043A0">
        <w:rPr>
          <w:rFonts w:ascii="Times New Roman" w:hAnsi="Times New Roman" w:cs="Times New Roman"/>
          <w:sz w:val="24"/>
          <w:szCs w:val="24"/>
        </w:rPr>
        <w:fldChar w:fldCharType="separate"/>
      </w:r>
      <w:r w:rsidR="006043A0" w:rsidRPr="006043A0">
        <w:rPr>
          <w:rFonts w:ascii="Times New Roman" w:hAnsi="Times New Roman" w:cs="Times New Roman"/>
          <w:noProof/>
          <w:sz w:val="24"/>
          <w:szCs w:val="24"/>
        </w:rPr>
        <w:t>(Pontius Jr., 2019; Quan, Pontius Jr., &amp; Song, 2019)</w:t>
      </w:r>
      <w:r w:rsidR="006043A0">
        <w:rPr>
          <w:rFonts w:ascii="Times New Roman" w:hAnsi="Times New Roman" w:cs="Times New Roman"/>
          <w:sz w:val="24"/>
          <w:szCs w:val="24"/>
        </w:rPr>
        <w:fldChar w:fldCharType="end"/>
      </w:r>
      <w:r>
        <w:rPr>
          <w:rFonts w:ascii="Times New Roman" w:hAnsi="Times New Roman" w:cs="Times New Roman"/>
          <w:sz w:val="24"/>
          <w:szCs w:val="24"/>
        </w:rPr>
        <w:t>.</w:t>
      </w:r>
    </w:p>
    <w:p w14:paraId="33F6009A" w14:textId="02E48E0E" w:rsidR="00E1692C" w:rsidRDefault="00B75C8E" w:rsidP="00E1692C">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1692C">
        <w:rPr>
          <w:rFonts w:ascii="Times New Roman" w:hAnsi="Times New Roman" w:cs="Times New Roman"/>
          <w:sz w:val="24"/>
          <w:szCs w:val="24"/>
        </w:rPr>
        <w:t xml:space="preserve">I created maps of agricultural LULC gain for both time intervals. I took a stratified random sample </w:t>
      </w:r>
      <w:r w:rsidR="00DC5821">
        <w:rPr>
          <w:rFonts w:ascii="Times New Roman" w:hAnsi="Times New Roman" w:cs="Times New Roman"/>
          <w:sz w:val="24"/>
          <w:szCs w:val="24"/>
        </w:rPr>
        <w:t>with the goal of getting</w:t>
      </w:r>
      <w:r w:rsidR="00E1692C">
        <w:rPr>
          <w:rFonts w:ascii="Times New Roman" w:hAnsi="Times New Roman" w:cs="Times New Roman"/>
          <w:sz w:val="24"/>
          <w:szCs w:val="24"/>
        </w:rPr>
        <w:t xml:space="preserve"> 100,000 pixels from both categories of the Boolean map</w:t>
      </w:r>
      <w:r w:rsidR="00DC5821">
        <w:rPr>
          <w:rFonts w:ascii="Times New Roman" w:hAnsi="Times New Roman" w:cs="Times New Roman"/>
          <w:sz w:val="24"/>
          <w:szCs w:val="24"/>
        </w:rPr>
        <w:t>, which are ‘gain of ag’ and ‘not gain of ag’</w:t>
      </w:r>
      <w:r w:rsidR="00E1692C">
        <w:rPr>
          <w:rFonts w:ascii="Times New Roman" w:hAnsi="Times New Roman" w:cs="Times New Roman"/>
          <w:sz w:val="24"/>
          <w:szCs w:val="24"/>
        </w:rPr>
        <w:t>.</w:t>
      </w:r>
      <w:r w:rsidR="00DC5821">
        <w:rPr>
          <w:rFonts w:ascii="Times New Roman" w:hAnsi="Times New Roman" w:cs="Times New Roman"/>
          <w:sz w:val="24"/>
          <w:szCs w:val="24"/>
        </w:rPr>
        <w:t xml:space="preserve"> I did this because inputting the entirety of the data is too large for R studio.</w:t>
      </w:r>
      <w:r w:rsidR="00E1692C">
        <w:rPr>
          <w:rFonts w:ascii="Times New Roman" w:hAnsi="Times New Roman" w:cs="Times New Roman"/>
          <w:sz w:val="24"/>
          <w:szCs w:val="24"/>
        </w:rPr>
        <w:t xml:space="preserve"> </w:t>
      </w:r>
      <w:r w:rsidR="00DC5821">
        <w:rPr>
          <w:rFonts w:ascii="Times New Roman" w:hAnsi="Times New Roman" w:cs="Times New Roman"/>
          <w:sz w:val="24"/>
          <w:szCs w:val="24"/>
        </w:rPr>
        <w:t xml:space="preserve">The sample for the first time interval had 100,000 pixels of ‘not gain of agriculture’ and 72, 364 pixels of ‘gain of agriculture.’ The sample for the second time interval had 100,000 pixels for both categories. </w:t>
      </w:r>
      <w:r w:rsidR="00E1692C">
        <w:rPr>
          <w:rFonts w:ascii="Times New Roman" w:hAnsi="Times New Roman" w:cs="Times New Roman"/>
          <w:sz w:val="24"/>
          <w:szCs w:val="24"/>
        </w:rPr>
        <w:t xml:space="preserve">This sample excluded national parks and pixels with slopes greater than 20% as these pixels are </w:t>
      </w:r>
      <w:r w:rsidR="005E479F">
        <w:rPr>
          <w:rFonts w:ascii="Times New Roman" w:hAnsi="Times New Roman" w:cs="Times New Roman"/>
          <w:sz w:val="24"/>
          <w:szCs w:val="24"/>
        </w:rPr>
        <w:t>considered</w:t>
      </w:r>
      <w:r w:rsidR="00E1692C">
        <w:rPr>
          <w:rFonts w:ascii="Times New Roman" w:hAnsi="Times New Roman" w:cs="Times New Roman"/>
          <w:sz w:val="24"/>
          <w:szCs w:val="24"/>
        </w:rPr>
        <w:t xml:space="preserve"> to be </w:t>
      </w:r>
      <w:r w:rsidR="005E479F">
        <w:rPr>
          <w:rFonts w:ascii="Times New Roman" w:hAnsi="Times New Roman" w:cs="Times New Roman"/>
          <w:sz w:val="24"/>
          <w:szCs w:val="24"/>
        </w:rPr>
        <w:t xml:space="preserve">less suitable for </w:t>
      </w:r>
      <w:r w:rsidR="00E1692C">
        <w:rPr>
          <w:rFonts w:ascii="Times New Roman" w:hAnsi="Times New Roman" w:cs="Times New Roman"/>
          <w:sz w:val="24"/>
          <w:szCs w:val="24"/>
        </w:rPr>
        <w:t xml:space="preserve">agriculture </w:t>
      </w:r>
      <w:r w:rsidR="006043A0">
        <w:rPr>
          <w:rFonts w:ascii="Times New Roman" w:hAnsi="Times New Roman" w:cs="Times New Roman"/>
          <w:sz w:val="24"/>
          <w:szCs w:val="24"/>
        </w:rPr>
        <w:fldChar w:fldCharType="begin" w:fldLock="1"/>
      </w:r>
      <w:r w:rsidR="006221E6">
        <w:rPr>
          <w:rFonts w:ascii="Times New Roman" w:hAnsi="Times New Roman" w:cs="Times New Roman"/>
          <w:sz w:val="24"/>
          <w:szCs w:val="24"/>
        </w:rPr>
        <w:instrText>ADDIN CSL_CITATION { "citationItems" : [ { "id" : "ITEM-1", "itemData" : { "DOI" : "10.1098/rstb.2015.0316", "author" : [ { "dropping-particle" : "", "family" : "Estes", "given" : "Lyndon", "non-dropping-particle" : "", "parse-names" : false, "suffix" : "" }, { "dropping-particle" : "", "family" : "Searchinger", "given" : "Tim", "non-dropping-particle" : "", "parse-names" : false, "suffix" : "" }, { "dropping-particle" : "", "family" : "Tian", "given" : "Di", "non-dropping-particle" : "", "parse-names" : false, "suffix" : "" }, { "dropping-particle" : "", "family" : "Kehoe", "given" : "Laura", "non-dropping-particle" : "", "parse-names" : false, "suffix" : "" } ], "container-title" : "Philosophical Transactions of The Royal Society B Biological Sciences", "id" : "ITEM-1", "issue" : "April 2017", "issued" : { "date-parts" : [ [ "2016" ] ] }, "page" : "18", "title" : "Reconciling agriculture, carbon, and biodiversity in a savanna transformation frontier", "type" : "article-journal" }, "uris" : [ "http://www.mendeley.com/documents/?uuid=c8020e0e-5671-403f-a806-b4be5d3b2b71" ] } ], "mendeley" : { "formattedCitation" : "(Estes, Searchinger, Tian, &amp; Kehoe, 2016)", "plainTextFormattedCitation" : "(Estes, Searchinger, Tian, &amp; Kehoe, 2016)", "previouslyFormattedCitation" : "(Estes, Searchinger, Tian, &amp; Kehoe, 2016)" }, "properties" : { "noteIndex" : 0 }, "schema" : "https://github.com/citation-style-language/schema/raw/master/csl-citation.json" }</w:instrText>
      </w:r>
      <w:r w:rsidR="006043A0">
        <w:rPr>
          <w:rFonts w:ascii="Times New Roman" w:hAnsi="Times New Roman" w:cs="Times New Roman"/>
          <w:sz w:val="24"/>
          <w:szCs w:val="24"/>
        </w:rPr>
        <w:fldChar w:fldCharType="separate"/>
      </w:r>
      <w:r w:rsidR="006043A0" w:rsidRPr="006043A0">
        <w:rPr>
          <w:rFonts w:ascii="Times New Roman" w:hAnsi="Times New Roman" w:cs="Times New Roman"/>
          <w:noProof/>
          <w:sz w:val="24"/>
          <w:szCs w:val="24"/>
        </w:rPr>
        <w:t xml:space="preserve">(Estes, </w:t>
      </w:r>
      <w:r w:rsidR="006043A0" w:rsidRPr="006043A0">
        <w:rPr>
          <w:rFonts w:ascii="Times New Roman" w:hAnsi="Times New Roman" w:cs="Times New Roman"/>
          <w:noProof/>
          <w:sz w:val="24"/>
          <w:szCs w:val="24"/>
        </w:rPr>
        <w:lastRenderedPageBreak/>
        <w:t>Searchinger, Tian, &amp; Kehoe, 2016)</w:t>
      </w:r>
      <w:r w:rsidR="006043A0">
        <w:rPr>
          <w:rFonts w:ascii="Times New Roman" w:hAnsi="Times New Roman" w:cs="Times New Roman"/>
          <w:sz w:val="24"/>
          <w:szCs w:val="24"/>
        </w:rPr>
        <w:fldChar w:fldCharType="end"/>
      </w:r>
      <w:r w:rsidR="00E1692C">
        <w:rPr>
          <w:rFonts w:ascii="Times New Roman" w:hAnsi="Times New Roman" w:cs="Times New Roman"/>
          <w:sz w:val="24"/>
          <w:szCs w:val="24"/>
        </w:rPr>
        <w:t xml:space="preserve">. </w:t>
      </w:r>
      <w:r w:rsidR="00DC5821">
        <w:rPr>
          <w:rFonts w:ascii="Times New Roman" w:hAnsi="Times New Roman" w:cs="Times New Roman"/>
          <w:sz w:val="24"/>
          <w:szCs w:val="24"/>
        </w:rPr>
        <w:t xml:space="preserve">Pixels that were persistent agriculture were also excluded. </w:t>
      </w:r>
      <w:r w:rsidR="00E1692C">
        <w:rPr>
          <w:rFonts w:ascii="Times New Roman" w:hAnsi="Times New Roman" w:cs="Times New Roman"/>
          <w:sz w:val="24"/>
          <w:szCs w:val="24"/>
        </w:rPr>
        <w:t>I then extracted the same sample of pixels from each of the driver variable maps. I then analyzed each driver variable using the Total Operating Characteristic (TOC), which is similar to the ROC, but contains strictly more information (</w:t>
      </w:r>
      <w:r w:rsidR="00E1692C" w:rsidRPr="0066724C">
        <w:rPr>
          <w:rFonts w:ascii="Times New Roman" w:hAnsi="Times New Roman" w:cs="Times New Roman"/>
          <w:noProof/>
          <w:sz w:val="24"/>
          <w:szCs w:val="24"/>
        </w:rPr>
        <w:t>Pontius Jr. &amp; Si, 2014</w:t>
      </w:r>
      <w:r w:rsidR="00E1692C">
        <w:rPr>
          <w:rFonts w:ascii="Times New Roman" w:hAnsi="Times New Roman" w:cs="Times New Roman"/>
          <w:noProof/>
          <w:sz w:val="24"/>
          <w:szCs w:val="24"/>
        </w:rPr>
        <w:t>)</w:t>
      </w:r>
      <w:r w:rsidR="00E1692C">
        <w:rPr>
          <w:rFonts w:ascii="Times New Roman" w:hAnsi="Times New Roman" w:cs="Times New Roman"/>
          <w:sz w:val="24"/>
          <w:szCs w:val="24"/>
        </w:rPr>
        <w:t>. The TOC measures how well a variable diagnosis a presence of something. In this case how well the variable maps diagnose presence of gain of agriculture. Below is an example TOC chart from Professor Pontius (</w:t>
      </w:r>
      <w:r w:rsidR="00E1692C" w:rsidRPr="0066724C">
        <w:rPr>
          <w:rFonts w:ascii="Times New Roman" w:hAnsi="Times New Roman" w:cs="Times New Roman"/>
          <w:noProof/>
          <w:sz w:val="24"/>
          <w:szCs w:val="24"/>
        </w:rPr>
        <w:t>Pontius Jr. &amp; Si, 2014</w:t>
      </w:r>
      <w:r w:rsidR="00E1692C">
        <w:rPr>
          <w:rFonts w:ascii="Times New Roman" w:hAnsi="Times New Roman" w:cs="Times New Roman"/>
          <w:noProof/>
          <w:sz w:val="24"/>
          <w:szCs w:val="24"/>
        </w:rPr>
        <w:t>)</w:t>
      </w:r>
      <w:r w:rsidR="009D3FB2">
        <w:rPr>
          <w:rFonts w:ascii="Times New Roman" w:hAnsi="Times New Roman" w:cs="Times New Roman"/>
          <w:noProof/>
          <w:sz w:val="24"/>
          <w:szCs w:val="24"/>
        </w:rPr>
        <w:t xml:space="preserve"> (see figure 2)</w:t>
      </w:r>
      <w:r w:rsidR="00E1692C">
        <w:rPr>
          <w:rFonts w:ascii="Times New Roman" w:hAnsi="Times New Roman" w:cs="Times New Roman"/>
          <w:sz w:val="24"/>
          <w:szCs w:val="24"/>
        </w:rPr>
        <w:t xml:space="preserve">. It shows how the TOC reveals the hits, misses, false alarms and correct rejections for each threshold. The correct quantity of presence can be found at the point where the Hits+Misses line meets the maximum line. The maximum line represents the perfectly correct diagnosis. The closer the curve is to the maximum line, the better the variable in question predicts the change in question. The TOC curve also produces an Area Under the Curve (AUC) identical to that of the ROC. The AUC is a summary statistic which ranges from 0 to 1 where 1 is perfectly correct and 0.5 is equivalent to that of an expected random line </w:t>
      </w:r>
      <w:r w:rsidR="00E1692C">
        <w:rPr>
          <w:rFonts w:ascii="Times New Roman" w:hAnsi="Times New Roman" w:cs="Times New Roman"/>
          <w:sz w:val="24"/>
          <w:szCs w:val="24"/>
        </w:rPr>
        <w:fldChar w:fldCharType="begin" w:fldLock="1"/>
      </w:r>
      <w:r w:rsidR="00E1692C">
        <w:rPr>
          <w:rFonts w:ascii="Times New Roman" w:hAnsi="Times New Roman" w:cs="Times New Roman"/>
          <w:sz w:val="24"/>
          <w:szCs w:val="24"/>
        </w:rPr>
        <w:instrText>ADDIN CSL_CITATION { "citationItems" : [ { "id" : "ITEM-1", "itemData" : { "DOI" : "10.1080/13658816.2013.862623", "ISSN" : "1365-8816", "author" : [ { "dropping-particle" : "", "family" : "Pontius Jr.", "given" : "Robert Gilmore", "non-dropping-particle" : "", "parse-names" : false, "suffix" : "" }, { "dropping-particle" : "", "family" : "Si", "given" : "Kangping", "non-dropping-particle" : "", "parse-names" : false, "suffix" : "" } ], "container-title" : "International Journal of Geographical Information Science", "id" : "ITEM-1", "issue" : "3", "issued" : { "date-parts" : [ [ "2014" ] ] }, "page" : "570-583", "publisher" : "Taylor &amp; Francis", "title" : "The total operating characteristic to measure diagnostic ability for multiple thresholds", "type" : "article-journal", "volume" : "28" }, "uris" : [ "http://www.mendeley.com/documents/?uuid=eb7c8b01-985b-49e5-adb6-6d891ccee898" ] } ], "mendeley" : { "formattedCitation" : "(Pontius Jr. &amp; Si, 2014)", "plainTextFormattedCitation" : "(Pontius Jr. &amp; Si, 2014)", "previouslyFormattedCitation" : "(Pontius Jr. &amp; Si, 2014)" }, "properties" : { "noteIndex" : 0 }, "schema" : "https://github.com/citation-style-language/schema/raw/master/csl-citation.json" }</w:instrText>
      </w:r>
      <w:r w:rsidR="00E1692C">
        <w:rPr>
          <w:rFonts w:ascii="Times New Roman" w:hAnsi="Times New Roman" w:cs="Times New Roman"/>
          <w:sz w:val="24"/>
          <w:szCs w:val="24"/>
        </w:rPr>
        <w:fldChar w:fldCharType="separate"/>
      </w:r>
      <w:r w:rsidR="00E1692C" w:rsidRPr="0066724C">
        <w:rPr>
          <w:rFonts w:ascii="Times New Roman" w:hAnsi="Times New Roman" w:cs="Times New Roman"/>
          <w:noProof/>
          <w:sz w:val="24"/>
          <w:szCs w:val="24"/>
        </w:rPr>
        <w:t>(Pontius Jr. &amp; Si, 2014)</w:t>
      </w:r>
      <w:r w:rsidR="00E1692C">
        <w:rPr>
          <w:rFonts w:ascii="Times New Roman" w:hAnsi="Times New Roman" w:cs="Times New Roman"/>
          <w:sz w:val="24"/>
          <w:szCs w:val="24"/>
        </w:rPr>
        <w:fldChar w:fldCharType="end"/>
      </w:r>
      <w:r w:rsidR="00E1692C">
        <w:rPr>
          <w:rFonts w:ascii="Times New Roman" w:hAnsi="Times New Roman" w:cs="Times New Roman"/>
          <w:sz w:val="24"/>
          <w:szCs w:val="24"/>
        </w:rPr>
        <w:t>.</w:t>
      </w:r>
    </w:p>
    <w:p w14:paraId="5915184F" w14:textId="77777777" w:rsidR="00192573" w:rsidRDefault="00192573" w:rsidP="009D3FB2">
      <w:pPr>
        <w:spacing w:after="0" w:line="240" w:lineRule="auto"/>
        <w:rPr>
          <w:rFonts w:ascii="Times New Roman" w:hAnsi="Times New Roman" w:cs="Times New Roman"/>
        </w:rPr>
      </w:pPr>
    </w:p>
    <w:p w14:paraId="0FCE6E90" w14:textId="77777777" w:rsidR="00192573" w:rsidRDefault="00192573" w:rsidP="009D3FB2">
      <w:pPr>
        <w:spacing w:after="0" w:line="240" w:lineRule="auto"/>
        <w:rPr>
          <w:rFonts w:ascii="Times New Roman" w:hAnsi="Times New Roman" w:cs="Times New Roman"/>
        </w:rPr>
      </w:pPr>
    </w:p>
    <w:p w14:paraId="7CB8ECEB" w14:textId="77777777" w:rsidR="00192573" w:rsidRDefault="00192573" w:rsidP="009D3FB2">
      <w:pPr>
        <w:spacing w:after="0" w:line="240" w:lineRule="auto"/>
        <w:rPr>
          <w:rFonts w:ascii="Times New Roman" w:hAnsi="Times New Roman" w:cs="Times New Roman"/>
        </w:rPr>
      </w:pPr>
    </w:p>
    <w:p w14:paraId="6E5AC6BB" w14:textId="77777777" w:rsidR="00192573" w:rsidRDefault="00192573" w:rsidP="009D3FB2">
      <w:pPr>
        <w:spacing w:after="0" w:line="240" w:lineRule="auto"/>
        <w:rPr>
          <w:rFonts w:ascii="Times New Roman" w:hAnsi="Times New Roman" w:cs="Times New Roman"/>
        </w:rPr>
      </w:pPr>
    </w:p>
    <w:p w14:paraId="46863DF1" w14:textId="77777777" w:rsidR="00192573" w:rsidRDefault="00192573" w:rsidP="009D3FB2">
      <w:pPr>
        <w:spacing w:after="0" w:line="240" w:lineRule="auto"/>
        <w:rPr>
          <w:rFonts w:ascii="Times New Roman" w:hAnsi="Times New Roman" w:cs="Times New Roman"/>
        </w:rPr>
      </w:pPr>
    </w:p>
    <w:p w14:paraId="6377B95B" w14:textId="77777777" w:rsidR="00192573" w:rsidRDefault="00192573" w:rsidP="009D3FB2">
      <w:pPr>
        <w:spacing w:after="0" w:line="240" w:lineRule="auto"/>
        <w:rPr>
          <w:rFonts w:ascii="Times New Roman" w:hAnsi="Times New Roman" w:cs="Times New Roman"/>
        </w:rPr>
      </w:pPr>
    </w:p>
    <w:p w14:paraId="4DB1BFCB" w14:textId="77777777" w:rsidR="00192573" w:rsidRDefault="00192573" w:rsidP="009D3FB2">
      <w:pPr>
        <w:spacing w:after="0" w:line="240" w:lineRule="auto"/>
        <w:rPr>
          <w:rFonts w:ascii="Times New Roman" w:hAnsi="Times New Roman" w:cs="Times New Roman"/>
        </w:rPr>
      </w:pPr>
    </w:p>
    <w:p w14:paraId="1AE7CB2B" w14:textId="77777777" w:rsidR="00192573" w:rsidRDefault="00192573" w:rsidP="009D3FB2">
      <w:pPr>
        <w:spacing w:after="0" w:line="240" w:lineRule="auto"/>
        <w:rPr>
          <w:rFonts w:ascii="Times New Roman" w:hAnsi="Times New Roman" w:cs="Times New Roman"/>
        </w:rPr>
      </w:pPr>
    </w:p>
    <w:p w14:paraId="214F304F" w14:textId="77777777" w:rsidR="00192573" w:rsidRDefault="00192573" w:rsidP="009D3FB2">
      <w:pPr>
        <w:spacing w:after="0" w:line="240" w:lineRule="auto"/>
        <w:rPr>
          <w:rFonts w:ascii="Times New Roman" w:hAnsi="Times New Roman" w:cs="Times New Roman"/>
        </w:rPr>
      </w:pPr>
    </w:p>
    <w:p w14:paraId="0305B6B9" w14:textId="77777777" w:rsidR="00192573" w:rsidRDefault="00192573" w:rsidP="009D3FB2">
      <w:pPr>
        <w:spacing w:after="0" w:line="240" w:lineRule="auto"/>
        <w:rPr>
          <w:rFonts w:ascii="Times New Roman" w:hAnsi="Times New Roman" w:cs="Times New Roman"/>
        </w:rPr>
      </w:pPr>
    </w:p>
    <w:p w14:paraId="4655F1F1" w14:textId="77777777" w:rsidR="00192573" w:rsidRDefault="00192573" w:rsidP="009D3FB2">
      <w:pPr>
        <w:spacing w:after="0" w:line="240" w:lineRule="auto"/>
        <w:rPr>
          <w:rFonts w:ascii="Times New Roman" w:hAnsi="Times New Roman" w:cs="Times New Roman"/>
        </w:rPr>
      </w:pPr>
    </w:p>
    <w:p w14:paraId="0067F6FB" w14:textId="77777777" w:rsidR="00192573" w:rsidRDefault="00192573" w:rsidP="009D3FB2">
      <w:pPr>
        <w:spacing w:after="0" w:line="240" w:lineRule="auto"/>
        <w:rPr>
          <w:rFonts w:ascii="Times New Roman" w:hAnsi="Times New Roman" w:cs="Times New Roman"/>
        </w:rPr>
      </w:pPr>
    </w:p>
    <w:p w14:paraId="1EEC6CCD" w14:textId="77777777" w:rsidR="00192573" w:rsidRDefault="00192573" w:rsidP="009D3FB2">
      <w:pPr>
        <w:spacing w:after="0" w:line="240" w:lineRule="auto"/>
        <w:rPr>
          <w:rFonts w:ascii="Times New Roman" w:hAnsi="Times New Roman" w:cs="Times New Roman"/>
        </w:rPr>
      </w:pPr>
    </w:p>
    <w:p w14:paraId="4F9C153F" w14:textId="77777777" w:rsidR="00192573" w:rsidRDefault="00192573" w:rsidP="009D3FB2">
      <w:pPr>
        <w:spacing w:after="0" w:line="240" w:lineRule="auto"/>
        <w:rPr>
          <w:rFonts w:ascii="Times New Roman" w:hAnsi="Times New Roman" w:cs="Times New Roman"/>
        </w:rPr>
      </w:pPr>
    </w:p>
    <w:p w14:paraId="0F9FDC77" w14:textId="77777777" w:rsidR="00192573" w:rsidRDefault="00192573" w:rsidP="009D3FB2">
      <w:pPr>
        <w:spacing w:after="0" w:line="240" w:lineRule="auto"/>
        <w:rPr>
          <w:rFonts w:ascii="Times New Roman" w:hAnsi="Times New Roman" w:cs="Times New Roman"/>
        </w:rPr>
      </w:pPr>
    </w:p>
    <w:p w14:paraId="28746F3D" w14:textId="77777777" w:rsidR="00192573" w:rsidRDefault="00192573" w:rsidP="009D3FB2">
      <w:pPr>
        <w:spacing w:after="0" w:line="240" w:lineRule="auto"/>
        <w:rPr>
          <w:rFonts w:ascii="Times New Roman" w:hAnsi="Times New Roman" w:cs="Times New Roman"/>
        </w:rPr>
      </w:pPr>
    </w:p>
    <w:p w14:paraId="03DA125E" w14:textId="77777777" w:rsidR="00D9325F" w:rsidRDefault="00D9325F" w:rsidP="009D3FB2">
      <w:pPr>
        <w:spacing w:after="0" w:line="240" w:lineRule="auto"/>
        <w:rPr>
          <w:rFonts w:ascii="Times New Roman" w:hAnsi="Times New Roman" w:cs="Times New Roman"/>
        </w:rPr>
      </w:pPr>
    </w:p>
    <w:p w14:paraId="2051014C" w14:textId="77777777" w:rsidR="00D9325F" w:rsidRDefault="00D9325F" w:rsidP="009D3FB2">
      <w:pPr>
        <w:spacing w:after="0" w:line="240" w:lineRule="auto"/>
        <w:rPr>
          <w:rFonts w:ascii="Times New Roman" w:hAnsi="Times New Roman" w:cs="Times New Roman"/>
        </w:rPr>
      </w:pPr>
    </w:p>
    <w:p w14:paraId="507A882A" w14:textId="77777777" w:rsidR="00D9325F" w:rsidRDefault="00D9325F" w:rsidP="009D3FB2">
      <w:pPr>
        <w:spacing w:after="0" w:line="240" w:lineRule="auto"/>
        <w:rPr>
          <w:rFonts w:ascii="Times New Roman" w:hAnsi="Times New Roman" w:cs="Times New Roman"/>
        </w:rPr>
      </w:pPr>
    </w:p>
    <w:p w14:paraId="4A7D2828" w14:textId="77777777" w:rsidR="00D9325F" w:rsidRDefault="00D9325F" w:rsidP="009D3FB2">
      <w:pPr>
        <w:spacing w:after="0" w:line="240" w:lineRule="auto"/>
        <w:rPr>
          <w:rFonts w:ascii="Times New Roman" w:hAnsi="Times New Roman" w:cs="Times New Roman"/>
        </w:rPr>
      </w:pPr>
    </w:p>
    <w:p w14:paraId="7F81ECE2" w14:textId="4C21DF37" w:rsidR="00E1692C" w:rsidRPr="009D3FB2" w:rsidRDefault="00E1692C" w:rsidP="009D3FB2">
      <w:pPr>
        <w:spacing w:after="0" w:line="240" w:lineRule="auto"/>
        <w:rPr>
          <w:rFonts w:ascii="Times New Roman" w:hAnsi="Times New Roman" w:cs="Times New Roman"/>
        </w:rPr>
      </w:pPr>
      <w:bookmarkStart w:id="0" w:name="_GoBack"/>
      <w:bookmarkEnd w:id="0"/>
      <w:r w:rsidRPr="009D3FB2">
        <w:rPr>
          <w:rFonts w:ascii="Times New Roman" w:hAnsi="Times New Roman" w:cs="Times New Roman"/>
        </w:rPr>
        <w:lastRenderedPageBreak/>
        <w:t>Figure</w:t>
      </w:r>
      <w:r w:rsidR="0055298B" w:rsidRPr="009D3FB2">
        <w:rPr>
          <w:rFonts w:ascii="Times New Roman" w:hAnsi="Times New Roman" w:cs="Times New Roman"/>
        </w:rPr>
        <w:t xml:space="preserve"> 2</w:t>
      </w:r>
      <w:r w:rsidR="009D3FB2" w:rsidRPr="009D3FB2">
        <w:rPr>
          <w:rFonts w:ascii="Times New Roman" w:hAnsi="Times New Roman" w:cs="Times New Roman"/>
        </w:rPr>
        <w:t>: Explanatory example TOC graph</w:t>
      </w:r>
      <w:r w:rsidR="00020A89">
        <w:rPr>
          <w:rFonts w:ascii="Times New Roman" w:hAnsi="Times New Roman" w:cs="Times New Roman"/>
        </w:rPr>
        <w:t xml:space="preserve"> from (Pontius &amp; Si, 2014)</w:t>
      </w:r>
    </w:p>
    <w:p w14:paraId="6ACA7327" w14:textId="39428D47" w:rsidR="009D3FB2" w:rsidRDefault="009D3FB2" w:rsidP="00E1692C">
      <w:pPr>
        <w:spacing w:after="0" w:line="480" w:lineRule="auto"/>
        <w:rPr>
          <w:rFonts w:ascii="Times New Roman" w:hAnsi="Times New Roman" w:cs="Times New Roman"/>
          <w:sz w:val="24"/>
          <w:szCs w:val="24"/>
        </w:rPr>
      </w:pPr>
      <w:r>
        <w:rPr>
          <w:noProof/>
        </w:rPr>
        <w:drawing>
          <wp:inline distT="0" distB="0" distL="0" distR="0" wp14:anchorId="4932B642" wp14:editId="12F1F5C4">
            <wp:extent cx="4229100" cy="30182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9168" cy="3032526"/>
                    </a:xfrm>
                    <a:prstGeom prst="rect">
                      <a:avLst/>
                    </a:prstGeom>
                  </pic:spPr>
                </pic:pic>
              </a:graphicData>
            </a:graphic>
          </wp:inline>
        </w:drawing>
      </w:r>
    </w:p>
    <w:p w14:paraId="36698B3F" w14:textId="3B5487BF" w:rsidR="00E1692C" w:rsidRDefault="00E1692C" w:rsidP="00E1692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used the Land Change Modeler (LCM) in TerrSet to model the gain of agriculture in 2015 using the </w:t>
      </w:r>
      <w:r w:rsidR="006A686B">
        <w:rPr>
          <w:rFonts w:ascii="Times New Roman" w:hAnsi="Times New Roman" w:cs="Times New Roman"/>
          <w:sz w:val="24"/>
          <w:szCs w:val="24"/>
        </w:rPr>
        <w:t xml:space="preserve">maps of </w:t>
      </w:r>
      <w:r>
        <w:rPr>
          <w:rFonts w:ascii="Times New Roman" w:hAnsi="Times New Roman" w:cs="Times New Roman"/>
          <w:sz w:val="24"/>
          <w:szCs w:val="24"/>
        </w:rPr>
        <w:t xml:space="preserve">agriculture in 2000 and 2010. I modeled only the transition from not-agriculture to agriculture. I first did this with all the variables then with only the four variables that were shown to have strong relationships with gain of agriculture. I transformed the “distance from” variables using the natural log function and the soil index with the evidence likelihood transformation. I used the Multi-Layered Perceptron (MLP) to calculate the transition potentials. I also used the transition potential maps produced by the LCM as input variables to produce TOC graphs. I then </w:t>
      </w:r>
      <w:r w:rsidR="00A42E8A">
        <w:rPr>
          <w:rFonts w:ascii="Times New Roman" w:hAnsi="Times New Roman" w:cs="Times New Roman"/>
          <w:sz w:val="24"/>
          <w:szCs w:val="24"/>
        </w:rPr>
        <w:t xml:space="preserve">extrapolated </w:t>
      </w:r>
      <w:r>
        <w:rPr>
          <w:rFonts w:ascii="Times New Roman" w:hAnsi="Times New Roman" w:cs="Times New Roman"/>
          <w:sz w:val="24"/>
          <w:szCs w:val="24"/>
        </w:rPr>
        <w:t xml:space="preserve">the land cover </w:t>
      </w:r>
      <w:r w:rsidR="00A42E8A">
        <w:rPr>
          <w:rFonts w:ascii="Times New Roman" w:hAnsi="Times New Roman" w:cs="Times New Roman"/>
          <w:sz w:val="24"/>
          <w:szCs w:val="24"/>
        </w:rPr>
        <w:t xml:space="preserve">change from 2010 to </w:t>
      </w:r>
      <w:r>
        <w:rPr>
          <w:rFonts w:ascii="Times New Roman" w:hAnsi="Times New Roman" w:cs="Times New Roman"/>
          <w:sz w:val="24"/>
          <w:szCs w:val="24"/>
        </w:rPr>
        <w:t xml:space="preserve">2015 using all variables and validated this against the actual land cover </w:t>
      </w:r>
      <w:r w:rsidR="00A42E8A">
        <w:rPr>
          <w:rFonts w:ascii="Times New Roman" w:hAnsi="Times New Roman" w:cs="Times New Roman"/>
          <w:sz w:val="24"/>
          <w:szCs w:val="24"/>
        </w:rPr>
        <w:t xml:space="preserve">change </w:t>
      </w:r>
      <w:r>
        <w:rPr>
          <w:rFonts w:ascii="Times New Roman" w:hAnsi="Times New Roman" w:cs="Times New Roman"/>
          <w:sz w:val="24"/>
          <w:szCs w:val="24"/>
        </w:rPr>
        <w:t xml:space="preserve">from </w:t>
      </w:r>
      <w:r w:rsidR="00A42E8A">
        <w:rPr>
          <w:rFonts w:ascii="Times New Roman" w:hAnsi="Times New Roman" w:cs="Times New Roman"/>
          <w:sz w:val="24"/>
          <w:szCs w:val="24"/>
        </w:rPr>
        <w:t xml:space="preserve">2010 to </w:t>
      </w:r>
      <w:r>
        <w:rPr>
          <w:rFonts w:ascii="Times New Roman" w:hAnsi="Times New Roman" w:cs="Times New Roman"/>
          <w:sz w:val="24"/>
          <w:szCs w:val="24"/>
        </w:rPr>
        <w:t>2015</w:t>
      </w:r>
      <w:r w:rsidR="00306ED0">
        <w:rPr>
          <w:rFonts w:ascii="Times New Roman" w:hAnsi="Times New Roman" w:cs="Times New Roman"/>
          <w:sz w:val="24"/>
          <w:szCs w:val="24"/>
        </w:rPr>
        <w:t>, creating maps of hits misses and false alarms for gain of agriculture and then a graph depicting quantities and exchanges for those categories as well as calculating the total percent correct</w:t>
      </w:r>
      <w:r>
        <w:rPr>
          <w:rFonts w:ascii="Times New Roman" w:hAnsi="Times New Roman" w:cs="Times New Roman"/>
          <w:sz w:val="24"/>
          <w:szCs w:val="24"/>
        </w:rPr>
        <w:t>. I then created a predicted land cover map for 2020 using the data from 2010 and 2015 as I thought it was important to use the most recent known agriculture data given that distance to existing agriculture is so important to the prediction.</w:t>
      </w:r>
      <w:r w:rsidR="00FC5DC0">
        <w:rPr>
          <w:rFonts w:ascii="Times New Roman" w:hAnsi="Times New Roman" w:cs="Times New Roman"/>
          <w:sz w:val="24"/>
          <w:szCs w:val="24"/>
        </w:rPr>
        <w:t xml:space="preserve"> I then </w:t>
      </w:r>
      <w:r w:rsidR="00B72BAA">
        <w:rPr>
          <w:rFonts w:ascii="Times New Roman" w:hAnsi="Times New Roman" w:cs="Times New Roman"/>
          <w:sz w:val="24"/>
          <w:szCs w:val="24"/>
        </w:rPr>
        <w:t>updated the scatterplot</w:t>
      </w:r>
      <w:r w:rsidR="00FC5DC0">
        <w:rPr>
          <w:rFonts w:ascii="Times New Roman" w:hAnsi="Times New Roman" w:cs="Times New Roman"/>
          <w:sz w:val="24"/>
          <w:szCs w:val="24"/>
        </w:rPr>
        <w:t xml:space="preserve"> showing the </w:t>
      </w:r>
      <w:r w:rsidR="00FC5DC0">
        <w:rPr>
          <w:rFonts w:ascii="Times New Roman" w:hAnsi="Times New Roman" w:cs="Times New Roman"/>
          <w:sz w:val="24"/>
          <w:szCs w:val="24"/>
        </w:rPr>
        <w:lastRenderedPageBreak/>
        <w:t>percentage of Zambia that is agriculture</w:t>
      </w:r>
      <w:r w:rsidR="00B72BAA">
        <w:rPr>
          <w:rFonts w:ascii="Times New Roman" w:hAnsi="Times New Roman" w:cs="Times New Roman"/>
          <w:sz w:val="24"/>
          <w:szCs w:val="24"/>
        </w:rPr>
        <w:t xml:space="preserve"> to show</w:t>
      </w:r>
      <w:r w:rsidR="00FC5DC0">
        <w:rPr>
          <w:rFonts w:ascii="Times New Roman" w:hAnsi="Times New Roman" w:cs="Times New Roman"/>
          <w:sz w:val="24"/>
          <w:szCs w:val="24"/>
        </w:rPr>
        <w:t xml:space="preserve"> predicted</w:t>
      </w:r>
      <w:r w:rsidR="00B72BAA">
        <w:rPr>
          <w:rFonts w:ascii="Times New Roman" w:hAnsi="Times New Roman" w:cs="Times New Roman"/>
          <w:sz w:val="24"/>
          <w:szCs w:val="24"/>
        </w:rPr>
        <w:t xml:space="preserve"> agriculture</w:t>
      </w:r>
      <w:r w:rsidR="00FC5DC0">
        <w:rPr>
          <w:rFonts w:ascii="Times New Roman" w:hAnsi="Times New Roman" w:cs="Times New Roman"/>
          <w:sz w:val="24"/>
          <w:szCs w:val="24"/>
        </w:rPr>
        <w:t xml:space="preserve"> for</w:t>
      </w:r>
      <w:r w:rsidR="00B72BAA">
        <w:rPr>
          <w:rFonts w:ascii="Times New Roman" w:hAnsi="Times New Roman" w:cs="Times New Roman"/>
          <w:sz w:val="24"/>
          <w:szCs w:val="24"/>
        </w:rPr>
        <w:t xml:space="preserve"> </w:t>
      </w:r>
      <w:r w:rsidR="00FC5DC0">
        <w:rPr>
          <w:rFonts w:ascii="Times New Roman" w:hAnsi="Times New Roman" w:cs="Times New Roman"/>
          <w:sz w:val="24"/>
          <w:szCs w:val="24"/>
        </w:rPr>
        <w:t>2015 and 2020. These are important to showing how gain quantity of agriculture is predicted since my land change model only models gain of agriculture.</w:t>
      </w:r>
    </w:p>
    <w:p w14:paraId="0A0FAE28" w14:textId="26838351" w:rsidR="00E1692C" w:rsidRDefault="002A137F" w:rsidP="00E1692C">
      <w:pPr>
        <w:spacing w:after="0" w:line="480" w:lineRule="auto"/>
        <w:rPr>
          <w:rFonts w:ascii="Times New Roman" w:hAnsi="Times New Roman" w:cs="Times New Roman"/>
          <w:sz w:val="24"/>
          <w:szCs w:val="24"/>
        </w:rPr>
      </w:pPr>
      <w:r w:rsidRPr="002A137F">
        <w:rPr>
          <w:rFonts w:ascii="Times New Roman" w:hAnsi="Times New Roman" w:cs="Times New Roman"/>
          <w:sz w:val="24"/>
          <w:szCs w:val="24"/>
          <w:u w:val="single"/>
        </w:rPr>
        <w:t>Chapter 3, Results</w:t>
      </w:r>
      <w:r>
        <w:rPr>
          <w:rFonts w:ascii="Times New Roman" w:hAnsi="Times New Roman" w:cs="Times New Roman"/>
          <w:sz w:val="24"/>
          <w:szCs w:val="24"/>
        </w:rPr>
        <w:t>:</w:t>
      </w:r>
    </w:p>
    <w:p w14:paraId="4C6E96D5" w14:textId="63FEBF51" w:rsidR="002F562F" w:rsidRDefault="002A137F" w:rsidP="002F562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562F">
        <w:rPr>
          <w:rFonts w:ascii="Times New Roman" w:hAnsi="Times New Roman" w:cs="Times New Roman"/>
          <w:sz w:val="24"/>
          <w:szCs w:val="24"/>
        </w:rPr>
        <w:t>There was a net gain of agriculture from 2000-2010</w:t>
      </w:r>
      <w:r w:rsidR="0055298B">
        <w:rPr>
          <w:rFonts w:ascii="Times New Roman" w:hAnsi="Times New Roman" w:cs="Times New Roman"/>
          <w:sz w:val="24"/>
          <w:szCs w:val="24"/>
        </w:rPr>
        <w:t xml:space="preserve"> (Figure 3</w:t>
      </w:r>
      <w:r w:rsidR="002F562F">
        <w:rPr>
          <w:rFonts w:ascii="Times New Roman" w:hAnsi="Times New Roman" w:cs="Times New Roman"/>
          <w:sz w:val="24"/>
          <w:szCs w:val="24"/>
        </w:rPr>
        <w:t xml:space="preserve">). Then there was a bigger </w:t>
      </w:r>
      <w:r w:rsidR="00923CB1">
        <w:rPr>
          <w:rFonts w:ascii="Times New Roman" w:hAnsi="Times New Roman" w:cs="Times New Roman"/>
          <w:sz w:val="24"/>
          <w:szCs w:val="24"/>
        </w:rPr>
        <w:t xml:space="preserve">net </w:t>
      </w:r>
      <w:r w:rsidR="002F562F">
        <w:rPr>
          <w:rFonts w:ascii="Times New Roman" w:hAnsi="Times New Roman" w:cs="Times New Roman"/>
          <w:sz w:val="24"/>
          <w:szCs w:val="24"/>
        </w:rPr>
        <w:t xml:space="preserve">gain of agriculture from 2010-2015. </w:t>
      </w:r>
      <w:r w:rsidR="00B72BAA">
        <w:rPr>
          <w:rFonts w:ascii="Times New Roman" w:hAnsi="Times New Roman" w:cs="Times New Roman"/>
          <w:sz w:val="24"/>
          <w:szCs w:val="24"/>
        </w:rPr>
        <w:t>The exchange categories are</w:t>
      </w:r>
      <w:r w:rsidR="002F562F">
        <w:rPr>
          <w:rFonts w:ascii="Times New Roman" w:hAnsi="Times New Roman" w:cs="Times New Roman"/>
          <w:sz w:val="24"/>
          <w:szCs w:val="24"/>
        </w:rPr>
        <w:t xml:space="preserve"> larger for the first time interval than for the second</w:t>
      </w:r>
      <w:r w:rsidR="009C28CD">
        <w:rPr>
          <w:rFonts w:ascii="Times New Roman" w:hAnsi="Times New Roman" w:cs="Times New Roman"/>
          <w:sz w:val="24"/>
          <w:szCs w:val="24"/>
        </w:rPr>
        <w:t xml:space="preserve"> (figure 3</w:t>
      </w:r>
      <w:r w:rsidR="000953BF">
        <w:rPr>
          <w:rFonts w:ascii="Times New Roman" w:hAnsi="Times New Roman" w:cs="Times New Roman"/>
          <w:sz w:val="24"/>
          <w:szCs w:val="24"/>
        </w:rPr>
        <w:t>, also appendix 5</w:t>
      </w:r>
      <w:r w:rsidR="009C28CD">
        <w:rPr>
          <w:rFonts w:ascii="Times New Roman" w:hAnsi="Times New Roman" w:cs="Times New Roman"/>
          <w:sz w:val="24"/>
          <w:szCs w:val="24"/>
        </w:rPr>
        <w:t>)</w:t>
      </w:r>
      <w:r w:rsidR="002F562F">
        <w:rPr>
          <w:rFonts w:ascii="Times New Roman" w:hAnsi="Times New Roman" w:cs="Times New Roman"/>
          <w:sz w:val="24"/>
          <w:szCs w:val="24"/>
        </w:rPr>
        <w:t>.</w:t>
      </w:r>
      <w:r w:rsidR="00B72BAA">
        <w:rPr>
          <w:rFonts w:ascii="Times New Roman" w:hAnsi="Times New Roman" w:cs="Times New Roman"/>
          <w:sz w:val="24"/>
          <w:szCs w:val="24"/>
        </w:rPr>
        <w:t xml:space="preserve"> This is evidenced by the greater distance between the points representing gross and net gain in 2010 </w:t>
      </w:r>
      <w:r w:rsidR="00923CB1">
        <w:rPr>
          <w:rFonts w:ascii="Times New Roman" w:hAnsi="Times New Roman" w:cs="Times New Roman"/>
          <w:sz w:val="24"/>
          <w:szCs w:val="24"/>
        </w:rPr>
        <w:t>as compared to</w:t>
      </w:r>
      <w:r w:rsidR="00B72BAA">
        <w:rPr>
          <w:rFonts w:ascii="Times New Roman" w:hAnsi="Times New Roman" w:cs="Times New Roman"/>
          <w:sz w:val="24"/>
          <w:szCs w:val="24"/>
        </w:rPr>
        <w:t xml:space="preserve"> 2015. </w:t>
      </w:r>
    </w:p>
    <w:p w14:paraId="499D5606" w14:textId="06ACD3EC" w:rsidR="002F562F" w:rsidRPr="0055298B" w:rsidRDefault="0055298B" w:rsidP="0055298B">
      <w:pPr>
        <w:spacing w:after="0" w:line="240" w:lineRule="auto"/>
        <w:rPr>
          <w:rFonts w:ascii="Times New Roman" w:hAnsi="Times New Roman" w:cs="Times New Roman"/>
        </w:rPr>
      </w:pPr>
      <w:r w:rsidRPr="0055298B">
        <w:rPr>
          <w:rFonts w:ascii="Times New Roman" w:hAnsi="Times New Roman" w:cs="Times New Roman"/>
        </w:rPr>
        <w:t>Figure 3</w:t>
      </w:r>
      <w:r w:rsidR="002F562F" w:rsidRPr="0055298B">
        <w:rPr>
          <w:rFonts w:ascii="Times New Roman" w:hAnsi="Times New Roman" w:cs="Times New Roman"/>
        </w:rPr>
        <w:t xml:space="preserve">: </w:t>
      </w:r>
      <w:r w:rsidR="00B72BAA">
        <w:rPr>
          <w:rFonts w:ascii="Times New Roman" w:hAnsi="Times New Roman" w:cs="Times New Roman"/>
        </w:rPr>
        <w:t>Scatterplot showing the percentage of Zambia that is agriculture at 2000, 2010 and 2015.</w:t>
      </w:r>
    </w:p>
    <w:p w14:paraId="79362D78" w14:textId="1C8DA4C8" w:rsidR="00BF7F4B" w:rsidRDefault="00923CB1" w:rsidP="002F562F">
      <w:pPr>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35842E26" wp14:editId="0A913081">
                <wp:simplePos x="0" y="0"/>
                <wp:positionH relativeFrom="column">
                  <wp:posOffset>4171950</wp:posOffset>
                </wp:positionH>
                <wp:positionV relativeFrom="paragraph">
                  <wp:posOffset>1845310</wp:posOffset>
                </wp:positionV>
                <wp:extent cx="981075" cy="2476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981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635D3" id="Rectangle 26" o:spid="_x0000_s1026" style="position:absolute;margin-left:328.5pt;margin-top:145.3pt;width:77.2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" fillcolor="white [3212]" strokecolor="white [3212]" strokeweight="1pt"/>
            </w:pict>
          </mc:Fallback>
        </mc:AlternateContent>
      </w:r>
      <w:r w:rsidR="00B72BAA">
        <w:rPr>
          <w:noProof/>
        </w:rPr>
        <w:drawing>
          <wp:inline distT="0" distB="0" distL="0" distR="0" wp14:anchorId="6E416320" wp14:editId="100AE07A">
            <wp:extent cx="5224464" cy="3476625"/>
            <wp:effectExtent l="0" t="0" r="1460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AC07E67" w14:textId="4262F3E5" w:rsidR="002F562F" w:rsidRDefault="009C28CD" w:rsidP="002F562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0953BF">
        <w:rPr>
          <w:rFonts w:ascii="Times New Roman" w:hAnsi="Times New Roman" w:cs="Times New Roman"/>
          <w:sz w:val="24"/>
          <w:szCs w:val="24"/>
        </w:rPr>
        <w:t>increased slope of the line between 2010 and 2015</w:t>
      </w:r>
      <w:r>
        <w:rPr>
          <w:rFonts w:ascii="Times New Roman" w:hAnsi="Times New Roman" w:cs="Times New Roman"/>
          <w:sz w:val="24"/>
          <w:szCs w:val="24"/>
        </w:rPr>
        <w:t xml:space="preserve"> reveals that the gain intensity is even greater in the second time interval.</w:t>
      </w:r>
      <w:r w:rsidR="000953BF">
        <w:rPr>
          <w:rFonts w:ascii="Times New Roman" w:hAnsi="Times New Roman" w:cs="Times New Roman"/>
          <w:sz w:val="24"/>
          <w:szCs w:val="24"/>
        </w:rPr>
        <w:t xml:space="preserve"> The percentage of Zambia that is agriculture in 2010 is ~4.5 and in 2015 is ~9.4, meaning there was a more than doubling of agriculture in that time interval.</w:t>
      </w:r>
      <w:r>
        <w:rPr>
          <w:rFonts w:ascii="Times New Roman" w:hAnsi="Times New Roman" w:cs="Times New Roman"/>
          <w:sz w:val="24"/>
          <w:szCs w:val="24"/>
        </w:rPr>
        <w:t xml:space="preserve"> The </w:t>
      </w:r>
      <w:r w:rsidR="000953BF">
        <w:rPr>
          <w:rFonts w:ascii="Times New Roman" w:hAnsi="Times New Roman" w:cs="Times New Roman"/>
          <w:sz w:val="24"/>
          <w:szCs w:val="24"/>
        </w:rPr>
        <w:t xml:space="preserve">average yearly graph shows </w:t>
      </w:r>
      <w:r>
        <w:rPr>
          <w:rFonts w:ascii="Times New Roman" w:hAnsi="Times New Roman" w:cs="Times New Roman"/>
          <w:sz w:val="24"/>
          <w:szCs w:val="24"/>
        </w:rPr>
        <w:t xml:space="preserve">exchange categories are </w:t>
      </w:r>
      <w:r w:rsidR="000953BF">
        <w:rPr>
          <w:rFonts w:ascii="Times New Roman" w:hAnsi="Times New Roman" w:cs="Times New Roman"/>
          <w:sz w:val="24"/>
          <w:szCs w:val="24"/>
        </w:rPr>
        <w:t>l</w:t>
      </w:r>
      <w:r>
        <w:rPr>
          <w:rFonts w:ascii="Times New Roman" w:hAnsi="Times New Roman" w:cs="Times New Roman"/>
          <w:sz w:val="24"/>
          <w:szCs w:val="24"/>
        </w:rPr>
        <w:t>arger in the first time interval</w:t>
      </w:r>
      <w:r w:rsidR="000953BF">
        <w:rPr>
          <w:rFonts w:ascii="Times New Roman" w:hAnsi="Times New Roman" w:cs="Times New Roman"/>
          <w:sz w:val="24"/>
          <w:szCs w:val="24"/>
        </w:rPr>
        <w:t xml:space="preserve"> on a yearly basis</w:t>
      </w:r>
      <w:r>
        <w:rPr>
          <w:rFonts w:ascii="Times New Roman" w:hAnsi="Times New Roman" w:cs="Times New Roman"/>
          <w:sz w:val="24"/>
          <w:szCs w:val="24"/>
        </w:rPr>
        <w:t xml:space="preserve">, but not as </w:t>
      </w:r>
      <w:r w:rsidR="000953BF">
        <w:rPr>
          <w:rFonts w:ascii="Times New Roman" w:hAnsi="Times New Roman" w:cs="Times New Roman"/>
          <w:sz w:val="24"/>
          <w:szCs w:val="24"/>
        </w:rPr>
        <w:t xml:space="preserve">much </w:t>
      </w:r>
      <w:r>
        <w:rPr>
          <w:rFonts w:ascii="Times New Roman" w:hAnsi="Times New Roman" w:cs="Times New Roman"/>
          <w:sz w:val="24"/>
          <w:szCs w:val="24"/>
        </w:rPr>
        <w:t>large</w:t>
      </w:r>
      <w:r w:rsidR="000953BF">
        <w:rPr>
          <w:rFonts w:ascii="Times New Roman" w:hAnsi="Times New Roman" w:cs="Times New Roman"/>
          <w:sz w:val="24"/>
          <w:szCs w:val="24"/>
        </w:rPr>
        <w:t>r</w:t>
      </w:r>
      <w:r w:rsidR="00923CB1">
        <w:rPr>
          <w:rFonts w:ascii="Times New Roman" w:hAnsi="Times New Roman" w:cs="Times New Roman"/>
          <w:sz w:val="24"/>
          <w:szCs w:val="24"/>
        </w:rPr>
        <w:t xml:space="preserve"> as they appear on the interval basis.</w:t>
      </w:r>
      <w:r>
        <w:rPr>
          <w:rFonts w:ascii="Times New Roman" w:hAnsi="Times New Roman" w:cs="Times New Roman"/>
          <w:sz w:val="24"/>
          <w:szCs w:val="24"/>
        </w:rPr>
        <w:t xml:space="preserve"> (</w:t>
      </w:r>
      <w:r w:rsidR="000953BF">
        <w:rPr>
          <w:rFonts w:ascii="Times New Roman" w:hAnsi="Times New Roman" w:cs="Times New Roman"/>
          <w:sz w:val="24"/>
          <w:szCs w:val="24"/>
        </w:rPr>
        <w:t>appendix 5</w:t>
      </w:r>
      <w:r>
        <w:rPr>
          <w:rFonts w:ascii="Times New Roman" w:hAnsi="Times New Roman" w:cs="Times New Roman"/>
          <w:sz w:val="24"/>
          <w:szCs w:val="24"/>
        </w:rPr>
        <w:t>).</w:t>
      </w:r>
    </w:p>
    <w:p w14:paraId="65BDEE96" w14:textId="17BFCBE6" w:rsidR="002F562F" w:rsidRPr="0055298B" w:rsidRDefault="0055298B" w:rsidP="0055298B">
      <w:pPr>
        <w:spacing w:after="0" w:line="240" w:lineRule="auto"/>
        <w:rPr>
          <w:rFonts w:ascii="Times New Roman" w:hAnsi="Times New Roman" w:cs="Times New Roman"/>
        </w:rPr>
      </w:pPr>
      <w:r w:rsidRPr="0055298B">
        <w:rPr>
          <w:rFonts w:ascii="Times New Roman" w:hAnsi="Times New Roman" w:cs="Times New Roman"/>
        </w:rPr>
        <w:lastRenderedPageBreak/>
        <w:t>Figure 4</w:t>
      </w:r>
      <w:r w:rsidR="002F562F" w:rsidRPr="0055298B">
        <w:rPr>
          <w:rFonts w:ascii="Times New Roman" w:hAnsi="Times New Roman" w:cs="Times New Roman"/>
        </w:rPr>
        <w:t>, Zambia 2000|2010|2015</w:t>
      </w:r>
    </w:p>
    <w:p w14:paraId="4276E109" w14:textId="77777777" w:rsidR="002F562F" w:rsidRDefault="002F562F" w:rsidP="002F562F">
      <w:pPr>
        <w:spacing w:after="0" w:line="480" w:lineRule="auto"/>
        <w:rPr>
          <w:rFonts w:ascii="Times New Roman" w:hAnsi="Times New Roman" w:cs="Times New Roman"/>
          <w:sz w:val="24"/>
          <w:szCs w:val="24"/>
        </w:rPr>
      </w:pPr>
      <w:r>
        <w:rPr>
          <w:noProof/>
        </w:rPr>
        <w:drawing>
          <wp:inline distT="0" distB="0" distL="0" distR="0" wp14:anchorId="72A33BDA" wp14:editId="7B3BFC7F">
            <wp:extent cx="3009900" cy="248602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5A3E95D" w14:textId="799806DD" w:rsidR="002F562F" w:rsidRDefault="002F562F" w:rsidP="002F562F">
      <w:pPr>
        <w:spacing w:after="0" w:line="480" w:lineRule="auto"/>
        <w:rPr>
          <w:rFonts w:ascii="Times New Roman" w:hAnsi="Times New Roman" w:cs="Times New Roman"/>
          <w:sz w:val="24"/>
          <w:szCs w:val="24"/>
        </w:rPr>
      </w:pPr>
      <w:r>
        <w:rPr>
          <w:rFonts w:ascii="Times New Roman" w:hAnsi="Times New Roman" w:cs="Times New Roman"/>
          <w:sz w:val="24"/>
          <w:szCs w:val="24"/>
        </w:rPr>
        <w:t>This graph</w:t>
      </w:r>
      <w:r w:rsidR="0055298B">
        <w:rPr>
          <w:rFonts w:ascii="Times New Roman" w:hAnsi="Times New Roman" w:cs="Times New Roman"/>
          <w:sz w:val="24"/>
          <w:szCs w:val="24"/>
        </w:rPr>
        <w:t xml:space="preserve"> (figure 4)</w:t>
      </w:r>
      <w:r>
        <w:rPr>
          <w:rFonts w:ascii="Times New Roman" w:hAnsi="Times New Roman" w:cs="Times New Roman"/>
          <w:sz w:val="24"/>
          <w:szCs w:val="24"/>
        </w:rPr>
        <w:t xml:space="preserve"> shows that almost 9% of the land area of Zambia changed between 2000 and 2015. Approximately 1% of the pixels toggled, </w:t>
      </w:r>
      <w:r w:rsidR="00332633">
        <w:rPr>
          <w:rFonts w:ascii="Times New Roman" w:hAnsi="Times New Roman" w:cs="Times New Roman"/>
          <w:sz w:val="24"/>
          <w:szCs w:val="24"/>
        </w:rPr>
        <w:t xml:space="preserve">meaning </w:t>
      </w:r>
      <w:r>
        <w:rPr>
          <w:rFonts w:ascii="Times New Roman" w:hAnsi="Times New Roman" w:cs="Times New Roman"/>
          <w:sz w:val="24"/>
          <w:szCs w:val="24"/>
        </w:rPr>
        <w:t>changed and then changed back. A large amount of toggle can indicate error, but in this case may also indicate shifting cultivation.</w:t>
      </w:r>
    </w:p>
    <w:p w14:paraId="5C3C7F7B" w14:textId="47A7F447" w:rsidR="002F562F" w:rsidRPr="0055298B" w:rsidRDefault="0055298B" w:rsidP="0055298B">
      <w:pPr>
        <w:spacing w:after="0" w:line="240" w:lineRule="auto"/>
        <w:rPr>
          <w:rFonts w:ascii="Times New Roman" w:hAnsi="Times New Roman" w:cs="Times New Roman"/>
        </w:rPr>
      </w:pPr>
      <w:r w:rsidRPr="0055298B">
        <w:rPr>
          <w:rFonts w:ascii="Times New Roman" w:hAnsi="Times New Roman" w:cs="Times New Roman"/>
        </w:rPr>
        <w:t>Figure 5</w:t>
      </w:r>
      <w:r w:rsidR="002F562F" w:rsidRPr="0055298B">
        <w:rPr>
          <w:rFonts w:ascii="Times New Roman" w:hAnsi="Times New Roman" w:cs="Times New Roman"/>
        </w:rPr>
        <w:t>:</w:t>
      </w:r>
    </w:p>
    <w:p w14:paraId="17F384B4" w14:textId="642E1C87" w:rsidR="002F562F" w:rsidRDefault="009C28CD" w:rsidP="002F562F">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7DD504" wp14:editId="2B9A9DF7">
            <wp:extent cx="4248150" cy="3586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1390" cy="3597412"/>
                    </a:xfrm>
                    <a:prstGeom prst="rect">
                      <a:avLst/>
                    </a:prstGeom>
                    <a:noFill/>
                  </pic:spPr>
                </pic:pic>
              </a:graphicData>
            </a:graphic>
          </wp:inline>
        </w:drawing>
      </w:r>
    </w:p>
    <w:p w14:paraId="743699E5" w14:textId="2D7CA935" w:rsidR="002F562F" w:rsidRDefault="0055298B" w:rsidP="002F562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Figure 5</w:t>
      </w:r>
      <w:r w:rsidR="002F562F">
        <w:rPr>
          <w:rFonts w:ascii="Times New Roman" w:hAnsi="Times New Roman" w:cs="Times New Roman"/>
          <w:sz w:val="24"/>
          <w:szCs w:val="24"/>
        </w:rPr>
        <w:t xml:space="preserve"> shows that there is toggle present in all areas of agriculture. However, there is a concentrated area with a higher proportion of toggle in northeastern Zambia. There are generally lower proportions of toggle in the areas of more intense agriculture in the central and southeastern parts of the country. There are some individual pixels with high proportions of toggle throughout the map.</w:t>
      </w:r>
    </w:p>
    <w:p w14:paraId="6DBAE258" w14:textId="6C5ED613" w:rsidR="002F562F" w:rsidRPr="0055298B" w:rsidRDefault="0055298B" w:rsidP="0055298B">
      <w:pPr>
        <w:spacing w:after="0" w:line="240" w:lineRule="auto"/>
        <w:rPr>
          <w:rFonts w:ascii="Times New Roman" w:hAnsi="Times New Roman" w:cs="Times New Roman"/>
        </w:rPr>
      </w:pPr>
      <w:r w:rsidRPr="0055298B">
        <w:rPr>
          <w:rFonts w:ascii="Times New Roman" w:hAnsi="Times New Roman" w:cs="Times New Roman"/>
        </w:rPr>
        <w:t>Figure 6</w:t>
      </w:r>
      <w:r w:rsidR="002F562F" w:rsidRPr="0055298B">
        <w:rPr>
          <w:rFonts w:ascii="Times New Roman" w:hAnsi="Times New Roman" w:cs="Times New Roman"/>
        </w:rPr>
        <w:t>: Breakdowns by District</w:t>
      </w:r>
    </w:p>
    <w:p w14:paraId="358A496C" w14:textId="77777777" w:rsidR="002F562F" w:rsidRDefault="002F562F" w:rsidP="002F562F">
      <w:pPr>
        <w:spacing w:after="0" w:line="480" w:lineRule="auto"/>
        <w:rPr>
          <w:rFonts w:ascii="Times New Roman" w:hAnsi="Times New Roman" w:cs="Times New Roman"/>
          <w:sz w:val="24"/>
          <w:szCs w:val="24"/>
        </w:rPr>
      </w:pPr>
      <w:r>
        <w:rPr>
          <w:noProof/>
        </w:rPr>
        <w:drawing>
          <wp:inline distT="0" distB="0" distL="0" distR="0" wp14:anchorId="191D4E90" wp14:editId="145BA3A3">
            <wp:extent cx="3152775" cy="28468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7983" cy="2860542"/>
                    </a:xfrm>
                    <a:prstGeom prst="rect">
                      <a:avLst/>
                    </a:prstGeom>
                  </pic:spPr>
                </pic:pic>
              </a:graphicData>
            </a:graphic>
          </wp:inline>
        </w:drawing>
      </w:r>
    </w:p>
    <w:p w14:paraId="152F8D07" w14:textId="77777777" w:rsidR="002F562F" w:rsidRDefault="002F562F" w:rsidP="002F562F">
      <w:pPr>
        <w:spacing w:after="0" w:line="480" w:lineRule="auto"/>
        <w:rPr>
          <w:rFonts w:ascii="Times New Roman" w:hAnsi="Times New Roman" w:cs="Times New Roman"/>
          <w:sz w:val="24"/>
          <w:szCs w:val="24"/>
        </w:rPr>
      </w:pPr>
      <w:r>
        <w:rPr>
          <w:noProof/>
        </w:rPr>
        <w:drawing>
          <wp:inline distT="0" distB="0" distL="0" distR="0" wp14:anchorId="1AA155F8" wp14:editId="3A6BD5F3">
            <wp:extent cx="2933700" cy="25577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9695" cy="2571688"/>
                    </a:xfrm>
                    <a:prstGeom prst="rect">
                      <a:avLst/>
                    </a:prstGeom>
                  </pic:spPr>
                </pic:pic>
              </a:graphicData>
            </a:graphic>
          </wp:inline>
        </w:drawing>
      </w:r>
      <w:r>
        <w:rPr>
          <w:noProof/>
        </w:rPr>
        <w:drawing>
          <wp:inline distT="0" distB="0" distL="0" distR="0" wp14:anchorId="55FB905C" wp14:editId="2EDE0565">
            <wp:extent cx="3009341" cy="265493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644" cy="2671965"/>
                    </a:xfrm>
                    <a:prstGeom prst="rect">
                      <a:avLst/>
                    </a:prstGeom>
                  </pic:spPr>
                </pic:pic>
              </a:graphicData>
            </a:graphic>
          </wp:inline>
        </w:drawing>
      </w:r>
    </w:p>
    <w:p w14:paraId="5C420262" w14:textId="77777777" w:rsidR="002F562F" w:rsidRDefault="002F562F" w:rsidP="002F562F">
      <w:pPr>
        <w:spacing w:after="0" w:line="480" w:lineRule="auto"/>
        <w:rPr>
          <w:rFonts w:ascii="Times New Roman" w:hAnsi="Times New Roman" w:cs="Times New Roman"/>
          <w:sz w:val="24"/>
          <w:szCs w:val="24"/>
        </w:rPr>
      </w:pPr>
      <w:r>
        <w:rPr>
          <w:noProof/>
        </w:rPr>
        <w:lastRenderedPageBreak/>
        <w:drawing>
          <wp:inline distT="0" distB="0" distL="0" distR="0" wp14:anchorId="1681C3B8" wp14:editId="0B3E1D06">
            <wp:extent cx="3200400" cy="27843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0022" cy="2792720"/>
                    </a:xfrm>
                    <a:prstGeom prst="rect">
                      <a:avLst/>
                    </a:prstGeom>
                  </pic:spPr>
                </pic:pic>
              </a:graphicData>
            </a:graphic>
          </wp:inline>
        </w:drawing>
      </w:r>
    </w:p>
    <w:p w14:paraId="6B625652" w14:textId="77777777" w:rsidR="002F562F" w:rsidRDefault="002F562F" w:rsidP="002F562F">
      <w:pPr>
        <w:spacing w:after="0" w:line="480" w:lineRule="auto"/>
        <w:rPr>
          <w:rFonts w:ascii="Times New Roman" w:hAnsi="Times New Roman" w:cs="Times New Roman"/>
          <w:sz w:val="24"/>
          <w:szCs w:val="24"/>
        </w:rPr>
      </w:pPr>
      <w:r>
        <w:rPr>
          <w:noProof/>
        </w:rPr>
        <w:drawing>
          <wp:inline distT="0" distB="0" distL="0" distR="0" wp14:anchorId="68EC24FA" wp14:editId="465374B2">
            <wp:extent cx="2976565" cy="2534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1199" cy="2564415"/>
                    </a:xfrm>
                    <a:prstGeom prst="rect">
                      <a:avLst/>
                    </a:prstGeom>
                  </pic:spPr>
                </pic:pic>
              </a:graphicData>
            </a:graphic>
          </wp:inline>
        </w:drawing>
      </w:r>
      <w:r>
        <w:rPr>
          <w:noProof/>
        </w:rPr>
        <w:drawing>
          <wp:inline distT="0" distB="0" distL="0" distR="0" wp14:anchorId="0AB09D65" wp14:editId="3492DF2B">
            <wp:extent cx="2924142" cy="25563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0202" cy="2596631"/>
                    </a:xfrm>
                    <a:prstGeom prst="rect">
                      <a:avLst/>
                    </a:prstGeom>
                  </pic:spPr>
                </pic:pic>
              </a:graphicData>
            </a:graphic>
          </wp:inline>
        </w:drawing>
      </w:r>
    </w:p>
    <w:p w14:paraId="36967722" w14:textId="77777777" w:rsidR="002F562F" w:rsidRDefault="002F562F" w:rsidP="002F562F">
      <w:pPr>
        <w:spacing w:after="0" w:line="480" w:lineRule="auto"/>
        <w:rPr>
          <w:rFonts w:ascii="Times New Roman" w:hAnsi="Times New Roman" w:cs="Times New Roman"/>
          <w:sz w:val="24"/>
          <w:szCs w:val="24"/>
        </w:rPr>
      </w:pPr>
      <w:r>
        <w:rPr>
          <w:noProof/>
        </w:rPr>
        <w:drawing>
          <wp:inline distT="0" distB="0" distL="0" distR="0" wp14:anchorId="0188464C" wp14:editId="63FD84A2">
            <wp:extent cx="3000375" cy="2471240"/>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11" cy="2479094"/>
                    </a:xfrm>
                    <a:prstGeom prst="rect">
                      <a:avLst/>
                    </a:prstGeom>
                  </pic:spPr>
                </pic:pic>
              </a:graphicData>
            </a:graphic>
          </wp:inline>
        </w:drawing>
      </w:r>
    </w:p>
    <w:p w14:paraId="45652A32" w14:textId="77777777" w:rsidR="002F562F" w:rsidRDefault="002F562F" w:rsidP="002F562F">
      <w:pPr>
        <w:spacing w:after="0" w:line="480" w:lineRule="auto"/>
        <w:rPr>
          <w:rFonts w:ascii="Times New Roman" w:hAnsi="Times New Roman" w:cs="Times New Roman"/>
          <w:sz w:val="24"/>
          <w:szCs w:val="24"/>
        </w:rPr>
      </w:pPr>
      <w:r>
        <w:rPr>
          <w:noProof/>
        </w:rPr>
        <w:lastRenderedPageBreak/>
        <w:drawing>
          <wp:inline distT="0" distB="0" distL="0" distR="0" wp14:anchorId="0FD62F72" wp14:editId="26E6D945">
            <wp:extent cx="3009900" cy="251429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5153" cy="2527037"/>
                    </a:xfrm>
                    <a:prstGeom prst="rect">
                      <a:avLst/>
                    </a:prstGeom>
                  </pic:spPr>
                </pic:pic>
              </a:graphicData>
            </a:graphic>
          </wp:inline>
        </w:drawing>
      </w:r>
      <w:r>
        <w:rPr>
          <w:noProof/>
        </w:rPr>
        <w:drawing>
          <wp:inline distT="0" distB="0" distL="0" distR="0" wp14:anchorId="0129F008" wp14:editId="40EA0CB7">
            <wp:extent cx="2919308" cy="252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449" cy="2530571"/>
                    </a:xfrm>
                    <a:prstGeom prst="rect">
                      <a:avLst/>
                    </a:prstGeom>
                  </pic:spPr>
                </pic:pic>
              </a:graphicData>
            </a:graphic>
          </wp:inline>
        </w:drawing>
      </w:r>
    </w:p>
    <w:p w14:paraId="551087A5" w14:textId="7935D308" w:rsidR="002F562F" w:rsidRDefault="0055298B" w:rsidP="002F562F">
      <w:pPr>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sidR="002F562F">
        <w:rPr>
          <w:rFonts w:ascii="Times New Roman" w:hAnsi="Times New Roman" w:cs="Times New Roman"/>
          <w:sz w:val="24"/>
          <w:szCs w:val="24"/>
        </w:rPr>
        <w:t xml:space="preserve"> shows that the most intensely farmed districts in Zambia are in the central area and in the southeast. These areas have been the most intensely farmed districts since 2000, although their percent agriculture has increased. The first time interval is characterized by high gain and loss intensity for most districts. Some of the more intensely farmed districts have middling gain intensities, but particularly low loss intensities. The north-central districts have high gain and loss intensities. The second time interval is characterized by slightly lower gain intensities and much lower loss intensities. The northeastern and western districts have higher loss intensities than the other districts. The north-central districts continued to have high gain intensities. The largest net gains were in central and north-central districts. The districts with the highest percent agriculture in 2015 were mostly districts with the lowest loss intensities as opposed to the districts with the highest gain intensities.</w:t>
      </w:r>
    </w:p>
    <w:p w14:paraId="758C3E5F" w14:textId="493C89E0" w:rsidR="002F562F" w:rsidRDefault="002F562F" w:rsidP="002F562F">
      <w:pPr>
        <w:spacing w:after="0" w:line="480" w:lineRule="auto"/>
        <w:rPr>
          <w:rFonts w:ascii="Times New Roman" w:hAnsi="Times New Roman" w:cs="Times New Roman"/>
          <w:sz w:val="24"/>
          <w:szCs w:val="24"/>
        </w:rPr>
      </w:pPr>
      <w:r>
        <w:rPr>
          <w:rFonts w:ascii="Times New Roman" w:hAnsi="Times New Roman" w:cs="Times New Roman"/>
          <w:sz w:val="24"/>
          <w:szCs w:val="24"/>
        </w:rPr>
        <w:tab/>
        <w:t>Only four of the driver variables had TOC curves with an AUC greater than 0.53. The rest had AUCs within ± 0.055 of the expected random, 0.5. None of these curves varied much from the expected random line (see appendix 2). Those four driver variables were, in order of predictive ability, distance from existing agriculture, accessibility, distance from roads and</w:t>
      </w:r>
      <w:r w:rsidR="0055298B">
        <w:rPr>
          <w:rFonts w:ascii="Times New Roman" w:hAnsi="Times New Roman" w:cs="Times New Roman"/>
          <w:sz w:val="24"/>
          <w:szCs w:val="24"/>
        </w:rPr>
        <w:t xml:space="preserve"> population change (see figure 6</w:t>
      </w:r>
      <w:r>
        <w:rPr>
          <w:rFonts w:ascii="Times New Roman" w:hAnsi="Times New Roman" w:cs="Times New Roman"/>
          <w:sz w:val="24"/>
          <w:szCs w:val="24"/>
        </w:rPr>
        <w:t>).</w:t>
      </w:r>
    </w:p>
    <w:p w14:paraId="2041C291" w14:textId="4CE8F63C" w:rsidR="002F562F" w:rsidRPr="0055298B" w:rsidRDefault="0055298B" w:rsidP="0055298B">
      <w:pPr>
        <w:spacing w:after="0" w:line="240" w:lineRule="auto"/>
        <w:rPr>
          <w:rFonts w:ascii="Times New Roman" w:hAnsi="Times New Roman" w:cs="Times New Roman"/>
        </w:rPr>
      </w:pPr>
      <w:r w:rsidRPr="0055298B">
        <w:rPr>
          <w:rFonts w:ascii="Times New Roman" w:hAnsi="Times New Roman" w:cs="Times New Roman"/>
        </w:rPr>
        <w:lastRenderedPageBreak/>
        <w:t>Figure 7</w:t>
      </w:r>
      <w:r w:rsidR="002F562F" w:rsidRPr="0055298B">
        <w:rPr>
          <w:rFonts w:ascii="Times New Roman" w:hAnsi="Times New Roman" w:cs="Times New Roman"/>
        </w:rPr>
        <w:t>. TOC graphs with AUCs First column is 2000-2010, second column is 2010-2015</w:t>
      </w:r>
    </w:p>
    <w:p w14:paraId="15D1F87D" w14:textId="77777777" w:rsidR="002F562F" w:rsidRPr="0055298B" w:rsidRDefault="002F562F" w:rsidP="0055298B">
      <w:pPr>
        <w:spacing w:after="0" w:line="240" w:lineRule="auto"/>
        <w:rPr>
          <w:rFonts w:ascii="Times New Roman" w:hAnsi="Times New Roman" w:cs="Times New Roman"/>
        </w:rPr>
      </w:pPr>
      <w:r w:rsidRPr="0055298B">
        <w:rPr>
          <w:rFonts w:ascii="Times New Roman" w:hAnsi="Times New Roman" w:cs="Times New Roman"/>
        </w:rPr>
        <w:t>Distance from Agriculture:</w:t>
      </w:r>
    </w:p>
    <w:p w14:paraId="333695A6" w14:textId="77777777" w:rsidR="002F562F" w:rsidRPr="0055298B" w:rsidRDefault="002F562F" w:rsidP="0055298B">
      <w:pPr>
        <w:spacing w:after="0" w:line="240" w:lineRule="auto"/>
        <w:rPr>
          <w:rFonts w:ascii="Times New Roman" w:hAnsi="Times New Roman" w:cs="Times New Roman"/>
        </w:rPr>
      </w:pPr>
      <w:r w:rsidRPr="0055298B">
        <w:rPr>
          <w:noProof/>
        </w:rPr>
        <w:drawing>
          <wp:inline distT="0" distB="0" distL="0" distR="0" wp14:anchorId="28FA532C" wp14:editId="26559527">
            <wp:extent cx="5943600" cy="2416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16175"/>
                    </a:xfrm>
                    <a:prstGeom prst="rect">
                      <a:avLst/>
                    </a:prstGeom>
                  </pic:spPr>
                </pic:pic>
              </a:graphicData>
            </a:graphic>
          </wp:inline>
        </w:drawing>
      </w:r>
    </w:p>
    <w:p w14:paraId="5017CAA9" w14:textId="77777777" w:rsidR="002F562F" w:rsidRPr="0055298B" w:rsidRDefault="002F562F" w:rsidP="0055298B">
      <w:pPr>
        <w:spacing w:after="0" w:line="240" w:lineRule="auto"/>
        <w:rPr>
          <w:rFonts w:ascii="Times New Roman" w:hAnsi="Times New Roman" w:cs="Times New Roman"/>
        </w:rPr>
      </w:pPr>
      <w:r w:rsidRPr="0055298B">
        <w:rPr>
          <w:rFonts w:ascii="Times New Roman" w:hAnsi="Times New Roman" w:cs="Times New Roman"/>
        </w:rPr>
        <w:t xml:space="preserve">Accessibility (distance from population center &gt;50,000): </w:t>
      </w:r>
      <w:r w:rsidRPr="0055298B">
        <w:rPr>
          <w:noProof/>
        </w:rPr>
        <w:drawing>
          <wp:inline distT="0" distB="0" distL="0" distR="0" wp14:anchorId="3C47CEA9" wp14:editId="29D00CE7">
            <wp:extent cx="59436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88235"/>
                    </a:xfrm>
                    <a:prstGeom prst="rect">
                      <a:avLst/>
                    </a:prstGeom>
                  </pic:spPr>
                </pic:pic>
              </a:graphicData>
            </a:graphic>
          </wp:inline>
        </w:drawing>
      </w:r>
    </w:p>
    <w:p w14:paraId="3BC68891" w14:textId="77777777" w:rsidR="002F562F" w:rsidRPr="0055298B" w:rsidRDefault="002F562F" w:rsidP="0055298B">
      <w:pPr>
        <w:spacing w:after="0" w:line="240" w:lineRule="auto"/>
        <w:rPr>
          <w:rFonts w:ascii="Times New Roman" w:hAnsi="Times New Roman" w:cs="Times New Roman"/>
        </w:rPr>
      </w:pPr>
    </w:p>
    <w:p w14:paraId="4A71EDFA" w14:textId="7F4145C1" w:rsidR="002F562F" w:rsidRPr="0055298B" w:rsidRDefault="002F562F" w:rsidP="0055298B">
      <w:pPr>
        <w:spacing w:after="0" w:line="240" w:lineRule="auto"/>
        <w:rPr>
          <w:rFonts w:ascii="Times New Roman" w:hAnsi="Times New Roman" w:cs="Times New Roman"/>
        </w:rPr>
      </w:pPr>
      <w:r w:rsidRPr="0055298B">
        <w:rPr>
          <w:rFonts w:ascii="Times New Roman" w:hAnsi="Times New Roman" w:cs="Times New Roman"/>
        </w:rPr>
        <w:t xml:space="preserve">Distance </w:t>
      </w:r>
      <w:r w:rsidR="00D3716F">
        <w:rPr>
          <w:rFonts w:ascii="Times New Roman" w:hAnsi="Times New Roman" w:cs="Times New Roman"/>
        </w:rPr>
        <w:t>f</w:t>
      </w:r>
      <w:r w:rsidRPr="0055298B">
        <w:rPr>
          <w:rFonts w:ascii="Times New Roman" w:hAnsi="Times New Roman" w:cs="Times New Roman"/>
        </w:rPr>
        <w:t>rom Roads:</w:t>
      </w:r>
    </w:p>
    <w:p w14:paraId="0FC37EB8" w14:textId="77777777" w:rsidR="002F562F" w:rsidRPr="0055298B" w:rsidRDefault="002F562F" w:rsidP="0055298B">
      <w:pPr>
        <w:spacing w:after="0" w:line="240" w:lineRule="auto"/>
        <w:rPr>
          <w:rFonts w:ascii="Times New Roman" w:hAnsi="Times New Roman" w:cs="Times New Roman"/>
        </w:rPr>
      </w:pPr>
      <w:r w:rsidRPr="0055298B">
        <w:rPr>
          <w:noProof/>
        </w:rPr>
        <w:drawing>
          <wp:inline distT="0" distB="0" distL="0" distR="0" wp14:anchorId="2D8BB5CA" wp14:editId="63C9BEE0">
            <wp:extent cx="5943600" cy="2179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79955"/>
                    </a:xfrm>
                    <a:prstGeom prst="rect">
                      <a:avLst/>
                    </a:prstGeom>
                  </pic:spPr>
                </pic:pic>
              </a:graphicData>
            </a:graphic>
          </wp:inline>
        </w:drawing>
      </w:r>
    </w:p>
    <w:p w14:paraId="464FAC66" w14:textId="77777777" w:rsidR="00D3716F" w:rsidRDefault="00D3716F" w:rsidP="0055298B">
      <w:pPr>
        <w:spacing w:after="0" w:line="240" w:lineRule="auto"/>
        <w:rPr>
          <w:rFonts w:ascii="Times New Roman" w:hAnsi="Times New Roman" w:cs="Times New Roman"/>
        </w:rPr>
      </w:pPr>
    </w:p>
    <w:p w14:paraId="7BE969C4" w14:textId="77777777" w:rsidR="00D3716F" w:rsidRDefault="00D3716F" w:rsidP="0055298B">
      <w:pPr>
        <w:spacing w:after="0" w:line="240" w:lineRule="auto"/>
        <w:rPr>
          <w:rFonts w:ascii="Times New Roman" w:hAnsi="Times New Roman" w:cs="Times New Roman"/>
        </w:rPr>
      </w:pPr>
    </w:p>
    <w:p w14:paraId="59E105B9" w14:textId="79959E5E" w:rsidR="002F562F" w:rsidRPr="0055298B" w:rsidRDefault="002F562F" w:rsidP="0055298B">
      <w:pPr>
        <w:spacing w:after="0" w:line="240" w:lineRule="auto"/>
        <w:rPr>
          <w:rFonts w:ascii="Times New Roman" w:hAnsi="Times New Roman" w:cs="Times New Roman"/>
        </w:rPr>
      </w:pPr>
      <w:r w:rsidRPr="0055298B">
        <w:rPr>
          <w:rFonts w:ascii="Times New Roman" w:hAnsi="Times New Roman" w:cs="Times New Roman"/>
        </w:rPr>
        <w:lastRenderedPageBreak/>
        <w:t>Population Change</w:t>
      </w:r>
      <w:r w:rsidR="00502CC9">
        <w:rPr>
          <w:rFonts w:ascii="Times New Roman" w:hAnsi="Times New Roman" w:cs="Times New Roman"/>
        </w:rPr>
        <w:t>:</w:t>
      </w:r>
    </w:p>
    <w:p w14:paraId="70995CE0" w14:textId="1C3DE282" w:rsidR="002F562F" w:rsidRDefault="002F562F" w:rsidP="002F562F">
      <w:pPr>
        <w:spacing w:after="0" w:line="480" w:lineRule="auto"/>
        <w:rPr>
          <w:rFonts w:ascii="Times New Roman" w:hAnsi="Times New Roman" w:cs="Times New Roman"/>
          <w:sz w:val="24"/>
          <w:szCs w:val="24"/>
        </w:rPr>
      </w:pPr>
      <w:r>
        <w:rPr>
          <w:noProof/>
        </w:rPr>
        <w:drawing>
          <wp:inline distT="0" distB="0" distL="0" distR="0" wp14:anchorId="4DAC95EE" wp14:editId="71009D48">
            <wp:extent cx="5943600" cy="2693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3670"/>
                    </a:xfrm>
                    <a:prstGeom prst="rect">
                      <a:avLst/>
                    </a:prstGeom>
                  </pic:spPr>
                </pic:pic>
              </a:graphicData>
            </a:graphic>
          </wp:inline>
        </w:drawing>
      </w:r>
    </w:p>
    <w:p w14:paraId="468CF75C" w14:textId="30B7710B" w:rsidR="002F562F" w:rsidRDefault="002F562F" w:rsidP="002F562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distance from agriculture TOC curves show the </w:t>
      </w:r>
      <w:r w:rsidR="00192573">
        <w:rPr>
          <w:rFonts w:ascii="Times New Roman" w:hAnsi="Times New Roman" w:cs="Times New Roman"/>
          <w:sz w:val="24"/>
          <w:szCs w:val="24"/>
        </w:rPr>
        <w:t>strongest</w:t>
      </w:r>
      <w:r>
        <w:rPr>
          <w:rFonts w:ascii="Times New Roman" w:hAnsi="Times New Roman" w:cs="Times New Roman"/>
          <w:sz w:val="24"/>
          <w:szCs w:val="24"/>
        </w:rPr>
        <w:t xml:space="preserve"> relationship with gain of agriculture. The AUC is near 0.9 for 2000-2010 and even higher, 0.95 for 2010 to 2015. That is closer to perfectly correct (1.0) than to random (0.5). Accessibility and distance from roads have smooth and similar curves with AUCs of around 0.715. The curve for population change is close to the maximum line for the highest values before moving towards the uniform line for middle and lower values. The other variables were elevation, slope, crop climate suitability, soil productivity index and percent population change. When I entered all the variables into the Land Change Modeler and created the transition potentials using the MLP, the report revealed that distance to existing agriculture was the most important variable, and that using only distance to agriculture would result in less than a 1 percentage point drop in </w:t>
      </w:r>
      <w:r w:rsidR="00D22A5B">
        <w:rPr>
          <w:rFonts w:ascii="Times New Roman" w:hAnsi="Times New Roman" w:cs="Times New Roman"/>
          <w:sz w:val="24"/>
          <w:szCs w:val="24"/>
        </w:rPr>
        <w:t xml:space="preserve">calibration fit </w:t>
      </w:r>
      <w:r>
        <w:rPr>
          <w:rFonts w:ascii="Times New Roman" w:hAnsi="Times New Roman" w:cs="Times New Roman"/>
          <w:sz w:val="24"/>
          <w:szCs w:val="24"/>
        </w:rPr>
        <w:t>as compared to using all the variables (see appendix 3)</w:t>
      </w:r>
    </w:p>
    <w:p w14:paraId="7AAA54B8" w14:textId="7CDBB9EC" w:rsidR="00932F5A" w:rsidRDefault="009A7C87" w:rsidP="00932F5A">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32F5A">
        <w:rPr>
          <w:rFonts w:ascii="Times New Roman" w:hAnsi="Times New Roman" w:cs="Times New Roman"/>
          <w:sz w:val="24"/>
          <w:szCs w:val="24"/>
        </w:rPr>
        <w:t xml:space="preserve">The MLP </w:t>
      </w:r>
      <w:r w:rsidR="00F95A5A">
        <w:rPr>
          <w:rFonts w:ascii="Times New Roman" w:hAnsi="Times New Roman" w:cs="Times New Roman"/>
          <w:sz w:val="24"/>
          <w:szCs w:val="24"/>
        </w:rPr>
        <w:t xml:space="preserve">transition potentials </w:t>
      </w:r>
      <w:r w:rsidR="00D9325F">
        <w:rPr>
          <w:rFonts w:ascii="Times New Roman" w:hAnsi="Times New Roman" w:cs="Times New Roman"/>
          <w:sz w:val="24"/>
          <w:szCs w:val="24"/>
        </w:rPr>
        <w:t>model with four variables had a</w:t>
      </w:r>
      <w:r w:rsidR="00932F5A">
        <w:rPr>
          <w:rFonts w:ascii="Times New Roman" w:hAnsi="Times New Roman" w:cs="Times New Roman"/>
          <w:sz w:val="24"/>
          <w:szCs w:val="24"/>
        </w:rPr>
        <w:t xml:space="preserve"> </w:t>
      </w:r>
      <w:r w:rsidR="00D22A5B">
        <w:rPr>
          <w:rFonts w:ascii="Times New Roman" w:hAnsi="Times New Roman" w:cs="Times New Roman"/>
          <w:sz w:val="24"/>
          <w:szCs w:val="24"/>
        </w:rPr>
        <w:t xml:space="preserve">calibration fit </w:t>
      </w:r>
      <w:r w:rsidR="00932F5A">
        <w:rPr>
          <w:rFonts w:ascii="Times New Roman" w:hAnsi="Times New Roman" w:cs="Times New Roman"/>
          <w:sz w:val="24"/>
          <w:szCs w:val="24"/>
        </w:rPr>
        <w:t xml:space="preserve">of </w:t>
      </w:r>
      <w:r w:rsidR="00932F5A" w:rsidRPr="00F96E70">
        <w:rPr>
          <w:rFonts w:ascii="Times New Roman" w:hAnsi="Times New Roman" w:cs="Times New Roman"/>
          <w:sz w:val="24"/>
          <w:szCs w:val="24"/>
        </w:rPr>
        <w:t>82.</w:t>
      </w:r>
      <w:r w:rsidR="00932F5A">
        <w:rPr>
          <w:rFonts w:ascii="Times New Roman" w:hAnsi="Times New Roman" w:cs="Times New Roman"/>
          <w:sz w:val="24"/>
          <w:szCs w:val="24"/>
        </w:rPr>
        <w:t>20</w:t>
      </w:r>
      <w:r w:rsidR="00932F5A" w:rsidRPr="00F96E70">
        <w:rPr>
          <w:rFonts w:ascii="Times New Roman" w:hAnsi="Times New Roman" w:cs="Times New Roman"/>
          <w:sz w:val="24"/>
          <w:szCs w:val="24"/>
        </w:rPr>
        <w:t>%</w:t>
      </w:r>
      <w:r w:rsidR="00932F5A">
        <w:rPr>
          <w:rFonts w:ascii="Times New Roman" w:hAnsi="Times New Roman" w:cs="Times New Roman"/>
          <w:sz w:val="24"/>
          <w:szCs w:val="24"/>
        </w:rPr>
        <w:t xml:space="preserve"> and a skill of 0.6439. This was mostly attributable to distance from agriculture, the most important variable according to the report (see appendix 3). The MLP output wit</w:t>
      </w:r>
      <w:r w:rsidR="00D9325F">
        <w:rPr>
          <w:rFonts w:ascii="Times New Roman" w:hAnsi="Times New Roman" w:cs="Times New Roman"/>
          <w:sz w:val="24"/>
          <w:szCs w:val="24"/>
        </w:rPr>
        <w:t>h all variables as inputs had a</w:t>
      </w:r>
      <w:r w:rsidR="00932F5A">
        <w:rPr>
          <w:rFonts w:ascii="Times New Roman" w:hAnsi="Times New Roman" w:cs="Times New Roman"/>
          <w:sz w:val="24"/>
          <w:szCs w:val="24"/>
        </w:rPr>
        <w:t xml:space="preserve"> </w:t>
      </w:r>
      <w:r w:rsidR="00D22A5B">
        <w:rPr>
          <w:rFonts w:ascii="Times New Roman" w:hAnsi="Times New Roman" w:cs="Times New Roman"/>
          <w:sz w:val="24"/>
          <w:szCs w:val="24"/>
        </w:rPr>
        <w:t xml:space="preserve">calibration fit </w:t>
      </w:r>
      <w:r w:rsidR="00932F5A">
        <w:rPr>
          <w:rFonts w:ascii="Times New Roman" w:hAnsi="Times New Roman" w:cs="Times New Roman"/>
          <w:sz w:val="24"/>
          <w:szCs w:val="24"/>
        </w:rPr>
        <w:t xml:space="preserve">of 83.09% and a skill of 0.6618. This discrepancy is small enough that </w:t>
      </w:r>
      <w:r w:rsidR="00932F5A">
        <w:rPr>
          <w:rFonts w:ascii="Times New Roman" w:hAnsi="Times New Roman" w:cs="Times New Roman"/>
          <w:sz w:val="24"/>
          <w:szCs w:val="24"/>
        </w:rPr>
        <w:lastRenderedPageBreak/>
        <w:t xml:space="preserve">it is likely due to the uniqueness of every run of the MLP and not a substantial difference in the two models. Once again, distance from existing agriculture was the most important variable, and used alone </w:t>
      </w:r>
      <w:r w:rsidR="00D22A5B">
        <w:rPr>
          <w:rFonts w:ascii="Times New Roman" w:hAnsi="Times New Roman" w:cs="Times New Roman"/>
          <w:sz w:val="24"/>
          <w:szCs w:val="24"/>
        </w:rPr>
        <w:t xml:space="preserve">had a calibration fit </w:t>
      </w:r>
      <w:r w:rsidR="00932F5A">
        <w:rPr>
          <w:rFonts w:ascii="Times New Roman" w:hAnsi="Times New Roman" w:cs="Times New Roman"/>
          <w:sz w:val="24"/>
          <w:szCs w:val="24"/>
        </w:rPr>
        <w:t xml:space="preserve">of the model less than one percentage point </w:t>
      </w:r>
      <w:r w:rsidR="002145F5">
        <w:rPr>
          <w:rFonts w:ascii="Times New Roman" w:hAnsi="Times New Roman" w:cs="Times New Roman"/>
          <w:sz w:val="24"/>
          <w:szCs w:val="24"/>
        </w:rPr>
        <w:t xml:space="preserve">less as </w:t>
      </w:r>
      <w:r w:rsidR="00D22A5B">
        <w:rPr>
          <w:rFonts w:ascii="Times New Roman" w:hAnsi="Times New Roman" w:cs="Times New Roman"/>
          <w:sz w:val="24"/>
          <w:szCs w:val="24"/>
        </w:rPr>
        <w:t xml:space="preserve">compared to the model that had all the variables </w:t>
      </w:r>
      <w:r w:rsidR="00932F5A">
        <w:rPr>
          <w:rFonts w:ascii="Times New Roman" w:hAnsi="Times New Roman" w:cs="Times New Roman"/>
          <w:sz w:val="24"/>
          <w:szCs w:val="24"/>
        </w:rPr>
        <w:t>(see appendix 3).</w:t>
      </w:r>
    </w:p>
    <w:p w14:paraId="73810B94" w14:textId="7E1F0E3F" w:rsidR="00932F5A" w:rsidRPr="00502CC9" w:rsidRDefault="00932F5A" w:rsidP="00502CC9">
      <w:pPr>
        <w:spacing w:after="0" w:line="240" w:lineRule="auto"/>
        <w:rPr>
          <w:rFonts w:ascii="Times New Roman" w:hAnsi="Times New Roman" w:cs="Times New Roman"/>
        </w:rPr>
      </w:pPr>
      <w:r w:rsidRPr="00502CC9">
        <w:rPr>
          <w:rFonts w:ascii="Times New Roman" w:hAnsi="Times New Roman" w:cs="Times New Roman"/>
        </w:rPr>
        <w:t xml:space="preserve">Figure </w:t>
      </w:r>
      <w:r w:rsidR="00502CC9" w:rsidRPr="00502CC9">
        <w:rPr>
          <w:rFonts w:ascii="Times New Roman" w:hAnsi="Times New Roman" w:cs="Times New Roman"/>
        </w:rPr>
        <w:t>8</w:t>
      </w:r>
      <w:r w:rsidRPr="00502CC9">
        <w:rPr>
          <w:rFonts w:ascii="Times New Roman" w:hAnsi="Times New Roman" w:cs="Times New Roman"/>
        </w:rPr>
        <w:t>: TOC graph for transition potentials from LCM with all 9 variables:</w:t>
      </w:r>
    </w:p>
    <w:p w14:paraId="38A62CF8" w14:textId="77777777" w:rsidR="00932F5A" w:rsidRDefault="00932F5A" w:rsidP="00932F5A">
      <w:pPr>
        <w:spacing w:after="0" w:line="480" w:lineRule="auto"/>
        <w:rPr>
          <w:rFonts w:ascii="Times New Roman" w:hAnsi="Times New Roman" w:cs="Times New Roman"/>
          <w:sz w:val="24"/>
          <w:szCs w:val="24"/>
        </w:rPr>
      </w:pPr>
      <w:r>
        <w:rPr>
          <w:noProof/>
        </w:rPr>
        <w:drawing>
          <wp:inline distT="0" distB="0" distL="0" distR="0" wp14:anchorId="57947733" wp14:editId="75ADC534">
            <wp:extent cx="4562475" cy="24669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2466975"/>
                    </a:xfrm>
                    <a:prstGeom prst="rect">
                      <a:avLst/>
                    </a:prstGeom>
                  </pic:spPr>
                </pic:pic>
              </a:graphicData>
            </a:graphic>
          </wp:inline>
        </w:drawing>
      </w:r>
    </w:p>
    <w:p w14:paraId="5A17F7D7" w14:textId="3006CAF4" w:rsidR="00932F5A" w:rsidRDefault="00932F5A" w:rsidP="00932F5A">
      <w:pPr>
        <w:spacing w:after="0" w:line="480" w:lineRule="auto"/>
        <w:rPr>
          <w:rFonts w:ascii="Times New Roman" w:hAnsi="Times New Roman" w:cs="Times New Roman"/>
          <w:sz w:val="24"/>
          <w:szCs w:val="24"/>
        </w:rPr>
      </w:pPr>
      <w:r>
        <w:rPr>
          <w:rFonts w:ascii="Times New Roman" w:hAnsi="Times New Roman" w:cs="Times New Roman"/>
          <w:sz w:val="24"/>
          <w:szCs w:val="24"/>
        </w:rPr>
        <w:t>Fi</w:t>
      </w:r>
      <w:r w:rsidR="00502CC9">
        <w:rPr>
          <w:rFonts w:ascii="Times New Roman" w:hAnsi="Times New Roman" w:cs="Times New Roman"/>
          <w:sz w:val="24"/>
          <w:szCs w:val="24"/>
        </w:rPr>
        <w:t>gure 7</w:t>
      </w:r>
      <w:r>
        <w:rPr>
          <w:rFonts w:ascii="Times New Roman" w:hAnsi="Times New Roman" w:cs="Times New Roman"/>
          <w:sz w:val="24"/>
          <w:szCs w:val="24"/>
        </w:rPr>
        <w:t xml:space="preserve"> shows the TOC graph for transition potentials which has a smooth curve and an AUC of 0.874. </w:t>
      </w:r>
    </w:p>
    <w:p w14:paraId="648BD376" w14:textId="1205BA7F" w:rsidR="00932F5A" w:rsidRPr="00502CC9" w:rsidRDefault="00502CC9" w:rsidP="00502CC9">
      <w:pPr>
        <w:spacing w:after="0" w:line="240" w:lineRule="auto"/>
        <w:rPr>
          <w:rFonts w:ascii="Times New Roman" w:hAnsi="Times New Roman" w:cs="Times New Roman"/>
        </w:rPr>
      </w:pPr>
      <w:r w:rsidRPr="00502CC9">
        <w:rPr>
          <w:rFonts w:ascii="Times New Roman" w:hAnsi="Times New Roman" w:cs="Times New Roman"/>
        </w:rPr>
        <w:t>Figure 8</w:t>
      </w:r>
      <w:r w:rsidR="00932F5A" w:rsidRPr="00502CC9">
        <w:rPr>
          <w:rFonts w:ascii="Times New Roman" w:hAnsi="Times New Roman" w:cs="Times New Roman"/>
        </w:rPr>
        <w:t>: Pro</w:t>
      </w:r>
      <w:r w:rsidR="008A508B">
        <w:rPr>
          <w:rFonts w:ascii="Times New Roman" w:hAnsi="Times New Roman" w:cs="Times New Roman"/>
        </w:rPr>
        <w:t>jected</w:t>
      </w:r>
      <w:r w:rsidR="002145F5">
        <w:rPr>
          <w:rFonts w:ascii="Times New Roman" w:hAnsi="Times New Roman" w:cs="Times New Roman"/>
        </w:rPr>
        <w:t xml:space="preserve"> (2010-2015)</w:t>
      </w:r>
      <w:r w:rsidR="008A508B">
        <w:rPr>
          <w:rFonts w:ascii="Times New Roman" w:hAnsi="Times New Roman" w:cs="Times New Roman"/>
        </w:rPr>
        <w:t xml:space="preserve"> Land Cover, Hits, Misses, False Alarms</w:t>
      </w:r>
    </w:p>
    <w:p w14:paraId="633C4655" w14:textId="20DAF4D4" w:rsidR="00932F5A" w:rsidRDefault="002145F5" w:rsidP="00932F5A">
      <w:pPr>
        <w:spacing w:after="0" w:line="480" w:lineRule="auto"/>
        <w:rPr>
          <w:rFonts w:ascii="Times New Roman" w:hAnsi="Times New Roman" w:cs="Times New Roman"/>
          <w:sz w:val="24"/>
          <w:szCs w:val="24"/>
        </w:rPr>
      </w:pPr>
      <w:r w:rsidRPr="002145F5">
        <w:rPr>
          <w:rFonts w:ascii="Times New Roman" w:hAnsi="Times New Roman" w:cs="Times New Roman"/>
          <w:noProof/>
          <w:sz w:val="24"/>
          <w:szCs w:val="24"/>
        </w:rPr>
        <w:drawing>
          <wp:inline distT="0" distB="0" distL="0" distR="0" wp14:anchorId="349761A4" wp14:editId="5BA370DA">
            <wp:extent cx="4057650" cy="2906682"/>
            <wp:effectExtent l="0" t="0" r="0" b="825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4069800" cy="2915386"/>
                    </a:xfrm>
                    <a:prstGeom prst="rect">
                      <a:avLst/>
                    </a:prstGeom>
                  </pic:spPr>
                </pic:pic>
              </a:graphicData>
            </a:graphic>
          </wp:inline>
        </w:drawing>
      </w:r>
    </w:p>
    <w:p w14:paraId="7DD52F5E" w14:textId="3096620A" w:rsidR="00932F5A" w:rsidRDefault="002145F5" w:rsidP="00932F5A">
      <w:pPr>
        <w:spacing w:after="0" w:line="480" w:lineRule="auto"/>
        <w:rPr>
          <w:rFonts w:ascii="Times New Roman" w:hAnsi="Times New Roman" w:cs="Times New Roman"/>
          <w:sz w:val="24"/>
          <w:szCs w:val="24"/>
        </w:rPr>
      </w:pPr>
      <w:r w:rsidRPr="002145F5">
        <w:rPr>
          <w:rFonts w:ascii="Times New Roman" w:hAnsi="Times New Roman" w:cs="Times New Roman"/>
          <w:noProof/>
          <w:sz w:val="24"/>
          <w:szCs w:val="24"/>
        </w:rPr>
        <w:lastRenderedPageBreak/>
        <w:drawing>
          <wp:inline distT="0" distB="0" distL="0" distR="0" wp14:anchorId="061A13A3" wp14:editId="4361343F">
            <wp:extent cx="4241234" cy="3209925"/>
            <wp:effectExtent l="0" t="0" r="698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278291" cy="3237971"/>
                    </a:xfrm>
                    <a:prstGeom prst="rect">
                      <a:avLst/>
                    </a:prstGeom>
                  </pic:spPr>
                </pic:pic>
              </a:graphicData>
            </a:graphic>
          </wp:inline>
        </w:drawing>
      </w:r>
    </w:p>
    <w:p w14:paraId="7DE18592" w14:textId="26E5E020" w:rsidR="008A508B" w:rsidRPr="008A508B" w:rsidRDefault="008A508B" w:rsidP="008A508B">
      <w:pPr>
        <w:spacing w:after="0" w:line="240" w:lineRule="auto"/>
        <w:rPr>
          <w:rFonts w:ascii="Times New Roman" w:hAnsi="Times New Roman" w:cs="Times New Roman"/>
        </w:rPr>
      </w:pPr>
      <w:r w:rsidRPr="008A508B">
        <w:rPr>
          <w:rFonts w:ascii="Times New Roman" w:hAnsi="Times New Roman" w:cs="Times New Roman"/>
        </w:rPr>
        <w:t>Figure 9: Validation of Prediction</w:t>
      </w:r>
      <w:r w:rsidR="009D322E">
        <w:rPr>
          <w:rFonts w:ascii="Times New Roman" w:hAnsi="Times New Roman" w:cs="Times New Roman"/>
        </w:rPr>
        <w:t xml:space="preserve"> </w:t>
      </w:r>
    </w:p>
    <w:p w14:paraId="78B3DAF3" w14:textId="16CF15B6" w:rsidR="008A508B" w:rsidRDefault="008A508B" w:rsidP="00932F5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AE859D" wp14:editId="2ABDB713">
            <wp:extent cx="3724275" cy="270018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0469" cy="2733674"/>
                    </a:xfrm>
                    <a:prstGeom prst="rect">
                      <a:avLst/>
                    </a:prstGeom>
                    <a:noFill/>
                  </pic:spPr>
                </pic:pic>
              </a:graphicData>
            </a:graphic>
          </wp:inline>
        </w:drawing>
      </w:r>
    </w:p>
    <w:p w14:paraId="768725E7" w14:textId="1161EA12" w:rsidR="00932F5A" w:rsidRDefault="00502CC9" w:rsidP="00932F5A">
      <w:pPr>
        <w:spacing w:after="0" w:line="480" w:lineRule="auto"/>
        <w:rPr>
          <w:rFonts w:ascii="Times New Roman" w:hAnsi="Times New Roman" w:cs="Times New Roman"/>
          <w:sz w:val="24"/>
          <w:szCs w:val="24"/>
        </w:rPr>
      </w:pPr>
      <w:r>
        <w:rPr>
          <w:rFonts w:ascii="Times New Roman" w:hAnsi="Times New Roman" w:cs="Times New Roman"/>
          <w:sz w:val="24"/>
          <w:szCs w:val="24"/>
        </w:rPr>
        <w:t>Figure 8</w:t>
      </w:r>
      <w:r w:rsidR="00932F5A">
        <w:rPr>
          <w:rFonts w:ascii="Times New Roman" w:hAnsi="Times New Roman" w:cs="Times New Roman"/>
          <w:sz w:val="24"/>
          <w:szCs w:val="24"/>
        </w:rPr>
        <w:t xml:space="preserve"> shows that the correct predictions of new agriculture (hits) are concentrated in the central area, which has the highest concentration of agriculture, and in the southeast and northeast sections of Zambia. The new agriculture that was not predicted (misses) are more spread out over the whole country, barring the large national parks. However, there are more misses in areas with more agriculture. The incorrect predictions of new agriculture (false alarms) </w:t>
      </w:r>
      <w:r w:rsidR="00932F5A">
        <w:rPr>
          <w:rFonts w:ascii="Times New Roman" w:hAnsi="Times New Roman" w:cs="Times New Roman"/>
          <w:sz w:val="24"/>
          <w:szCs w:val="24"/>
        </w:rPr>
        <w:lastRenderedPageBreak/>
        <w:t>are concentrated in the central and northeast sections of Zambia.</w:t>
      </w:r>
      <w:r w:rsidR="009D322E">
        <w:rPr>
          <w:rFonts w:ascii="Times New Roman" w:hAnsi="Times New Roman" w:cs="Times New Roman"/>
          <w:sz w:val="24"/>
          <w:szCs w:val="24"/>
        </w:rPr>
        <w:t xml:space="preserve"> Figure 9 shows that the Miss quantity is approximately as large as the exchanges and hits. The exchange categories are larger than the hit category.</w:t>
      </w:r>
      <w:r w:rsidR="006F19B0">
        <w:rPr>
          <w:rFonts w:ascii="Times New Roman" w:hAnsi="Times New Roman" w:cs="Times New Roman"/>
          <w:sz w:val="24"/>
          <w:szCs w:val="24"/>
        </w:rPr>
        <w:t xml:space="preserve"> The overall accuracy of the prediction was 92.12% correct</w:t>
      </w:r>
      <w:r w:rsidR="004C72D0">
        <w:rPr>
          <w:rFonts w:ascii="Times New Roman" w:hAnsi="Times New Roman" w:cs="Times New Roman"/>
          <w:sz w:val="24"/>
          <w:szCs w:val="24"/>
        </w:rPr>
        <w:t>.</w:t>
      </w:r>
    </w:p>
    <w:p w14:paraId="39C5F964" w14:textId="4907FB15" w:rsidR="00932F5A" w:rsidRDefault="00932F5A" w:rsidP="00932F5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run of the MLP for the </w:t>
      </w:r>
      <w:r w:rsidR="004C72D0">
        <w:rPr>
          <w:rFonts w:ascii="Times New Roman" w:hAnsi="Times New Roman" w:cs="Times New Roman"/>
          <w:sz w:val="24"/>
          <w:szCs w:val="24"/>
        </w:rPr>
        <w:t>transition potentials using 2010 and 2015 data</w:t>
      </w:r>
      <w:r w:rsidR="00192573">
        <w:rPr>
          <w:rFonts w:ascii="Times New Roman" w:hAnsi="Times New Roman" w:cs="Times New Roman"/>
          <w:sz w:val="24"/>
          <w:szCs w:val="24"/>
        </w:rPr>
        <w:t xml:space="preserve"> yielded a</w:t>
      </w:r>
      <w:r>
        <w:rPr>
          <w:rFonts w:ascii="Times New Roman" w:hAnsi="Times New Roman" w:cs="Times New Roman"/>
          <w:sz w:val="24"/>
          <w:szCs w:val="24"/>
        </w:rPr>
        <w:t xml:space="preserve"> </w:t>
      </w:r>
      <w:r w:rsidR="00453282">
        <w:rPr>
          <w:rFonts w:ascii="Times New Roman" w:hAnsi="Times New Roman" w:cs="Times New Roman"/>
          <w:sz w:val="24"/>
          <w:szCs w:val="24"/>
        </w:rPr>
        <w:t xml:space="preserve">calibration fit </w:t>
      </w:r>
      <w:r>
        <w:rPr>
          <w:rFonts w:ascii="Times New Roman" w:hAnsi="Times New Roman" w:cs="Times New Roman"/>
          <w:sz w:val="24"/>
          <w:szCs w:val="24"/>
        </w:rPr>
        <w:t xml:space="preserve">of 88.54% and a skill of 0.7707. Once again distance from agriculture was the most important variable, which used alone would have led to a decrease of less than 1 percentage point in the </w:t>
      </w:r>
      <w:r w:rsidR="00453282">
        <w:rPr>
          <w:rFonts w:ascii="Times New Roman" w:hAnsi="Times New Roman" w:cs="Times New Roman"/>
          <w:sz w:val="24"/>
          <w:szCs w:val="24"/>
        </w:rPr>
        <w:t xml:space="preserve">calibration fit </w:t>
      </w:r>
      <w:r>
        <w:rPr>
          <w:rFonts w:ascii="Times New Roman" w:hAnsi="Times New Roman" w:cs="Times New Roman"/>
          <w:sz w:val="24"/>
          <w:szCs w:val="24"/>
        </w:rPr>
        <w:t xml:space="preserve">of the model </w:t>
      </w:r>
      <w:r w:rsidR="00453282">
        <w:rPr>
          <w:rFonts w:ascii="Times New Roman" w:hAnsi="Times New Roman" w:cs="Times New Roman"/>
          <w:sz w:val="24"/>
          <w:szCs w:val="24"/>
        </w:rPr>
        <w:t xml:space="preserve">compared to a model that includes all variables </w:t>
      </w:r>
      <w:r>
        <w:rPr>
          <w:rFonts w:ascii="Times New Roman" w:hAnsi="Times New Roman" w:cs="Times New Roman"/>
          <w:sz w:val="24"/>
          <w:szCs w:val="24"/>
        </w:rPr>
        <w:t>(see appendix 3).</w:t>
      </w:r>
    </w:p>
    <w:p w14:paraId="7AFD4F82" w14:textId="255AEAC0" w:rsidR="00932F5A" w:rsidRPr="00502CC9" w:rsidRDefault="00932F5A" w:rsidP="00502CC9">
      <w:pPr>
        <w:spacing w:after="0" w:line="240" w:lineRule="auto"/>
        <w:rPr>
          <w:rFonts w:ascii="Times New Roman" w:hAnsi="Times New Roman" w:cs="Times New Roman"/>
        </w:rPr>
      </w:pPr>
      <w:r w:rsidRPr="00502CC9">
        <w:rPr>
          <w:rFonts w:ascii="Times New Roman" w:hAnsi="Times New Roman" w:cs="Times New Roman"/>
        </w:rPr>
        <w:t xml:space="preserve">Figure </w:t>
      </w:r>
      <w:r w:rsidR="009D322E">
        <w:rPr>
          <w:rFonts w:ascii="Times New Roman" w:hAnsi="Times New Roman" w:cs="Times New Roman"/>
        </w:rPr>
        <w:t>10</w:t>
      </w:r>
      <w:r w:rsidRPr="00502CC9">
        <w:rPr>
          <w:rFonts w:ascii="Times New Roman" w:hAnsi="Times New Roman" w:cs="Times New Roman"/>
        </w:rPr>
        <w:t xml:space="preserve">: </w:t>
      </w:r>
      <w:r w:rsidR="002145F5">
        <w:rPr>
          <w:rFonts w:ascii="Times New Roman" w:hAnsi="Times New Roman" w:cs="Times New Roman"/>
        </w:rPr>
        <w:t>Projected (2015-2020) Land Cover</w:t>
      </w:r>
    </w:p>
    <w:p w14:paraId="62E03ACA" w14:textId="10281299" w:rsidR="00932F5A" w:rsidRDefault="002145F5" w:rsidP="00932F5A">
      <w:pPr>
        <w:spacing w:after="0" w:line="480" w:lineRule="auto"/>
        <w:rPr>
          <w:rFonts w:ascii="Times New Roman" w:hAnsi="Times New Roman" w:cs="Times New Roman"/>
          <w:sz w:val="24"/>
          <w:szCs w:val="24"/>
        </w:rPr>
      </w:pPr>
      <w:r w:rsidRPr="002145F5">
        <w:rPr>
          <w:rFonts w:ascii="Times New Roman" w:hAnsi="Times New Roman" w:cs="Times New Roman"/>
          <w:noProof/>
          <w:sz w:val="24"/>
          <w:szCs w:val="24"/>
        </w:rPr>
        <w:drawing>
          <wp:inline distT="0" distB="0" distL="0" distR="0" wp14:anchorId="7C3F4547" wp14:editId="647EA563">
            <wp:extent cx="4752975" cy="3383448"/>
            <wp:effectExtent l="0" t="0" r="0" b="762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4761575" cy="3389570"/>
                    </a:xfrm>
                    <a:prstGeom prst="rect">
                      <a:avLst/>
                    </a:prstGeom>
                  </pic:spPr>
                </pic:pic>
              </a:graphicData>
            </a:graphic>
          </wp:inline>
        </w:drawing>
      </w:r>
    </w:p>
    <w:p w14:paraId="7CA9222E" w14:textId="459E08AC" w:rsidR="009A7C87" w:rsidRDefault="009D322E" w:rsidP="00932F5A">
      <w:pPr>
        <w:spacing w:after="0" w:line="480" w:lineRule="auto"/>
        <w:rPr>
          <w:rFonts w:ascii="Times New Roman" w:hAnsi="Times New Roman" w:cs="Times New Roman"/>
          <w:sz w:val="24"/>
          <w:szCs w:val="24"/>
        </w:rPr>
      </w:pPr>
      <w:r>
        <w:rPr>
          <w:rFonts w:ascii="Times New Roman" w:hAnsi="Times New Roman" w:cs="Times New Roman"/>
          <w:sz w:val="24"/>
          <w:szCs w:val="24"/>
        </w:rPr>
        <w:t>Figure 10</w:t>
      </w:r>
      <w:r w:rsidR="00932F5A">
        <w:rPr>
          <w:rFonts w:ascii="Times New Roman" w:hAnsi="Times New Roman" w:cs="Times New Roman"/>
          <w:sz w:val="24"/>
          <w:szCs w:val="24"/>
        </w:rPr>
        <w:t xml:space="preserve"> shows expansion of agriculture as expected. The predicted expansion is concentrated in the center, southeast and northeast of Zambia. The prediction in the northeast is similar to the over prediction for 2015.</w:t>
      </w:r>
    </w:p>
    <w:p w14:paraId="4E3DF2B2" w14:textId="77777777" w:rsidR="00192573" w:rsidRDefault="00192573" w:rsidP="00192573">
      <w:pPr>
        <w:spacing w:after="0" w:line="240" w:lineRule="auto"/>
        <w:rPr>
          <w:rFonts w:ascii="Times New Roman" w:hAnsi="Times New Roman" w:cs="Times New Roman"/>
        </w:rPr>
      </w:pPr>
    </w:p>
    <w:p w14:paraId="600EF1E6" w14:textId="77777777" w:rsidR="00192573" w:rsidRDefault="00192573" w:rsidP="00192573">
      <w:pPr>
        <w:spacing w:after="0" w:line="240" w:lineRule="auto"/>
        <w:rPr>
          <w:rFonts w:ascii="Times New Roman" w:hAnsi="Times New Roman" w:cs="Times New Roman"/>
        </w:rPr>
      </w:pPr>
    </w:p>
    <w:p w14:paraId="0040395F" w14:textId="77777777" w:rsidR="00192573" w:rsidRDefault="00192573" w:rsidP="00192573">
      <w:pPr>
        <w:spacing w:after="0" w:line="240" w:lineRule="auto"/>
        <w:rPr>
          <w:rFonts w:ascii="Times New Roman" w:hAnsi="Times New Roman" w:cs="Times New Roman"/>
        </w:rPr>
      </w:pPr>
    </w:p>
    <w:p w14:paraId="49E8C5AB" w14:textId="77777777" w:rsidR="00192573" w:rsidRDefault="00192573" w:rsidP="00192573">
      <w:pPr>
        <w:spacing w:after="0" w:line="240" w:lineRule="auto"/>
        <w:rPr>
          <w:rFonts w:ascii="Times New Roman" w:hAnsi="Times New Roman" w:cs="Times New Roman"/>
        </w:rPr>
      </w:pPr>
    </w:p>
    <w:p w14:paraId="5ABF9104" w14:textId="6816B348" w:rsidR="008F0655" w:rsidRPr="00D9325F" w:rsidRDefault="00FC5DC0" w:rsidP="00D9325F">
      <w:pPr>
        <w:spacing w:after="0" w:line="240" w:lineRule="auto"/>
        <w:rPr>
          <w:rFonts w:ascii="Times New Roman" w:hAnsi="Times New Roman" w:cs="Times New Roman"/>
        </w:rPr>
      </w:pPr>
      <w:r w:rsidRPr="00D9325F">
        <w:rPr>
          <w:rFonts w:ascii="Times New Roman" w:hAnsi="Times New Roman" w:cs="Times New Roman"/>
        </w:rPr>
        <w:lastRenderedPageBreak/>
        <w:t>Figure 11: Scatterplot showing percentage of Zambia that is ag, reference and predicted.</w:t>
      </w:r>
    </w:p>
    <w:p w14:paraId="7299D9D3" w14:textId="63AE9659" w:rsidR="00FC5DC0" w:rsidRDefault="00FC5DC0" w:rsidP="00932F5A">
      <w:pPr>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BCAC241" wp14:editId="15AA1B3F">
                <wp:simplePos x="0" y="0"/>
                <wp:positionH relativeFrom="column">
                  <wp:posOffset>3790950</wp:posOffset>
                </wp:positionH>
                <wp:positionV relativeFrom="paragraph">
                  <wp:posOffset>1873885</wp:posOffset>
                </wp:positionV>
                <wp:extent cx="628650" cy="1619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628650"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C4D6C" id="Rectangle 20" o:spid="_x0000_s1026" style="position:absolute;margin-left:298.5pt;margin-top:147.55pt;width:49.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" fillcolor="white [3212]" strokecolor="white [3212]" strokeweight="1pt"/>
            </w:pict>
          </mc:Fallback>
        </mc:AlternateContent>
      </w:r>
      <w:r>
        <w:rPr>
          <w:rFonts w:ascii="Times New Roman" w:hAnsi="Times New Roman" w:cs="Times New Roman"/>
          <w:noProof/>
          <w:sz w:val="24"/>
          <w:szCs w:val="24"/>
        </w:rPr>
        <w:drawing>
          <wp:inline distT="0" distB="0" distL="0" distR="0" wp14:anchorId="322DD8FB" wp14:editId="55D5A683">
            <wp:extent cx="4821936" cy="3133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9167" cy="3196914"/>
                    </a:xfrm>
                    <a:prstGeom prst="rect">
                      <a:avLst/>
                    </a:prstGeom>
                    <a:noFill/>
                  </pic:spPr>
                </pic:pic>
              </a:graphicData>
            </a:graphic>
          </wp:inline>
        </w:drawing>
      </w:r>
    </w:p>
    <w:p w14:paraId="0D2EB9D7" w14:textId="3E79C7B5" w:rsidR="00FC5DC0" w:rsidRDefault="00FC5DC0" w:rsidP="00932F5A">
      <w:pPr>
        <w:spacing w:after="0" w:line="480" w:lineRule="auto"/>
        <w:rPr>
          <w:rFonts w:ascii="Times New Roman" w:hAnsi="Times New Roman" w:cs="Times New Roman"/>
          <w:sz w:val="24"/>
          <w:szCs w:val="24"/>
        </w:rPr>
      </w:pPr>
      <w:r>
        <w:rPr>
          <w:rFonts w:ascii="Times New Roman" w:hAnsi="Times New Roman" w:cs="Times New Roman"/>
          <w:sz w:val="24"/>
          <w:szCs w:val="24"/>
        </w:rPr>
        <w:t>Figure 11 demonstrates how the prediction of quantity of agriculture for 2015 and 2020 are based on the gross gains of agriculture from the calibration time intervals</w:t>
      </w:r>
      <w:r w:rsidR="00192573">
        <w:rPr>
          <w:rFonts w:ascii="Times New Roman" w:hAnsi="Times New Roman" w:cs="Times New Roman"/>
          <w:sz w:val="24"/>
          <w:szCs w:val="24"/>
        </w:rPr>
        <w:t>, because only gain of agriculture was modeled</w:t>
      </w:r>
      <w:r w:rsidR="0032789A">
        <w:rPr>
          <w:rFonts w:ascii="Times New Roman" w:hAnsi="Times New Roman" w:cs="Times New Roman"/>
          <w:sz w:val="24"/>
          <w:szCs w:val="24"/>
        </w:rPr>
        <w:t xml:space="preserve">. It also shows that the projected agriculture for 2015 covers over 3 percentage points less of Zambia than the reference agriculture. </w:t>
      </w:r>
    </w:p>
    <w:p w14:paraId="35A0FBB9" w14:textId="77777777" w:rsidR="00932F5A" w:rsidRDefault="00932F5A" w:rsidP="00932F5A">
      <w:pPr>
        <w:spacing w:after="0" w:line="480" w:lineRule="auto"/>
        <w:rPr>
          <w:rFonts w:ascii="Times New Roman" w:hAnsi="Times New Roman" w:cs="Times New Roman"/>
          <w:sz w:val="24"/>
          <w:szCs w:val="24"/>
        </w:rPr>
      </w:pPr>
      <w:r w:rsidRPr="009A7C87">
        <w:rPr>
          <w:rFonts w:ascii="Times New Roman" w:hAnsi="Times New Roman" w:cs="Times New Roman"/>
          <w:sz w:val="24"/>
          <w:szCs w:val="24"/>
          <w:u w:val="single"/>
        </w:rPr>
        <w:t>Chapter 4, Discussion</w:t>
      </w:r>
      <w:r>
        <w:rPr>
          <w:rFonts w:ascii="Times New Roman" w:hAnsi="Times New Roman" w:cs="Times New Roman"/>
          <w:sz w:val="24"/>
          <w:szCs w:val="24"/>
        </w:rPr>
        <w:t>:</w:t>
      </w:r>
    </w:p>
    <w:p w14:paraId="3B3F4C7A" w14:textId="23987A9D" w:rsidR="004E1A4C" w:rsidRDefault="00932F5A" w:rsidP="00F1661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F16615">
        <w:rPr>
          <w:rFonts w:ascii="Times New Roman" w:hAnsi="Times New Roman" w:cs="Times New Roman"/>
          <w:sz w:val="24"/>
          <w:szCs w:val="24"/>
        </w:rPr>
        <w:t xml:space="preserve">The fact that there are gains of agriculture found in both time intervals is in keeping with the </w:t>
      </w:r>
      <w:r w:rsidR="005A20FC">
        <w:rPr>
          <w:rFonts w:ascii="Times New Roman" w:hAnsi="Times New Roman" w:cs="Times New Roman"/>
          <w:sz w:val="24"/>
          <w:szCs w:val="24"/>
        </w:rPr>
        <w:t>trends found in my review of the literature in Chapter 1</w:t>
      </w:r>
      <w:r w:rsidR="008F0655">
        <w:rPr>
          <w:rFonts w:ascii="Times New Roman" w:hAnsi="Times New Roman" w:cs="Times New Roman"/>
          <w:sz w:val="24"/>
          <w:szCs w:val="24"/>
        </w:rPr>
        <w:t xml:space="preserve"> with most studies showing expansion of agriculture</w:t>
      </w:r>
      <w:r w:rsidR="00F16615">
        <w:rPr>
          <w:rFonts w:ascii="Times New Roman" w:hAnsi="Times New Roman" w:cs="Times New Roman"/>
          <w:sz w:val="24"/>
          <w:szCs w:val="24"/>
        </w:rPr>
        <w:t xml:space="preserve">. </w:t>
      </w:r>
      <w:r w:rsidR="007F6B7A" w:rsidRPr="007F6B7A">
        <w:rPr>
          <w:rFonts w:ascii="Times New Roman" w:hAnsi="Times New Roman" w:cs="Times New Roman"/>
          <w:sz w:val="24"/>
          <w:szCs w:val="24"/>
        </w:rPr>
        <w:t>The amount of agriculture in Zambia more than tripled from 2000 to 2015, with most of the gain coming from 2010-2015</w:t>
      </w:r>
      <w:r w:rsidR="007F6B7A">
        <w:rPr>
          <w:rFonts w:ascii="Times New Roman" w:hAnsi="Times New Roman" w:cs="Times New Roman"/>
          <w:sz w:val="24"/>
          <w:szCs w:val="24"/>
        </w:rPr>
        <w:t xml:space="preserve">. </w:t>
      </w:r>
      <w:r w:rsidR="00F16615">
        <w:rPr>
          <w:rFonts w:ascii="Times New Roman" w:hAnsi="Times New Roman" w:cs="Times New Roman"/>
          <w:sz w:val="24"/>
          <w:szCs w:val="24"/>
        </w:rPr>
        <w:t xml:space="preserve">The larger gain in the second time interval is somewhat surprising </w:t>
      </w:r>
      <w:r w:rsidR="00453282">
        <w:rPr>
          <w:rFonts w:ascii="Times New Roman" w:hAnsi="Times New Roman" w:cs="Times New Roman"/>
          <w:sz w:val="24"/>
          <w:szCs w:val="24"/>
        </w:rPr>
        <w:t xml:space="preserve">because the duration of the second time interval </w:t>
      </w:r>
      <w:r w:rsidR="00F16615">
        <w:rPr>
          <w:rFonts w:ascii="Times New Roman" w:hAnsi="Times New Roman" w:cs="Times New Roman"/>
          <w:sz w:val="24"/>
          <w:szCs w:val="24"/>
        </w:rPr>
        <w:t xml:space="preserve">is </w:t>
      </w:r>
      <w:r w:rsidR="00453282">
        <w:rPr>
          <w:rFonts w:ascii="Times New Roman" w:hAnsi="Times New Roman" w:cs="Times New Roman"/>
          <w:sz w:val="24"/>
          <w:szCs w:val="24"/>
        </w:rPr>
        <w:t xml:space="preserve">half the duration of </w:t>
      </w:r>
      <w:r w:rsidR="00F16615">
        <w:rPr>
          <w:rFonts w:ascii="Times New Roman" w:hAnsi="Times New Roman" w:cs="Times New Roman"/>
          <w:sz w:val="24"/>
          <w:szCs w:val="24"/>
        </w:rPr>
        <w:t>the first time interval.</w:t>
      </w:r>
      <w:r w:rsidR="00F22739">
        <w:rPr>
          <w:rFonts w:ascii="Times New Roman" w:hAnsi="Times New Roman" w:cs="Times New Roman"/>
          <w:sz w:val="24"/>
          <w:szCs w:val="24"/>
        </w:rPr>
        <w:t xml:space="preserve"> The total gain of agriculture is likely smaller in reality.</w:t>
      </w:r>
      <w:r w:rsidR="00F16615">
        <w:rPr>
          <w:rFonts w:ascii="Times New Roman" w:hAnsi="Times New Roman" w:cs="Times New Roman"/>
          <w:sz w:val="24"/>
          <w:szCs w:val="24"/>
        </w:rPr>
        <w:t xml:space="preserve"> The larger exchange quantities in the first time interval could have t</w:t>
      </w:r>
      <w:r w:rsidR="008F0655">
        <w:rPr>
          <w:rFonts w:ascii="Times New Roman" w:hAnsi="Times New Roman" w:cs="Times New Roman"/>
          <w:sz w:val="24"/>
          <w:szCs w:val="24"/>
        </w:rPr>
        <w:t>wo</w:t>
      </w:r>
      <w:r w:rsidR="00F16615">
        <w:rPr>
          <w:rFonts w:ascii="Times New Roman" w:hAnsi="Times New Roman" w:cs="Times New Roman"/>
          <w:sz w:val="24"/>
          <w:szCs w:val="24"/>
        </w:rPr>
        <w:t xml:space="preserve"> explanations. There might have been more shifting cultivation taking place in that time interval, and less in the more recent one. This is supported by the finding that the area in the northeast with the highest proportion of </w:t>
      </w:r>
      <w:r w:rsidR="00D84551">
        <w:rPr>
          <w:rFonts w:ascii="Times New Roman" w:hAnsi="Times New Roman" w:cs="Times New Roman"/>
          <w:sz w:val="24"/>
          <w:szCs w:val="24"/>
        </w:rPr>
        <w:t>chitemene</w:t>
      </w:r>
      <w:r w:rsidR="00F16615">
        <w:rPr>
          <w:rFonts w:ascii="Times New Roman" w:hAnsi="Times New Roman" w:cs="Times New Roman"/>
          <w:sz w:val="24"/>
          <w:szCs w:val="24"/>
        </w:rPr>
        <w:t xml:space="preserve"> </w:t>
      </w:r>
      <w:r w:rsidR="00F16615">
        <w:rPr>
          <w:rFonts w:ascii="Times New Roman" w:hAnsi="Times New Roman" w:cs="Times New Roman"/>
          <w:sz w:val="24"/>
          <w:szCs w:val="24"/>
        </w:rPr>
        <w:lastRenderedPageBreak/>
        <w:t>experiences a modest decrease in gain intensity but a large decrease in loss intensity</w:t>
      </w:r>
      <w:r w:rsidR="004C72D0">
        <w:rPr>
          <w:rFonts w:ascii="Times New Roman" w:hAnsi="Times New Roman" w:cs="Times New Roman"/>
          <w:sz w:val="24"/>
          <w:szCs w:val="24"/>
        </w:rPr>
        <w:t xml:space="preserve"> as do other areas with lower concentrations of agriculture</w:t>
      </w:r>
      <w:r w:rsidR="00F16615">
        <w:rPr>
          <w:rFonts w:ascii="Times New Roman" w:hAnsi="Times New Roman" w:cs="Times New Roman"/>
          <w:sz w:val="24"/>
          <w:szCs w:val="24"/>
        </w:rPr>
        <w:t>, while the central districts with the most agriculture and a smaller proportion of shifting cultivation experience modest declines in both gain and loss intensities.</w:t>
      </w:r>
      <w:r w:rsidR="006A686B">
        <w:rPr>
          <w:rFonts w:ascii="Times New Roman" w:hAnsi="Times New Roman" w:cs="Times New Roman"/>
          <w:sz w:val="24"/>
          <w:szCs w:val="24"/>
        </w:rPr>
        <w:t xml:space="preserve"> Higher gain and loss intensities</w:t>
      </w:r>
      <w:r w:rsidR="005A20FC">
        <w:rPr>
          <w:rFonts w:ascii="Times New Roman" w:hAnsi="Times New Roman" w:cs="Times New Roman"/>
          <w:sz w:val="24"/>
          <w:szCs w:val="24"/>
        </w:rPr>
        <w:t xml:space="preserve"> with low net gain of agriculture</w:t>
      </w:r>
      <w:r w:rsidR="006A686B">
        <w:rPr>
          <w:rFonts w:ascii="Times New Roman" w:hAnsi="Times New Roman" w:cs="Times New Roman"/>
          <w:sz w:val="24"/>
          <w:szCs w:val="24"/>
        </w:rPr>
        <w:t xml:space="preserve"> are consistent with more shifting cultivation.</w:t>
      </w:r>
      <w:r w:rsidR="00F16615">
        <w:rPr>
          <w:rFonts w:ascii="Times New Roman" w:hAnsi="Times New Roman" w:cs="Times New Roman"/>
          <w:sz w:val="24"/>
          <w:szCs w:val="24"/>
        </w:rPr>
        <w:t xml:space="preserve"> This discrepancy could also be the result of error in the classification</w:t>
      </w:r>
      <w:r w:rsidR="005A20FC">
        <w:rPr>
          <w:rFonts w:ascii="Times New Roman" w:hAnsi="Times New Roman" w:cs="Times New Roman"/>
          <w:sz w:val="24"/>
          <w:szCs w:val="24"/>
        </w:rPr>
        <w:t>s</w:t>
      </w:r>
      <w:r w:rsidR="00F16615">
        <w:rPr>
          <w:rFonts w:ascii="Times New Roman" w:hAnsi="Times New Roman" w:cs="Times New Roman"/>
          <w:sz w:val="24"/>
          <w:szCs w:val="24"/>
        </w:rPr>
        <w:t>.</w:t>
      </w:r>
      <w:r w:rsidR="004402EC">
        <w:rPr>
          <w:rFonts w:ascii="Times New Roman" w:hAnsi="Times New Roman" w:cs="Times New Roman"/>
          <w:sz w:val="24"/>
          <w:szCs w:val="24"/>
        </w:rPr>
        <w:t xml:space="preserve"> The gain in the second time interval seems too large. Data from FAOstat that is derived from MODIS imagery shows a much more modest gain for this time interval, although it is larger than the gain from 2001-2010 (see appendix 6).</w:t>
      </w:r>
      <w:r w:rsidR="004E1A4C">
        <w:rPr>
          <w:rFonts w:ascii="Times New Roman" w:hAnsi="Times New Roman" w:cs="Times New Roman"/>
          <w:sz w:val="24"/>
          <w:szCs w:val="24"/>
        </w:rPr>
        <w:t xml:space="preserve"> An accuracy assessment of the data based on approximately 600 validation points for each date reveals the following percent accuracies for the agriculture class:</w:t>
      </w:r>
      <w:r w:rsidR="00F16615">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337"/>
        <w:gridCol w:w="2337"/>
        <w:gridCol w:w="2338"/>
        <w:gridCol w:w="2338"/>
      </w:tblGrid>
      <w:tr w:rsidR="004E1A4C" w14:paraId="1C2BA563" w14:textId="77777777" w:rsidTr="004E1A4C">
        <w:tc>
          <w:tcPr>
            <w:tcW w:w="2337" w:type="dxa"/>
          </w:tcPr>
          <w:p w14:paraId="62CD974C" w14:textId="2F376A9C"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Accuracy in terms of-</w:t>
            </w:r>
          </w:p>
        </w:tc>
        <w:tc>
          <w:tcPr>
            <w:tcW w:w="2337" w:type="dxa"/>
          </w:tcPr>
          <w:p w14:paraId="04322710" w14:textId="678AEF9B"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2000</w:t>
            </w:r>
          </w:p>
        </w:tc>
        <w:tc>
          <w:tcPr>
            <w:tcW w:w="2338" w:type="dxa"/>
          </w:tcPr>
          <w:p w14:paraId="13114C3C" w14:textId="4F812350"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2010</w:t>
            </w:r>
          </w:p>
        </w:tc>
        <w:tc>
          <w:tcPr>
            <w:tcW w:w="2338" w:type="dxa"/>
          </w:tcPr>
          <w:p w14:paraId="19A64ED9" w14:textId="18C2AF7A"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2015</w:t>
            </w:r>
          </w:p>
        </w:tc>
      </w:tr>
      <w:tr w:rsidR="004E1A4C" w14:paraId="51EB42CA" w14:textId="77777777" w:rsidTr="004E1A4C">
        <w:tc>
          <w:tcPr>
            <w:tcW w:w="2337" w:type="dxa"/>
          </w:tcPr>
          <w:p w14:paraId="5174968A" w14:textId="42A1C9AF"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Commission</w:t>
            </w:r>
          </w:p>
        </w:tc>
        <w:tc>
          <w:tcPr>
            <w:tcW w:w="2337" w:type="dxa"/>
          </w:tcPr>
          <w:p w14:paraId="00C0023B" w14:textId="4DB6BFC4"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87.69</w:t>
            </w:r>
          </w:p>
        </w:tc>
        <w:tc>
          <w:tcPr>
            <w:tcW w:w="2338" w:type="dxa"/>
          </w:tcPr>
          <w:p w14:paraId="61223998" w14:textId="4F1E5A49"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76.70</w:t>
            </w:r>
          </w:p>
        </w:tc>
        <w:tc>
          <w:tcPr>
            <w:tcW w:w="2338" w:type="dxa"/>
          </w:tcPr>
          <w:p w14:paraId="790863D8" w14:textId="480ABA87"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56.03</w:t>
            </w:r>
          </w:p>
        </w:tc>
      </w:tr>
      <w:tr w:rsidR="004E1A4C" w14:paraId="30039030" w14:textId="77777777" w:rsidTr="004E1A4C">
        <w:tc>
          <w:tcPr>
            <w:tcW w:w="2337" w:type="dxa"/>
          </w:tcPr>
          <w:p w14:paraId="496E19D2" w14:textId="0A83F583"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Omission</w:t>
            </w:r>
          </w:p>
        </w:tc>
        <w:tc>
          <w:tcPr>
            <w:tcW w:w="2337" w:type="dxa"/>
          </w:tcPr>
          <w:p w14:paraId="1FE17059" w14:textId="13F0EA67"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52.29</w:t>
            </w:r>
          </w:p>
        </w:tc>
        <w:tc>
          <w:tcPr>
            <w:tcW w:w="2338" w:type="dxa"/>
          </w:tcPr>
          <w:p w14:paraId="269FBEC1" w14:textId="27001EF9"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65.29</w:t>
            </w:r>
          </w:p>
        </w:tc>
        <w:tc>
          <w:tcPr>
            <w:tcW w:w="2338" w:type="dxa"/>
          </w:tcPr>
          <w:p w14:paraId="5965C356" w14:textId="5CF68135" w:rsidR="004E1A4C" w:rsidRDefault="004E1A4C" w:rsidP="00F16615">
            <w:pPr>
              <w:spacing w:line="480" w:lineRule="auto"/>
              <w:rPr>
                <w:rFonts w:ascii="Times New Roman" w:hAnsi="Times New Roman" w:cs="Times New Roman"/>
                <w:sz w:val="24"/>
                <w:szCs w:val="24"/>
              </w:rPr>
            </w:pPr>
            <w:r>
              <w:rPr>
                <w:rFonts w:ascii="Times New Roman" w:hAnsi="Times New Roman" w:cs="Times New Roman"/>
                <w:sz w:val="24"/>
                <w:szCs w:val="24"/>
              </w:rPr>
              <w:t>87.80</w:t>
            </w:r>
          </w:p>
        </w:tc>
      </w:tr>
    </w:tbl>
    <w:p w14:paraId="568F38B3" w14:textId="3DC8851D" w:rsidR="004E1A4C" w:rsidRDefault="004E1A4C" w:rsidP="00F16615">
      <w:pPr>
        <w:spacing w:after="0" w:line="480" w:lineRule="auto"/>
        <w:rPr>
          <w:rFonts w:ascii="Times New Roman" w:hAnsi="Times New Roman" w:cs="Times New Roman"/>
          <w:sz w:val="24"/>
          <w:szCs w:val="24"/>
        </w:rPr>
      </w:pPr>
    </w:p>
    <w:p w14:paraId="3E6D7A06" w14:textId="5BC79EBA" w:rsidR="00F16615" w:rsidRDefault="004E1A4C" w:rsidP="00F16615">
      <w:pPr>
        <w:spacing w:after="0" w:line="480" w:lineRule="auto"/>
        <w:rPr>
          <w:rFonts w:ascii="Times New Roman" w:hAnsi="Times New Roman" w:cs="Times New Roman"/>
          <w:sz w:val="24"/>
          <w:szCs w:val="24"/>
        </w:rPr>
      </w:pPr>
      <w:r>
        <w:rPr>
          <w:rFonts w:ascii="Times New Roman" w:hAnsi="Times New Roman" w:cs="Times New Roman"/>
          <w:sz w:val="24"/>
          <w:szCs w:val="24"/>
        </w:rPr>
        <w:t>This indicates that the classifications under predicted agriculture in 2000 and 2010, while over predicting agriculture in 2015, which could account for the apparent large gain of agriculture from 2010 to 2015.</w:t>
      </w:r>
      <w:r w:rsidR="00923CB1">
        <w:rPr>
          <w:rFonts w:ascii="Times New Roman" w:hAnsi="Times New Roman" w:cs="Times New Roman"/>
          <w:sz w:val="24"/>
          <w:szCs w:val="24"/>
        </w:rPr>
        <w:t xml:space="preserve"> These accuracies are lower overall than those found by (Baltezar et al., 2020) which were for only agro ecological zone IIa. That zone includes most of the more concentrated areas of agriculture in the central and southeastern parts of the country, indicating that the classifications were more accurate for those areas.</w:t>
      </w:r>
      <w:r>
        <w:rPr>
          <w:rFonts w:ascii="Times New Roman" w:hAnsi="Times New Roman" w:cs="Times New Roman"/>
          <w:sz w:val="24"/>
          <w:szCs w:val="24"/>
        </w:rPr>
        <w:t xml:space="preserve"> </w:t>
      </w:r>
      <w:r w:rsidR="00F16615">
        <w:rPr>
          <w:rFonts w:ascii="Times New Roman" w:hAnsi="Times New Roman" w:cs="Times New Roman"/>
          <w:sz w:val="24"/>
          <w:szCs w:val="24"/>
        </w:rPr>
        <w:t>The toggle in the image does likely represent some error. However, there is a higher proportion of toggle in the northeast</w:t>
      </w:r>
      <w:r w:rsidR="00453282">
        <w:rPr>
          <w:rFonts w:ascii="Times New Roman" w:hAnsi="Times New Roman" w:cs="Times New Roman"/>
          <w:sz w:val="24"/>
          <w:szCs w:val="24"/>
        </w:rPr>
        <w:t>,</w:t>
      </w:r>
      <w:r w:rsidR="00F16615">
        <w:rPr>
          <w:rFonts w:ascii="Times New Roman" w:hAnsi="Times New Roman" w:cs="Times New Roman"/>
          <w:sz w:val="24"/>
          <w:szCs w:val="24"/>
        </w:rPr>
        <w:t xml:space="preserve"> which supports the idea that toggle primarily represents </w:t>
      </w:r>
      <w:r w:rsidR="00D84551">
        <w:rPr>
          <w:rFonts w:ascii="Times New Roman" w:hAnsi="Times New Roman" w:cs="Times New Roman"/>
          <w:sz w:val="24"/>
          <w:szCs w:val="24"/>
        </w:rPr>
        <w:t>chitemene</w:t>
      </w:r>
      <w:r w:rsidR="00F16615">
        <w:rPr>
          <w:rFonts w:ascii="Times New Roman" w:hAnsi="Times New Roman" w:cs="Times New Roman"/>
          <w:sz w:val="24"/>
          <w:szCs w:val="24"/>
        </w:rPr>
        <w:t xml:space="preserve"> shifting cultivation.</w:t>
      </w:r>
      <w:r w:rsidR="00D84551">
        <w:rPr>
          <w:rFonts w:ascii="Times New Roman" w:hAnsi="Times New Roman" w:cs="Times New Roman"/>
          <w:sz w:val="24"/>
          <w:szCs w:val="24"/>
        </w:rPr>
        <w:t xml:space="preserve"> Most of the gain in </w:t>
      </w:r>
      <w:r w:rsidR="00D84551">
        <w:rPr>
          <w:rFonts w:ascii="Times New Roman" w:hAnsi="Times New Roman" w:cs="Times New Roman"/>
          <w:sz w:val="24"/>
          <w:szCs w:val="24"/>
        </w:rPr>
        <w:lastRenderedPageBreak/>
        <w:t>agriculture in Zambia is coming in areas that already have a higher percentage of agriculture, where less agriculture is being converted to non-agriculture.</w:t>
      </w:r>
    </w:p>
    <w:p w14:paraId="5E312D86" w14:textId="18995FC6" w:rsidR="00CD39D9" w:rsidRDefault="00F16615" w:rsidP="00CD39D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D39D9">
        <w:rPr>
          <w:rFonts w:ascii="Times New Roman" w:hAnsi="Times New Roman" w:cs="Times New Roman"/>
          <w:sz w:val="24"/>
          <w:szCs w:val="24"/>
        </w:rPr>
        <w:t xml:space="preserve">New agriculture is being created near existing agriculture. Given that the study area has large areas of non-agriculture that is not surprising, although the exclusion of national park land </w:t>
      </w:r>
      <w:r w:rsidR="00E64181">
        <w:rPr>
          <w:rFonts w:ascii="Times New Roman" w:hAnsi="Times New Roman" w:cs="Times New Roman"/>
          <w:sz w:val="24"/>
          <w:szCs w:val="24"/>
        </w:rPr>
        <w:t>decreases the severity</w:t>
      </w:r>
      <w:r w:rsidR="00CD39D9">
        <w:rPr>
          <w:rFonts w:ascii="Times New Roman" w:hAnsi="Times New Roman" w:cs="Times New Roman"/>
          <w:sz w:val="24"/>
          <w:szCs w:val="24"/>
        </w:rPr>
        <w:t xml:space="preserve"> this issue. The other three variables that were found to be predictive are similar to distance from existing agriculture as they are focused on areas of human activity.</w:t>
      </w:r>
      <w:r w:rsidR="00E64181">
        <w:rPr>
          <w:rFonts w:ascii="Times New Roman" w:hAnsi="Times New Roman" w:cs="Times New Roman"/>
          <w:sz w:val="24"/>
          <w:szCs w:val="24"/>
        </w:rPr>
        <w:t xml:space="preserve"> However, in the models, these variables are dwarfed by distance from agriculture, which could indicate that they are </w:t>
      </w:r>
      <w:r w:rsidR="00C95B0E">
        <w:rPr>
          <w:rFonts w:ascii="Times New Roman" w:hAnsi="Times New Roman" w:cs="Times New Roman"/>
          <w:sz w:val="24"/>
          <w:szCs w:val="24"/>
        </w:rPr>
        <w:t xml:space="preserve">showing the same phenomenon </w:t>
      </w:r>
      <w:r w:rsidR="007971E8">
        <w:rPr>
          <w:rFonts w:ascii="Times New Roman" w:hAnsi="Times New Roman" w:cs="Times New Roman"/>
          <w:sz w:val="24"/>
          <w:szCs w:val="24"/>
        </w:rPr>
        <w:t xml:space="preserve">just </w:t>
      </w:r>
      <w:r w:rsidR="00C95B0E">
        <w:rPr>
          <w:rFonts w:ascii="Times New Roman" w:hAnsi="Times New Roman" w:cs="Times New Roman"/>
          <w:sz w:val="24"/>
          <w:szCs w:val="24"/>
        </w:rPr>
        <w:t>less strongly.</w:t>
      </w:r>
      <w:r w:rsidR="00CD39D9">
        <w:rPr>
          <w:rFonts w:ascii="Times New Roman" w:hAnsi="Times New Roman" w:cs="Times New Roman"/>
          <w:sz w:val="24"/>
          <w:szCs w:val="24"/>
        </w:rPr>
        <w:t xml:space="preserve"> Elevation and slope were not found to be </w:t>
      </w:r>
      <w:r w:rsidR="007971E8">
        <w:rPr>
          <w:rFonts w:ascii="Times New Roman" w:hAnsi="Times New Roman" w:cs="Times New Roman"/>
          <w:sz w:val="24"/>
          <w:szCs w:val="24"/>
        </w:rPr>
        <w:t>predictive;</w:t>
      </w:r>
      <w:r w:rsidR="00CD39D9">
        <w:rPr>
          <w:rFonts w:ascii="Times New Roman" w:hAnsi="Times New Roman" w:cs="Times New Roman"/>
          <w:sz w:val="24"/>
          <w:szCs w:val="24"/>
        </w:rPr>
        <w:t xml:space="preserve"> this is partly because high slopes were eliminated from the maps before the analysis, and some of the highest elevations in Zambia are in a national park</w:t>
      </w:r>
      <w:r w:rsidR="00C95B0E">
        <w:rPr>
          <w:rFonts w:ascii="Times New Roman" w:hAnsi="Times New Roman" w:cs="Times New Roman"/>
          <w:sz w:val="24"/>
          <w:szCs w:val="24"/>
        </w:rPr>
        <w:t xml:space="preserve"> (see appendix 1)</w:t>
      </w:r>
      <w:r w:rsidR="00CD39D9">
        <w:rPr>
          <w:rFonts w:ascii="Times New Roman" w:hAnsi="Times New Roman" w:cs="Times New Roman"/>
          <w:sz w:val="24"/>
          <w:szCs w:val="24"/>
        </w:rPr>
        <w:t>. Crop climate suitability and soil productivity index were not found to be predictive. This could indicate that farmers in Zambia have used up much of the most desirable land, and new farms are being made on less desirable land. According to the crop climate suitability model output, much of the land area of Zambia is highly suitable for the main crops produced in Zambia. The soil index only has six levels, and just one of those levels covers much of Zambia</w:t>
      </w:r>
      <w:r w:rsidR="004C72D0">
        <w:rPr>
          <w:rFonts w:ascii="Times New Roman" w:hAnsi="Times New Roman" w:cs="Times New Roman"/>
          <w:sz w:val="24"/>
          <w:szCs w:val="24"/>
        </w:rPr>
        <w:t xml:space="preserve"> (see appendix 1)</w:t>
      </w:r>
      <w:r w:rsidR="00CD39D9">
        <w:rPr>
          <w:rFonts w:ascii="Times New Roman" w:hAnsi="Times New Roman" w:cs="Times New Roman"/>
          <w:sz w:val="24"/>
          <w:szCs w:val="24"/>
        </w:rPr>
        <w:t>. This could also indicate that there is a problem with the underlying data or the indices themselves.</w:t>
      </w:r>
    </w:p>
    <w:p w14:paraId="6E68FEFE" w14:textId="1E908EB2" w:rsidR="004E523C" w:rsidRDefault="004E523C" w:rsidP="00CD39D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FB5AFC">
        <w:rPr>
          <w:rFonts w:ascii="Times New Roman" w:hAnsi="Times New Roman" w:cs="Times New Roman"/>
          <w:sz w:val="24"/>
          <w:szCs w:val="24"/>
        </w:rPr>
        <w:t>The variable distance from roads is by far the most important in the LCMs predictions. This could be partly because Zambia is such a large study area most of which is not agriculture. The transition potentials produced by the</w:t>
      </w:r>
      <w:r w:rsidR="004C72D0">
        <w:rPr>
          <w:rFonts w:ascii="Times New Roman" w:hAnsi="Times New Roman" w:cs="Times New Roman"/>
          <w:sz w:val="24"/>
          <w:szCs w:val="24"/>
        </w:rPr>
        <w:t xml:space="preserve"> MLP in the</w:t>
      </w:r>
      <w:r w:rsidR="00FB5AFC">
        <w:rPr>
          <w:rFonts w:ascii="Times New Roman" w:hAnsi="Times New Roman" w:cs="Times New Roman"/>
          <w:sz w:val="24"/>
          <w:szCs w:val="24"/>
        </w:rPr>
        <w:t xml:space="preserve"> LCM have a lower AUC from the TOC graph than distance from roads</w:t>
      </w:r>
      <w:r w:rsidR="004C72D0">
        <w:rPr>
          <w:rFonts w:ascii="Times New Roman" w:hAnsi="Times New Roman" w:cs="Times New Roman"/>
          <w:sz w:val="24"/>
          <w:szCs w:val="24"/>
        </w:rPr>
        <w:t xml:space="preserve"> alone does</w:t>
      </w:r>
      <w:r w:rsidR="00FB5AFC">
        <w:rPr>
          <w:rFonts w:ascii="Times New Roman" w:hAnsi="Times New Roman" w:cs="Times New Roman"/>
          <w:sz w:val="24"/>
          <w:szCs w:val="24"/>
        </w:rPr>
        <w:t>. This indicates that adding other variables and using more complex methods was not helpful in determining where new agriculture is being created. The MLP under predicted the gain of agriculture</w:t>
      </w:r>
      <w:r w:rsidR="004C72D0">
        <w:rPr>
          <w:rFonts w:ascii="Times New Roman" w:hAnsi="Times New Roman" w:cs="Times New Roman"/>
          <w:sz w:val="24"/>
          <w:szCs w:val="24"/>
        </w:rPr>
        <w:t xml:space="preserve"> from 2010-2015</w:t>
      </w:r>
      <w:r w:rsidR="00FB5AFC">
        <w:rPr>
          <w:rFonts w:ascii="Times New Roman" w:hAnsi="Times New Roman" w:cs="Times New Roman"/>
          <w:sz w:val="24"/>
          <w:szCs w:val="24"/>
        </w:rPr>
        <w:t xml:space="preserve"> because there was a larger and </w:t>
      </w:r>
      <w:r w:rsidR="00FB5AFC">
        <w:rPr>
          <w:rFonts w:ascii="Times New Roman" w:hAnsi="Times New Roman" w:cs="Times New Roman"/>
          <w:sz w:val="24"/>
          <w:szCs w:val="24"/>
        </w:rPr>
        <w:lastRenderedPageBreak/>
        <w:t>more intense net gain of agriculture from 2010-2015</w:t>
      </w:r>
      <w:r w:rsidR="004C72D0">
        <w:rPr>
          <w:rFonts w:ascii="Times New Roman" w:hAnsi="Times New Roman" w:cs="Times New Roman"/>
          <w:sz w:val="24"/>
          <w:szCs w:val="24"/>
        </w:rPr>
        <w:t xml:space="preserve"> than there was from 2000-2010</w:t>
      </w:r>
      <w:r w:rsidR="00FB5AFC">
        <w:rPr>
          <w:rFonts w:ascii="Times New Roman" w:hAnsi="Times New Roman" w:cs="Times New Roman"/>
          <w:sz w:val="24"/>
          <w:szCs w:val="24"/>
        </w:rPr>
        <w:t>. The prediction placed new agriculture primarily in the central and northeast sections of Zambia. Many of these predictions in the central area were correct, many were wrong. The prediction over predicted the growth of agriculture in the northeast region. The prediction under predicted the gain of agriculture in the north-central area of Zambia in particular.</w:t>
      </w:r>
      <w:r w:rsidR="00C95B0E">
        <w:rPr>
          <w:rFonts w:ascii="Times New Roman" w:hAnsi="Times New Roman" w:cs="Times New Roman"/>
          <w:sz w:val="24"/>
          <w:szCs w:val="24"/>
        </w:rPr>
        <w:t xml:space="preserve"> The overall accuracy is 92%, but 91% of the pixels did not change at all from 2000 to 2015</w:t>
      </w:r>
      <w:r w:rsidR="000570C9">
        <w:rPr>
          <w:rFonts w:ascii="Times New Roman" w:hAnsi="Times New Roman" w:cs="Times New Roman"/>
          <w:sz w:val="24"/>
          <w:szCs w:val="24"/>
        </w:rPr>
        <w:t>, which indicates that the high accuracy comes primarily from correctly predicting large amounts of persistence</w:t>
      </w:r>
      <w:r w:rsidR="00C95B0E">
        <w:rPr>
          <w:rFonts w:ascii="Times New Roman" w:hAnsi="Times New Roman" w:cs="Times New Roman"/>
          <w:sz w:val="24"/>
          <w:szCs w:val="24"/>
        </w:rPr>
        <w:t>.</w:t>
      </w:r>
      <w:r w:rsidR="00FB5AFC">
        <w:rPr>
          <w:rFonts w:ascii="Times New Roman" w:hAnsi="Times New Roman" w:cs="Times New Roman"/>
          <w:sz w:val="24"/>
          <w:szCs w:val="24"/>
        </w:rPr>
        <w:t xml:space="preserve"> The 2020 prediction shows more agriculture in the north-central region,</w:t>
      </w:r>
      <w:r w:rsidR="007971E8">
        <w:rPr>
          <w:rFonts w:ascii="Times New Roman" w:hAnsi="Times New Roman" w:cs="Times New Roman"/>
          <w:sz w:val="24"/>
          <w:szCs w:val="24"/>
        </w:rPr>
        <w:t xml:space="preserve"> reflecting the increases there between 2010 and 2015.</w:t>
      </w:r>
      <w:r w:rsidR="00FB5AFC">
        <w:rPr>
          <w:rFonts w:ascii="Times New Roman" w:hAnsi="Times New Roman" w:cs="Times New Roman"/>
          <w:sz w:val="24"/>
          <w:szCs w:val="24"/>
        </w:rPr>
        <w:t xml:space="preserve"> </w:t>
      </w:r>
      <w:r w:rsidR="007971E8">
        <w:rPr>
          <w:rFonts w:ascii="Times New Roman" w:hAnsi="Times New Roman" w:cs="Times New Roman"/>
          <w:sz w:val="24"/>
          <w:szCs w:val="24"/>
        </w:rPr>
        <w:t>This prediction</w:t>
      </w:r>
      <w:r w:rsidR="00FB5AFC">
        <w:rPr>
          <w:rFonts w:ascii="Times New Roman" w:hAnsi="Times New Roman" w:cs="Times New Roman"/>
          <w:sz w:val="24"/>
          <w:szCs w:val="24"/>
        </w:rPr>
        <w:t xml:space="preserve"> also</w:t>
      </w:r>
      <w:r w:rsidR="007971E8">
        <w:rPr>
          <w:rFonts w:ascii="Times New Roman" w:hAnsi="Times New Roman" w:cs="Times New Roman"/>
          <w:sz w:val="24"/>
          <w:szCs w:val="24"/>
        </w:rPr>
        <w:t xml:space="preserve"> predicts</w:t>
      </w:r>
      <w:r w:rsidR="00FB5AFC">
        <w:rPr>
          <w:rFonts w:ascii="Times New Roman" w:hAnsi="Times New Roman" w:cs="Times New Roman"/>
          <w:sz w:val="24"/>
          <w:szCs w:val="24"/>
        </w:rPr>
        <w:t xml:space="preserve"> more agriculture in the north-east region, which may again be an over prediction.</w:t>
      </w:r>
      <w:r w:rsidR="008D2ECC">
        <w:rPr>
          <w:rFonts w:ascii="Times New Roman" w:hAnsi="Times New Roman" w:cs="Times New Roman"/>
          <w:sz w:val="24"/>
          <w:szCs w:val="24"/>
        </w:rPr>
        <w:t xml:space="preserve"> </w:t>
      </w:r>
      <w:r w:rsidR="00B914B4">
        <w:rPr>
          <w:rFonts w:ascii="Times New Roman" w:hAnsi="Times New Roman" w:cs="Times New Roman"/>
          <w:sz w:val="24"/>
          <w:szCs w:val="24"/>
        </w:rPr>
        <w:t xml:space="preserve">There are many pixels near to agriculture in 2015 and the LCM has to decide which ones to allocate gain of agriculture to. </w:t>
      </w:r>
      <w:r w:rsidR="008D2ECC">
        <w:rPr>
          <w:rFonts w:ascii="Times New Roman" w:hAnsi="Times New Roman" w:cs="Times New Roman"/>
          <w:sz w:val="24"/>
          <w:szCs w:val="24"/>
        </w:rPr>
        <w:t>The expansion is clearly along existing roads. The northeast region has particularly high CCSM values and one population center giving the area low accessibility values.</w:t>
      </w:r>
      <w:r w:rsidR="00B914B4">
        <w:rPr>
          <w:rFonts w:ascii="Times New Roman" w:hAnsi="Times New Roman" w:cs="Times New Roman"/>
          <w:sz w:val="24"/>
          <w:szCs w:val="24"/>
        </w:rPr>
        <w:t xml:space="preserve"> These factors could be influencing the decision, although distance from roads is the most influential variable.</w:t>
      </w:r>
    </w:p>
    <w:p w14:paraId="49E4AB88" w14:textId="5B430A20" w:rsidR="008F0655" w:rsidRDefault="008F0655" w:rsidP="00CD39D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62305">
        <w:rPr>
          <w:rFonts w:ascii="Times New Roman" w:hAnsi="Times New Roman" w:cs="Times New Roman"/>
          <w:sz w:val="24"/>
          <w:szCs w:val="24"/>
        </w:rPr>
        <w:t xml:space="preserve">The land change model might be improved by using a naïve model that simply predicts gain of agriculture adjacent to existing agriculture or that simply predicts gain of agriculture near previous gain of agriculture. It is possible that the use of the variables in the model other than distance form agriculture is just confusing the issue. The quantity of agriculture in 2020 could have been predicted using the calibration time interval 2000-2015 which would result in a smaller prediction of gain. </w:t>
      </w:r>
      <w:r>
        <w:rPr>
          <w:rFonts w:ascii="Times New Roman" w:hAnsi="Times New Roman" w:cs="Times New Roman"/>
          <w:sz w:val="24"/>
          <w:szCs w:val="24"/>
        </w:rPr>
        <w:t xml:space="preserve">Our understanding of the patterns of agricultural LULC change in Zambia could be improved by an analysis of which other LULC categories agriculture is gaining from. Analyses of specific sections of Zambia, especially those with the most agriculture, could </w:t>
      </w:r>
      <w:r>
        <w:rPr>
          <w:rFonts w:ascii="Times New Roman" w:hAnsi="Times New Roman" w:cs="Times New Roman"/>
          <w:sz w:val="24"/>
          <w:szCs w:val="24"/>
        </w:rPr>
        <w:lastRenderedPageBreak/>
        <w:t>also be useful. When 2020 agriculture LULC data are available, the accuracy of the 2020 prediction could be assessed.</w:t>
      </w:r>
    </w:p>
    <w:p w14:paraId="1B4ED6FD" w14:textId="58A72FA3" w:rsidR="00CD39D9" w:rsidRDefault="00CD39D9" w:rsidP="00CD39D9">
      <w:pPr>
        <w:spacing w:after="0" w:line="480" w:lineRule="auto"/>
        <w:rPr>
          <w:rFonts w:ascii="Times New Roman" w:hAnsi="Times New Roman" w:cs="Times New Roman"/>
          <w:sz w:val="24"/>
          <w:szCs w:val="24"/>
        </w:rPr>
      </w:pPr>
      <w:r w:rsidRPr="00CD39D9">
        <w:rPr>
          <w:rFonts w:ascii="Times New Roman" w:hAnsi="Times New Roman" w:cs="Times New Roman"/>
          <w:sz w:val="24"/>
          <w:szCs w:val="24"/>
          <w:u w:val="single"/>
        </w:rPr>
        <w:t>Chapter 5, Conclusions</w:t>
      </w:r>
      <w:r>
        <w:rPr>
          <w:rFonts w:ascii="Times New Roman" w:hAnsi="Times New Roman" w:cs="Times New Roman"/>
          <w:sz w:val="24"/>
          <w:szCs w:val="24"/>
        </w:rPr>
        <w:t>:</w:t>
      </w:r>
    </w:p>
    <w:p w14:paraId="528A09EE" w14:textId="3ADF210A" w:rsidR="00D95E53" w:rsidRDefault="00D95E53" w:rsidP="00D95E5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There is a </w:t>
      </w:r>
      <w:r w:rsidR="00C80090">
        <w:rPr>
          <w:rFonts w:ascii="Times New Roman" w:hAnsi="Times New Roman" w:cs="Times New Roman"/>
          <w:sz w:val="24"/>
          <w:szCs w:val="24"/>
        </w:rPr>
        <w:t xml:space="preserve">net </w:t>
      </w:r>
      <w:r>
        <w:rPr>
          <w:rFonts w:ascii="Times New Roman" w:hAnsi="Times New Roman" w:cs="Times New Roman"/>
          <w:sz w:val="24"/>
          <w:szCs w:val="24"/>
        </w:rPr>
        <w:t xml:space="preserve">gain of agriculture between 2000 and 2010, and then a </w:t>
      </w:r>
      <w:r w:rsidR="00C80090">
        <w:rPr>
          <w:rFonts w:ascii="Times New Roman" w:hAnsi="Times New Roman" w:cs="Times New Roman"/>
          <w:sz w:val="24"/>
          <w:szCs w:val="24"/>
        </w:rPr>
        <w:t xml:space="preserve">four times faster net </w:t>
      </w:r>
      <w:r>
        <w:rPr>
          <w:rFonts w:ascii="Times New Roman" w:hAnsi="Times New Roman" w:cs="Times New Roman"/>
          <w:sz w:val="24"/>
          <w:szCs w:val="24"/>
        </w:rPr>
        <w:t>gain between 2010 and 2015.</w:t>
      </w:r>
      <w:r w:rsidR="00F24FDE">
        <w:rPr>
          <w:rFonts w:ascii="Times New Roman" w:hAnsi="Times New Roman" w:cs="Times New Roman"/>
          <w:sz w:val="24"/>
          <w:szCs w:val="24"/>
        </w:rPr>
        <w:t xml:space="preserve"> The accuracy assessment indicates that the magnitude of gain is likely not that great in reality.</w:t>
      </w:r>
      <w:r>
        <w:rPr>
          <w:rFonts w:ascii="Times New Roman" w:hAnsi="Times New Roman" w:cs="Times New Roman"/>
          <w:sz w:val="24"/>
          <w:szCs w:val="24"/>
        </w:rPr>
        <w:t xml:space="preserve"> The </w:t>
      </w:r>
      <w:r w:rsidR="003619E4">
        <w:rPr>
          <w:rFonts w:ascii="Times New Roman" w:hAnsi="Times New Roman" w:cs="Times New Roman"/>
          <w:sz w:val="24"/>
          <w:szCs w:val="24"/>
        </w:rPr>
        <w:t>northeast of</w:t>
      </w:r>
      <w:r>
        <w:rPr>
          <w:rFonts w:ascii="Times New Roman" w:hAnsi="Times New Roman" w:cs="Times New Roman"/>
          <w:sz w:val="24"/>
          <w:szCs w:val="24"/>
        </w:rPr>
        <w:t xml:space="preserve"> Zambia</w:t>
      </w:r>
      <w:r w:rsidR="003619E4">
        <w:rPr>
          <w:rFonts w:ascii="Times New Roman" w:hAnsi="Times New Roman" w:cs="Times New Roman"/>
          <w:sz w:val="24"/>
          <w:szCs w:val="24"/>
        </w:rPr>
        <w:t>, which</w:t>
      </w:r>
      <w:r>
        <w:rPr>
          <w:rFonts w:ascii="Times New Roman" w:hAnsi="Times New Roman" w:cs="Times New Roman"/>
          <w:sz w:val="24"/>
          <w:szCs w:val="24"/>
        </w:rPr>
        <w:t xml:space="preserve"> is known for having the most chitemene shifting cultivation</w:t>
      </w:r>
      <w:r w:rsidR="003619E4">
        <w:rPr>
          <w:rFonts w:ascii="Times New Roman" w:hAnsi="Times New Roman" w:cs="Times New Roman"/>
          <w:sz w:val="24"/>
          <w:szCs w:val="24"/>
        </w:rPr>
        <w:t>,</w:t>
      </w:r>
      <w:r>
        <w:rPr>
          <w:rFonts w:ascii="Times New Roman" w:hAnsi="Times New Roman" w:cs="Times New Roman"/>
          <w:sz w:val="24"/>
          <w:szCs w:val="24"/>
        </w:rPr>
        <w:t xml:space="preserve"> has the </w:t>
      </w:r>
      <w:r w:rsidR="008F0655">
        <w:rPr>
          <w:rFonts w:ascii="Times New Roman" w:hAnsi="Times New Roman" w:cs="Times New Roman"/>
          <w:sz w:val="24"/>
          <w:szCs w:val="24"/>
        </w:rPr>
        <w:t>most 6km pixels</w:t>
      </w:r>
      <w:r w:rsidR="00F24FDE">
        <w:rPr>
          <w:rFonts w:ascii="Times New Roman" w:hAnsi="Times New Roman" w:cs="Times New Roman"/>
          <w:sz w:val="24"/>
          <w:szCs w:val="24"/>
        </w:rPr>
        <w:t xml:space="preserve"> with</w:t>
      </w:r>
      <w:r w:rsidR="003619E4">
        <w:rPr>
          <w:rFonts w:ascii="Times New Roman" w:hAnsi="Times New Roman" w:cs="Times New Roman"/>
          <w:sz w:val="24"/>
          <w:szCs w:val="24"/>
        </w:rPr>
        <w:t xml:space="preserve"> </w:t>
      </w:r>
      <w:r>
        <w:rPr>
          <w:rFonts w:ascii="Times New Roman" w:hAnsi="Times New Roman" w:cs="Times New Roman"/>
          <w:sz w:val="24"/>
          <w:szCs w:val="24"/>
        </w:rPr>
        <w:t>high proportions of toggle in agriculture. This indicates that toggle could be useful in identifying areas of shifting cultivation. Districts of Zambia with more agriculture tend to have medium gain intensities but low loss intensities</w:t>
      </w:r>
      <w:r w:rsidR="007E7478">
        <w:rPr>
          <w:rFonts w:ascii="Times New Roman" w:hAnsi="Times New Roman" w:cs="Times New Roman"/>
          <w:sz w:val="24"/>
          <w:szCs w:val="24"/>
        </w:rPr>
        <w:t>, which is more consistent with settled agriculture.</w:t>
      </w:r>
      <w:r>
        <w:rPr>
          <w:rFonts w:ascii="Times New Roman" w:hAnsi="Times New Roman" w:cs="Times New Roman"/>
          <w:sz w:val="24"/>
          <w:szCs w:val="24"/>
        </w:rPr>
        <w:t xml:space="preserve"> Districts of Zambia with less agriculture tend to have higher gain and loss intensities</w:t>
      </w:r>
      <w:r w:rsidR="007E7478">
        <w:rPr>
          <w:rFonts w:ascii="Times New Roman" w:hAnsi="Times New Roman" w:cs="Times New Roman"/>
          <w:sz w:val="24"/>
          <w:szCs w:val="24"/>
        </w:rPr>
        <w:t>, which is more consistent with shifting agriculture</w:t>
      </w:r>
      <w:r>
        <w:rPr>
          <w:rFonts w:ascii="Times New Roman" w:hAnsi="Times New Roman" w:cs="Times New Roman"/>
          <w:sz w:val="24"/>
          <w:szCs w:val="24"/>
        </w:rPr>
        <w:t>. The central and southeastern districts in Zambia have the highest concentration of agriculture at all three dates</w:t>
      </w:r>
      <w:r w:rsidR="00D84551">
        <w:rPr>
          <w:rFonts w:ascii="Times New Roman" w:hAnsi="Times New Roman" w:cs="Times New Roman"/>
          <w:sz w:val="24"/>
          <w:szCs w:val="24"/>
        </w:rPr>
        <w:t xml:space="preserve"> and have the </w:t>
      </w:r>
      <w:r w:rsidR="00C80090">
        <w:rPr>
          <w:rFonts w:ascii="Times New Roman" w:hAnsi="Times New Roman" w:cs="Times New Roman"/>
          <w:sz w:val="24"/>
          <w:szCs w:val="24"/>
        </w:rPr>
        <w:t xml:space="preserve">largest </w:t>
      </w:r>
      <w:r w:rsidR="00D84551">
        <w:rPr>
          <w:rFonts w:ascii="Times New Roman" w:hAnsi="Times New Roman" w:cs="Times New Roman"/>
          <w:sz w:val="24"/>
          <w:szCs w:val="24"/>
        </w:rPr>
        <w:t>total gains of agriculture</w:t>
      </w:r>
      <w:r>
        <w:rPr>
          <w:rFonts w:ascii="Times New Roman" w:hAnsi="Times New Roman" w:cs="Times New Roman"/>
          <w:sz w:val="24"/>
          <w:szCs w:val="24"/>
        </w:rPr>
        <w:t xml:space="preserve">. Distance from </w:t>
      </w:r>
      <w:r w:rsidR="005D24B1">
        <w:rPr>
          <w:rFonts w:ascii="Times New Roman" w:hAnsi="Times New Roman" w:cs="Times New Roman"/>
          <w:sz w:val="24"/>
          <w:szCs w:val="24"/>
        </w:rPr>
        <w:t>existing agriculture is the dominantly</w:t>
      </w:r>
      <w:r>
        <w:rPr>
          <w:rFonts w:ascii="Times New Roman" w:hAnsi="Times New Roman" w:cs="Times New Roman"/>
          <w:sz w:val="24"/>
          <w:szCs w:val="24"/>
        </w:rPr>
        <w:t xml:space="preserve"> important variable in predicting gain of agriculture. Other measurements of proximity to settled areas were less strongly related to gain of agriculture. Physical and environmental variables were not found to be related to gain of agriculture. Using </w:t>
      </w:r>
      <w:r w:rsidR="00C80090">
        <w:rPr>
          <w:rFonts w:ascii="Times New Roman" w:hAnsi="Times New Roman" w:cs="Times New Roman"/>
          <w:sz w:val="24"/>
          <w:szCs w:val="24"/>
        </w:rPr>
        <w:t xml:space="preserve">only </w:t>
      </w:r>
      <w:r>
        <w:rPr>
          <w:rFonts w:ascii="Times New Roman" w:hAnsi="Times New Roman" w:cs="Times New Roman"/>
          <w:sz w:val="24"/>
          <w:szCs w:val="24"/>
        </w:rPr>
        <w:t xml:space="preserve">distance from agriculture </w:t>
      </w:r>
      <w:r w:rsidR="00C80090">
        <w:rPr>
          <w:rFonts w:ascii="Times New Roman" w:hAnsi="Times New Roman" w:cs="Times New Roman"/>
          <w:sz w:val="24"/>
          <w:szCs w:val="24"/>
        </w:rPr>
        <w:t xml:space="preserve">gives </w:t>
      </w:r>
      <w:r w:rsidR="008F0655">
        <w:rPr>
          <w:rFonts w:ascii="Times New Roman" w:hAnsi="Times New Roman" w:cs="Times New Roman"/>
          <w:sz w:val="24"/>
          <w:szCs w:val="24"/>
        </w:rPr>
        <w:t>a</w:t>
      </w:r>
      <w:r>
        <w:rPr>
          <w:rFonts w:ascii="Times New Roman" w:hAnsi="Times New Roman" w:cs="Times New Roman"/>
          <w:sz w:val="24"/>
          <w:szCs w:val="24"/>
        </w:rPr>
        <w:t xml:space="preserve"> </w:t>
      </w:r>
      <w:r w:rsidR="00C80090">
        <w:rPr>
          <w:rFonts w:ascii="Times New Roman" w:hAnsi="Times New Roman" w:cs="Times New Roman"/>
          <w:sz w:val="24"/>
          <w:szCs w:val="24"/>
        </w:rPr>
        <w:t xml:space="preserve">calibration fit of 1 percentage point less than the fit using all variables for </w:t>
      </w:r>
      <w:r>
        <w:rPr>
          <w:rFonts w:ascii="Times New Roman" w:hAnsi="Times New Roman" w:cs="Times New Roman"/>
          <w:sz w:val="24"/>
          <w:szCs w:val="24"/>
        </w:rPr>
        <w:t xml:space="preserve">the transition potential modeling part of the </w:t>
      </w:r>
      <w:r w:rsidR="00E63F42">
        <w:rPr>
          <w:rFonts w:ascii="Times New Roman" w:hAnsi="Times New Roman" w:cs="Times New Roman"/>
          <w:sz w:val="24"/>
          <w:szCs w:val="24"/>
        </w:rPr>
        <w:t>LCM</w:t>
      </w:r>
      <w:r>
        <w:rPr>
          <w:rFonts w:ascii="Times New Roman" w:hAnsi="Times New Roman" w:cs="Times New Roman"/>
          <w:sz w:val="24"/>
          <w:szCs w:val="24"/>
        </w:rPr>
        <w:t>. This reliance on distance from agriculture caused the model to miss a substantial area of new agriculture in north-central Zambia</w:t>
      </w:r>
      <w:r w:rsidR="00E63F42">
        <w:rPr>
          <w:rFonts w:ascii="Times New Roman" w:hAnsi="Times New Roman" w:cs="Times New Roman"/>
          <w:sz w:val="24"/>
          <w:szCs w:val="24"/>
        </w:rPr>
        <w:t xml:space="preserve"> in the 2015 prediction</w:t>
      </w:r>
      <w:r>
        <w:rPr>
          <w:rFonts w:ascii="Times New Roman" w:hAnsi="Times New Roman" w:cs="Times New Roman"/>
          <w:sz w:val="24"/>
          <w:szCs w:val="24"/>
        </w:rPr>
        <w:t>. The model tended to predict gains of agriculture in the right general areas, but not necessarily the right exact location.</w:t>
      </w:r>
      <w:r w:rsidR="00E50F3D">
        <w:rPr>
          <w:rFonts w:ascii="Times New Roman" w:hAnsi="Times New Roman" w:cs="Times New Roman"/>
          <w:sz w:val="24"/>
          <w:szCs w:val="24"/>
        </w:rPr>
        <w:t xml:space="preserve"> This is evidenced by the clustering of hits, misses and false alarms</w:t>
      </w:r>
      <w:r w:rsidR="00842558">
        <w:rPr>
          <w:rFonts w:ascii="Times New Roman" w:hAnsi="Times New Roman" w:cs="Times New Roman"/>
          <w:sz w:val="24"/>
          <w:szCs w:val="24"/>
        </w:rPr>
        <w:t xml:space="preserve"> in the central area of Zambia</w:t>
      </w:r>
      <w:r w:rsidR="00E50F3D">
        <w:rPr>
          <w:rFonts w:ascii="Times New Roman" w:hAnsi="Times New Roman" w:cs="Times New Roman"/>
          <w:sz w:val="24"/>
          <w:szCs w:val="24"/>
        </w:rPr>
        <w:t xml:space="preserve"> as well as the exchange categories being larger than the hits category.</w:t>
      </w:r>
      <w:r w:rsidR="006221E6">
        <w:rPr>
          <w:rFonts w:ascii="Times New Roman" w:hAnsi="Times New Roman" w:cs="Times New Roman"/>
          <w:sz w:val="24"/>
          <w:szCs w:val="24"/>
        </w:rPr>
        <w:t xml:space="preserve"> </w:t>
      </w:r>
      <w:r w:rsidR="000570C9">
        <w:rPr>
          <w:rFonts w:ascii="Times New Roman" w:hAnsi="Times New Roman" w:cs="Times New Roman"/>
          <w:sz w:val="24"/>
          <w:szCs w:val="24"/>
        </w:rPr>
        <w:t xml:space="preserve">There was an under prediction of the amount of gain of </w:t>
      </w:r>
      <w:r w:rsidR="000570C9">
        <w:rPr>
          <w:rFonts w:ascii="Times New Roman" w:hAnsi="Times New Roman" w:cs="Times New Roman"/>
          <w:sz w:val="24"/>
          <w:szCs w:val="24"/>
        </w:rPr>
        <w:lastRenderedPageBreak/>
        <w:t xml:space="preserve">agriculture because the rate of gain of agriculture increased form the calibration time interval to the validation time interval. </w:t>
      </w:r>
      <w:r>
        <w:rPr>
          <w:rFonts w:ascii="Times New Roman" w:hAnsi="Times New Roman" w:cs="Times New Roman"/>
          <w:sz w:val="24"/>
          <w:szCs w:val="24"/>
        </w:rPr>
        <w:t xml:space="preserve">The </w:t>
      </w:r>
      <w:r w:rsidR="007D7ED2">
        <w:rPr>
          <w:rFonts w:ascii="Times New Roman" w:hAnsi="Times New Roman" w:cs="Times New Roman"/>
          <w:sz w:val="24"/>
          <w:szCs w:val="24"/>
        </w:rPr>
        <w:t>2015 prediction</w:t>
      </w:r>
      <w:r>
        <w:rPr>
          <w:rFonts w:ascii="Times New Roman" w:hAnsi="Times New Roman" w:cs="Times New Roman"/>
          <w:sz w:val="24"/>
          <w:szCs w:val="24"/>
        </w:rPr>
        <w:t xml:space="preserve"> over predict</w:t>
      </w:r>
      <w:r w:rsidR="007D7ED2">
        <w:rPr>
          <w:rFonts w:ascii="Times New Roman" w:hAnsi="Times New Roman" w:cs="Times New Roman"/>
          <w:sz w:val="24"/>
          <w:szCs w:val="24"/>
        </w:rPr>
        <w:t>ing</w:t>
      </w:r>
      <w:r>
        <w:rPr>
          <w:rFonts w:ascii="Times New Roman" w:hAnsi="Times New Roman" w:cs="Times New Roman"/>
          <w:sz w:val="24"/>
          <w:szCs w:val="24"/>
        </w:rPr>
        <w:t xml:space="preserve"> expansion of agriculture in the northeast</w:t>
      </w:r>
      <w:r w:rsidR="007D7ED2">
        <w:rPr>
          <w:rFonts w:ascii="Times New Roman" w:hAnsi="Times New Roman" w:cs="Times New Roman"/>
          <w:sz w:val="24"/>
          <w:szCs w:val="24"/>
        </w:rPr>
        <w:t xml:space="preserve"> calls into question the reliability of the 2020 model</w:t>
      </w:r>
      <w:r w:rsidR="00842558">
        <w:rPr>
          <w:rFonts w:ascii="Times New Roman" w:hAnsi="Times New Roman" w:cs="Times New Roman"/>
          <w:sz w:val="24"/>
          <w:szCs w:val="24"/>
        </w:rPr>
        <w:t>’</w:t>
      </w:r>
      <w:r w:rsidR="007D7ED2">
        <w:rPr>
          <w:rFonts w:ascii="Times New Roman" w:hAnsi="Times New Roman" w:cs="Times New Roman"/>
          <w:sz w:val="24"/>
          <w:szCs w:val="24"/>
        </w:rPr>
        <w:t>s prediction of expansion of agriculture in the northeast</w:t>
      </w:r>
      <w:r>
        <w:rPr>
          <w:rFonts w:ascii="Times New Roman" w:hAnsi="Times New Roman" w:cs="Times New Roman"/>
          <w:sz w:val="24"/>
          <w:szCs w:val="24"/>
        </w:rPr>
        <w:t>.</w:t>
      </w:r>
      <w:r w:rsidR="006221E6">
        <w:rPr>
          <w:rFonts w:ascii="Times New Roman" w:hAnsi="Times New Roman" w:cs="Times New Roman"/>
          <w:sz w:val="24"/>
          <w:szCs w:val="24"/>
        </w:rPr>
        <w:t xml:space="preserve"> </w:t>
      </w:r>
    </w:p>
    <w:p w14:paraId="14ABC0C3" w14:textId="43659F11" w:rsidR="00D95E53" w:rsidRDefault="00D95E53" w:rsidP="00D95E53">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29846227" w14:textId="56B64304" w:rsidR="007E25C4" w:rsidRDefault="007E25C4" w:rsidP="00D95E53">
      <w:pPr>
        <w:spacing w:after="0" w:line="480" w:lineRule="auto"/>
        <w:rPr>
          <w:rFonts w:ascii="Times New Roman" w:hAnsi="Times New Roman" w:cs="Times New Roman"/>
          <w:sz w:val="24"/>
          <w:szCs w:val="24"/>
        </w:rPr>
      </w:pPr>
    </w:p>
    <w:p w14:paraId="065CFEC2" w14:textId="77777777" w:rsidR="00C32636" w:rsidRDefault="00C32636" w:rsidP="006725DC">
      <w:pPr>
        <w:spacing w:after="0" w:line="480" w:lineRule="auto"/>
        <w:rPr>
          <w:rFonts w:ascii="Times New Roman" w:hAnsi="Times New Roman" w:cs="Times New Roman"/>
          <w:sz w:val="24"/>
          <w:szCs w:val="24"/>
        </w:rPr>
      </w:pPr>
    </w:p>
    <w:p w14:paraId="54EEC3C5" w14:textId="77777777" w:rsidR="00C32636" w:rsidRDefault="00C32636" w:rsidP="006725DC">
      <w:pPr>
        <w:spacing w:after="0" w:line="480" w:lineRule="auto"/>
        <w:rPr>
          <w:rFonts w:ascii="Times New Roman" w:hAnsi="Times New Roman" w:cs="Times New Roman"/>
          <w:sz w:val="24"/>
          <w:szCs w:val="24"/>
        </w:rPr>
      </w:pPr>
    </w:p>
    <w:p w14:paraId="36342384" w14:textId="77777777" w:rsidR="00C32636" w:rsidRDefault="00C32636" w:rsidP="006725DC">
      <w:pPr>
        <w:spacing w:after="0" w:line="480" w:lineRule="auto"/>
        <w:rPr>
          <w:rFonts w:ascii="Times New Roman" w:hAnsi="Times New Roman" w:cs="Times New Roman"/>
          <w:sz w:val="24"/>
          <w:szCs w:val="24"/>
        </w:rPr>
      </w:pPr>
    </w:p>
    <w:p w14:paraId="741D3EAC" w14:textId="77777777" w:rsidR="00C32636" w:rsidRDefault="00C32636" w:rsidP="006725DC">
      <w:pPr>
        <w:spacing w:after="0" w:line="480" w:lineRule="auto"/>
        <w:rPr>
          <w:rFonts w:ascii="Times New Roman" w:hAnsi="Times New Roman" w:cs="Times New Roman"/>
          <w:sz w:val="24"/>
          <w:szCs w:val="24"/>
        </w:rPr>
      </w:pPr>
    </w:p>
    <w:p w14:paraId="35E7EC9A" w14:textId="77777777" w:rsidR="00D3716F" w:rsidRDefault="00D3716F" w:rsidP="006725DC">
      <w:pPr>
        <w:spacing w:after="0" w:line="480" w:lineRule="auto"/>
        <w:rPr>
          <w:rFonts w:ascii="Times New Roman" w:hAnsi="Times New Roman" w:cs="Times New Roman"/>
          <w:sz w:val="24"/>
          <w:szCs w:val="24"/>
        </w:rPr>
      </w:pPr>
    </w:p>
    <w:p w14:paraId="68FD20C1" w14:textId="77777777" w:rsidR="00D3716F" w:rsidRDefault="00D3716F" w:rsidP="006725DC">
      <w:pPr>
        <w:spacing w:after="0" w:line="480" w:lineRule="auto"/>
        <w:rPr>
          <w:rFonts w:ascii="Times New Roman" w:hAnsi="Times New Roman" w:cs="Times New Roman"/>
          <w:sz w:val="24"/>
          <w:szCs w:val="24"/>
        </w:rPr>
      </w:pPr>
    </w:p>
    <w:p w14:paraId="60584101" w14:textId="77777777" w:rsidR="00D3716F" w:rsidRDefault="00D3716F" w:rsidP="006725DC">
      <w:pPr>
        <w:spacing w:after="0" w:line="480" w:lineRule="auto"/>
        <w:rPr>
          <w:rFonts w:ascii="Times New Roman" w:hAnsi="Times New Roman" w:cs="Times New Roman"/>
          <w:sz w:val="24"/>
          <w:szCs w:val="24"/>
        </w:rPr>
      </w:pPr>
    </w:p>
    <w:p w14:paraId="2A3DB83E" w14:textId="77777777" w:rsidR="00D3716F" w:rsidRDefault="00D3716F" w:rsidP="006725DC">
      <w:pPr>
        <w:spacing w:after="0" w:line="480" w:lineRule="auto"/>
        <w:rPr>
          <w:rFonts w:ascii="Times New Roman" w:hAnsi="Times New Roman" w:cs="Times New Roman"/>
          <w:sz w:val="24"/>
          <w:szCs w:val="24"/>
        </w:rPr>
      </w:pPr>
    </w:p>
    <w:p w14:paraId="3E5B3280" w14:textId="77777777" w:rsidR="00D3716F" w:rsidRDefault="00D3716F" w:rsidP="006725DC">
      <w:pPr>
        <w:spacing w:after="0" w:line="480" w:lineRule="auto"/>
        <w:rPr>
          <w:rFonts w:ascii="Times New Roman" w:hAnsi="Times New Roman" w:cs="Times New Roman"/>
          <w:sz w:val="24"/>
          <w:szCs w:val="24"/>
        </w:rPr>
      </w:pPr>
    </w:p>
    <w:p w14:paraId="4F769982" w14:textId="77777777" w:rsidR="00D3716F" w:rsidRDefault="00D3716F" w:rsidP="006725DC">
      <w:pPr>
        <w:spacing w:after="0" w:line="480" w:lineRule="auto"/>
        <w:rPr>
          <w:rFonts w:ascii="Times New Roman" w:hAnsi="Times New Roman" w:cs="Times New Roman"/>
          <w:sz w:val="24"/>
          <w:szCs w:val="24"/>
        </w:rPr>
      </w:pPr>
    </w:p>
    <w:p w14:paraId="5DB8B1C0" w14:textId="77777777" w:rsidR="00D3716F" w:rsidRDefault="00D3716F" w:rsidP="006725DC">
      <w:pPr>
        <w:spacing w:after="0" w:line="480" w:lineRule="auto"/>
        <w:rPr>
          <w:rFonts w:ascii="Times New Roman" w:hAnsi="Times New Roman" w:cs="Times New Roman"/>
          <w:sz w:val="24"/>
          <w:szCs w:val="24"/>
        </w:rPr>
      </w:pPr>
    </w:p>
    <w:p w14:paraId="28273C09" w14:textId="77777777" w:rsidR="00D3716F" w:rsidRDefault="00D3716F" w:rsidP="006725DC">
      <w:pPr>
        <w:spacing w:after="0" w:line="480" w:lineRule="auto"/>
        <w:rPr>
          <w:rFonts w:ascii="Times New Roman" w:hAnsi="Times New Roman" w:cs="Times New Roman"/>
          <w:sz w:val="24"/>
          <w:szCs w:val="24"/>
        </w:rPr>
      </w:pPr>
    </w:p>
    <w:p w14:paraId="4AC09F8B" w14:textId="77777777" w:rsidR="00D3716F" w:rsidRDefault="00D3716F" w:rsidP="006725DC">
      <w:pPr>
        <w:spacing w:after="0" w:line="480" w:lineRule="auto"/>
        <w:rPr>
          <w:rFonts w:ascii="Times New Roman" w:hAnsi="Times New Roman" w:cs="Times New Roman"/>
          <w:sz w:val="24"/>
          <w:szCs w:val="24"/>
        </w:rPr>
      </w:pPr>
    </w:p>
    <w:p w14:paraId="00B2406C" w14:textId="77777777" w:rsidR="00D3716F" w:rsidRDefault="00D3716F" w:rsidP="006725DC">
      <w:pPr>
        <w:spacing w:after="0" w:line="480" w:lineRule="auto"/>
        <w:rPr>
          <w:rFonts w:ascii="Times New Roman" w:hAnsi="Times New Roman" w:cs="Times New Roman"/>
          <w:sz w:val="24"/>
          <w:szCs w:val="24"/>
        </w:rPr>
      </w:pPr>
    </w:p>
    <w:p w14:paraId="245AC6CD" w14:textId="77777777" w:rsidR="00D3716F" w:rsidRDefault="00D3716F" w:rsidP="006725DC">
      <w:pPr>
        <w:spacing w:after="0" w:line="480" w:lineRule="auto"/>
        <w:rPr>
          <w:rFonts w:ascii="Times New Roman" w:hAnsi="Times New Roman" w:cs="Times New Roman"/>
          <w:sz w:val="24"/>
          <w:szCs w:val="24"/>
        </w:rPr>
      </w:pPr>
    </w:p>
    <w:p w14:paraId="1C6470B4" w14:textId="77777777" w:rsidR="00192573" w:rsidRDefault="00192573" w:rsidP="006725DC">
      <w:pPr>
        <w:spacing w:after="0" w:line="480" w:lineRule="auto"/>
        <w:rPr>
          <w:rFonts w:ascii="Times New Roman" w:hAnsi="Times New Roman" w:cs="Times New Roman"/>
          <w:sz w:val="24"/>
          <w:szCs w:val="24"/>
        </w:rPr>
      </w:pPr>
    </w:p>
    <w:p w14:paraId="60618002" w14:textId="77777777" w:rsidR="00192573" w:rsidRDefault="00192573" w:rsidP="006725DC">
      <w:pPr>
        <w:spacing w:after="0" w:line="480" w:lineRule="auto"/>
        <w:rPr>
          <w:rFonts w:ascii="Times New Roman" w:hAnsi="Times New Roman" w:cs="Times New Roman"/>
          <w:sz w:val="24"/>
          <w:szCs w:val="24"/>
        </w:rPr>
      </w:pPr>
    </w:p>
    <w:p w14:paraId="5F042B31" w14:textId="2549BE0C" w:rsidR="00192573" w:rsidRDefault="00192573" w:rsidP="006725DC">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126E0446" w14:textId="199AF594" w:rsidR="00192573" w:rsidRDefault="00192573" w:rsidP="006725DC">
      <w:pPr>
        <w:spacing w:after="0" w:line="480" w:lineRule="auto"/>
        <w:rPr>
          <w:rFonts w:ascii="Times New Roman" w:hAnsi="Times New Roman" w:cs="Times New Roman"/>
          <w:sz w:val="24"/>
          <w:szCs w:val="24"/>
        </w:rPr>
      </w:pPr>
      <w:r>
        <w:rPr>
          <w:rFonts w:ascii="Times New Roman" w:hAnsi="Times New Roman" w:cs="Times New Roman"/>
          <w:sz w:val="24"/>
          <w:szCs w:val="24"/>
        </w:rPr>
        <w:t>Priscilla Baltezar has helped with this project since we were working together on a final project for GIS &amp; Map Comparison, where I learned many of the techniques used in this thesis. Professors Lyndon Estes</w:t>
      </w:r>
      <w:r w:rsidR="0002174D">
        <w:rPr>
          <w:rFonts w:ascii="Times New Roman" w:hAnsi="Times New Roman" w:cs="Times New Roman"/>
          <w:sz w:val="24"/>
          <w:szCs w:val="24"/>
        </w:rPr>
        <w:t>, Gil Pontius and John Rogan have provided guidance on this thesis and many other projects I have undertaken at Clark University.</w:t>
      </w:r>
    </w:p>
    <w:p w14:paraId="2A255558" w14:textId="60B6C72E" w:rsidR="006725DC" w:rsidRDefault="006725DC" w:rsidP="006725DC">
      <w:pPr>
        <w:spacing w:after="0" w:line="480" w:lineRule="auto"/>
        <w:rPr>
          <w:rFonts w:ascii="Times New Roman" w:hAnsi="Times New Roman" w:cs="Times New Roman"/>
          <w:sz w:val="24"/>
          <w:szCs w:val="24"/>
        </w:rPr>
      </w:pPr>
      <w:r>
        <w:rPr>
          <w:rFonts w:ascii="Times New Roman" w:hAnsi="Times New Roman" w:cs="Times New Roman"/>
          <w:sz w:val="24"/>
          <w:szCs w:val="24"/>
        </w:rPr>
        <w:t>Citations:</w:t>
      </w:r>
    </w:p>
    <w:p w14:paraId="0276DF3F" w14:textId="7113B9CE" w:rsidR="006221E6" w:rsidRPr="006221E6" w:rsidRDefault="006725DC"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221E6" w:rsidRPr="006221E6">
        <w:rPr>
          <w:rFonts w:ascii="Times New Roman" w:hAnsi="Times New Roman" w:cs="Times New Roman"/>
          <w:noProof/>
          <w:sz w:val="24"/>
          <w:szCs w:val="24"/>
        </w:rPr>
        <w:t xml:space="preserve">Ali, H., Descheemaeker, K., Steenhuis, T. S., &amp; Pandey, S. (2011). Comparison of Landuse and Landcover Changes, Drivers and Impacts for a Moisture-Sufficient and Drought-Prone Region in the Ethiopian Highlands. </w:t>
      </w:r>
      <w:r w:rsidR="006221E6" w:rsidRPr="006221E6">
        <w:rPr>
          <w:rFonts w:ascii="Times New Roman" w:hAnsi="Times New Roman" w:cs="Times New Roman"/>
          <w:i/>
          <w:iCs/>
          <w:noProof/>
          <w:sz w:val="24"/>
          <w:szCs w:val="24"/>
        </w:rPr>
        <w:t>Expl Agric.</w:t>
      </w:r>
      <w:r w:rsidR="006221E6" w:rsidRPr="006221E6">
        <w:rPr>
          <w:rFonts w:ascii="Times New Roman" w:hAnsi="Times New Roman" w:cs="Times New Roman"/>
          <w:noProof/>
          <w:sz w:val="24"/>
          <w:szCs w:val="24"/>
        </w:rPr>
        <w:t xml:space="preserve">, </w:t>
      </w:r>
      <w:r w:rsidR="006221E6" w:rsidRPr="006221E6">
        <w:rPr>
          <w:rFonts w:ascii="Times New Roman" w:hAnsi="Times New Roman" w:cs="Times New Roman"/>
          <w:i/>
          <w:iCs/>
          <w:noProof/>
          <w:sz w:val="24"/>
          <w:szCs w:val="24"/>
        </w:rPr>
        <w:t>47</w:t>
      </w:r>
      <w:r w:rsidR="006221E6" w:rsidRPr="006221E6">
        <w:rPr>
          <w:rFonts w:ascii="Times New Roman" w:hAnsi="Times New Roman" w:cs="Times New Roman"/>
          <w:noProof/>
          <w:sz w:val="24"/>
          <w:szCs w:val="24"/>
        </w:rPr>
        <w:t>(1), 71–83. https://doi.org/10.1017/S0014479710000840</w:t>
      </w:r>
    </w:p>
    <w:p w14:paraId="255F1A41"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Ampofo, S., Sackey, I., &amp; Ampadu, B. (2016). Ethiopian Journal of Environmental Studies &amp; Management, </w:t>
      </w:r>
      <w:r w:rsidRPr="006221E6">
        <w:rPr>
          <w:rFonts w:ascii="Times New Roman" w:hAnsi="Times New Roman" w:cs="Times New Roman"/>
          <w:i/>
          <w:iCs/>
          <w:noProof/>
          <w:sz w:val="24"/>
          <w:szCs w:val="24"/>
        </w:rPr>
        <w:t>9</w:t>
      </w:r>
      <w:r w:rsidRPr="006221E6">
        <w:rPr>
          <w:rFonts w:ascii="Times New Roman" w:hAnsi="Times New Roman" w:cs="Times New Roman"/>
          <w:noProof/>
          <w:sz w:val="24"/>
          <w:szCs w:val="24"/>
        </w:rPr>
        <w:t>(4), 412–429.</w:t>
      </w:r>
    </w:p>
    <w:p w14:paraId="4C7EE317"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Araki, S. (2007). Ten Years of Population Change and the Chitemene Slash-and-Burn System around the Mpika Area , Northern Zambia. </w:t>
      </w:r>
      <w:r w:rsidRPr="006221E6">
        <w:rPr>
          <w:rFonts w:ascii="Times New Roman" w:hAnsi="Times New Roman" w:cs="Times New Roman"/>
          <w:i/>
          <w:iCs/>
          <w:noProof/>
          <w:sz w:val="24"/>
          <w:szCs w:val="24"/>
        </w:rPr>
        <w:t>African Study Monographs</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34</w:t>
      </w:r>
      <w:r w:rsidRPr="006221E6">
        <w:rPr>
          <w:rFonts w:ascii="Times New Roman" w:hAnsi="Times New Roman" w:cs="Times New Roman"/>
          <w:noProof/>
          <w:sz w:val="24"/>
          <w:szCs w:val="24"/>
        </w:rPr>
        <w:t>(Supplementary Issue), 75–89.</w:t>
      </w:r>
    </w:p>
    <w:p w14:paraId="3ADAD208"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Baltezar, P., Crema, S., Baldwin, E., Ye, S., Crowley, M., Cardille, J., &amp; Estes, L. (2020). </w:t>
      </w:r>
      <w:r w:rsidRPr="006221E6">
        <w:rPr>
          <w:rFonts w:ascii="Times New Roman" w:hAnsi="Times New Roman" w:cs="Times New Roman"/>
          <w:i/>
          <w:iCs/>
          <w:noProof/>
          <w:sz w:val="24"/>
          <w:szCs w:val="24"/>
        </w:rPr>
        <w:t>Support Vector Machine (SVM) Time Interval Mapping of Agriculture : A case study in Zambia Agroecological (AER) Zone IIa</w:t>
      </w:r>
      <w:r w:rsidRPr="006221E6">
        <w:rPr>
          <w:rFonts w:ascii="Times New Roman" w:hAnsi="Times New Roman" w:cs="Times New Roman"/>
          <w:noProof/>
          <w:sz w:val="24"/>
          <w:szCs w:val="24"/>
        </w:rPr>
        <w:t>. Clark University.</w:t>
      </w:r>
    </w:p>
    <w:p w14:paraId="77B84D3A"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Calzada, L., Meave, J. A., Bon, C., &amp; Figueroa, F. (2018). Lands at risk : Land use / land cover change in two contrasting tropical dry regions of Mexico. </w:t>
      </w:r>
      <w:r w:rsidRPr="006221E6">
        <w:rPr>
          <w:rFonts w:ascii="Times New Roman" w:hAnsi="Times New Roman" w:cs="Times New Roman"/>
          <w:i/>
          <w:iCs/>
          <w:noProof/>
          <w:sz w:val="24"/>
          <w:szCs w:val="24"/>
        </w:rPr>
        <w:t>Applied Geography</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99</w:t>
      </w:r>
      <w:r w:rsidRPr="006221E6">
        <w:rPr>
          <w:rFonts w:ascii="Times New Roman" w:hAnsi="Times New Roman" w:cs="Times New Roman"/>
          <w:noProof/>
          <w:sz w:val="24"/>
          <w:szCs w:val="24"/>
        </w:rPr>
        <w:t>, 22–30. https://doi.org/10.1016/j.apgeog.2018.07.021</w:t>
      </w:r>
    </w:p>
    <w:p w14:paraId="74779F7B" w14:textId="1668BE49" w:rsid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Estes, L., Searchinger, T., Tian, D., &amp; Kehoe, L. (2016). Reconciling agriculture, carbon, and biodiversity in a savanna transformation frontier. </w:t>
      </w:r>
      <w:r w:rsidRPr="006221E6">
        <w:rPr>
          <w:rFonts w:ascii="Times New Roman" w:hAnsi="Times New Roman" w:cs="Times New Roman"/>
          <w:i/>
          <w:iCs/>
          <w:noProof/>
          <w:sz w:val="24"/>
          <w:szCs w:val="24"/>
        </w:rPr>
        <w:t xml:space="preserve">Philosophical Transactions of The Royal </w:t>
      </w:r>
      <w:r w:rsidRPr="006221E6">
        <w:rPr>
          <w:rFonts w:ascii="Times New Roman" w:hAnsi="Times New Roman" w:cs="Times New Roman"/>
          <w:i/>
          <w:iCs/>
          <w:noProof/>
          <w:sz w:val="24"/>
          <w:szCs w:val="24"/>
        </w:rPr>
        <w:lastRenderedPageBreak/>
        <w:t>Society B Biological Sciences</w:t>
      </w:r>
      <w:r w:rsidRPr="006221E6">
        <w:rPr>
          <w:rFonts w:ascii="Times New Roman" w:hAnsi="Times New Roman" w:cs="Times New Roman"/>
          <w:noProof/>
          <w:sz w:val="24"/>
          <w:szCs w:val="24"/>
        </w:rPr>
        <w:t>, (April 2017), 18. https://doi.org/10.1098/rstb.2015.0316</w:t>
      </w:r>
    </w:p>
    <w:p w14:paraId="1ECDFD9C" w14:textId="1AF8E599" w:rsidR="004402EC" w:rsidRDefault="0012336A" w:rsidP="004402EC">
      <w:pPr>
        <w:widowControl w:val="0"/>
        <w:autoSpaceDE w:val="0"/>
        <w:autoSpaceDN w:val="0"/>
        <w:adjustRightInd w:val="0"/>
        <w:spacing w:after="0" w:line="480" w:lineRule="auto"/>
        <w:ind w:left="480" w:hanging="480"/>
        <w:rPr>
          <w:rStyle w:val="Hyperlink"/>
        </w:rPr>
      </w:pPr>
      <w:r>
        <w:rPr>
          <w:rFonts w:ascii="Times New Roman" w:hAnsi="Times New Roman" w:cs="Times New Roman"/>
          <w:noProof/>
          <w:sz w:val="24"/>
          <w:szCs w:val="24"/>
        </w:rPr>
        <w:t xml:space="preserve">FAO (2016). Zambia, Country Profile. Retrieved from: </w:t>
      </w:r>
      <w:hyperlink r:id="rId32" w:history="1">
        <w:r>
          <w:rPr>
            <w:rStyle w:val="Hyperlink"/>
          </w:rPr>
          <w:t>http://www.fao.org/countryprofiles/index/en/?iso3=ZMB</w:t>
        </w:r>
      </w:hyperlink>
      <w:r w:rsidR="004402EC">
        <w:rPr>
          <w:rStyle w:val="Hyperlink"/>
        </w:rPr>
        <w:t>.</w:t>
      </w:r>
    </w:p>
    <w:p w14:paraId="598CF01A" w14:textId="7B177655" w:rsidR="004402EC" w:rsidRPr="004402EC" w:rsidRDefault="004402EC" w:rsidP="004402EC">
      <w:pPr>
        <w:widowControl w:val="0"/>
        <w:autoSpaceDE w:val="0"/>
        <w:autoSpaceDN w:val="0"/>
        <w:adjustRightInd w:val="0"/>
        <w:spacing w:after="0" w:line="480" w:lineRule="auto"/>
        <w:ind w:left="480" w:hanging="480"/>
        <w:rPr>
          <w:rFonts w:ascii="Times New Roman" w:hAnsi="Times New Roman" w:cs="Times New Roman"/>
          <w:sz w:val="24"/>
          <w:szCs w:val="24"/>
        </w:rPr>
      </w:pPr>
      <w:r w:rsidRPr="004402EC">
        <w:rPr>
          <w:rStyle w:val="Hyperlink"/>
          <w:rFonts w:ascii="Times New Roman" w:hAnsi="Times New Roman" w:cs="Times New Roman"/>
          <w:color w:val="auto"/>
          <w:sz w:val="24"/>
          <w:szCs w:val="24"/>
          <w:u w:val="none"/>
        </w:rPr>
        <w:t>FAOSTAT (2020)</w:t>
      </w:r>
      <w:r>
        <w:rPr>
          <w:rStyle w:val="Hyperlink"/>
          <w:rFonts w:ascii="Times New Roman" w:hAnsi="Times New Roman" w:cs="Times New Roman"/>
          <w:color w:val="auto"/>
          <w:sz w:val="24"/>
          <w:szCs w:val="24"/>
          <w:u w:val="none"/>
        </w:rPr>
        <w:t xml:space="preserve">. Data, Land Cover. FAO. Retrieved from: </w:t>
      </w:r>
      <w:r w:rsidRPr="004402EC">
        <w:rPr>
          <w:rStyle w:val="Hyperlink"/>
          <w:rFonts w:ascii="Times New Roman" w:hAnsi="Times New Roman" w:cs="Times New Roman"/>
          <w:color w:val="auto"/>
          <w:sz w:val="24"/>
          <w:szCs w:val="24"/>
          <w:u w:val="none"/>
        </w:rPr>
        <w:t>http://www.fao.org/faostat/en/#data/LC</w:t>
      </w:r>
    </w:p>
    <w:p w14:paraId="2C2E23CD"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Gashaw, T., Bantider, A., &amp; Mahari, A. (2014). Population dynamics and land use/land cover changes in Dera District, Ethiopia. </w:t>
      </w:r>
      <w:r w:rsidRPr="006221E6">
        <w:rPr>
          <w:rFonts w:ascii="Times New Roman" w:hAnsi="Times New Roman" w:cs="Times New Roman"/>
          <w:i/>
          <w:iCs/>
          <w:noProof/>
          <w:sz w:val="24"/>
          <w:szCs w:val="24"/>
        </w:rPr>
        <w:t>Global Journal of Biology, Agriculture &amp; Health Sciences</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3</w:t>
      </w:r>
      <w:r w:rsidRPr="006221E6">
        <w:rPr>
          <w:rFonts w:ascii="Times New Roman" w:hAnsi="Times New Roman" w:cs="Times New Roman"/>
          <w:noProof/>
          <w:sz w:val="24"/>
          <w:szCs w:val="24"/>
        </w:rPr>
        <w:t>(1), 137–140.</w:t>
      </w:r>
    </w:p>
    <w:p w14:paraId="01203B87"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Gibbs, H. K., Ruesch, A. S., Achard, F., Clayton, M. K., Holmgren, P., Ramankutty, N., &amp; Foley, J. A. (2010). Tropical forests were the primary sources of new agricultural land in the 1980s and 1990s. </w:t>
      </w:r>
      <w:r w:rsidRPr="006221E6">
        <w:rPr>
          <w:rFonts w:ascii="Times New Roman" w:hAnsi="Times New Roman" w:cs="Times New Roman"/>
          <w:i/>
          <w:iCs/>
          <w:noProof/>
          <w:sz w:val="24"/>
          <w:szCs w:val="24"/>
        </w:rPr>
        <w:t>Proceedings of the National Academy of the Sciences</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107</w:t>
      </w:r>
      <w:r w:rsidRPr="006221E6">
        <w:rPr>
          <w:rFonts w:ascii="Times New Roman" w:hAnsi="Times New Roman" w:cs="Times New Roman"/>
          <w:noProof/>
          <w:sz w:val="24"/>
          <w:szCs w:val="24"/>
        </w:rPr>
        <w:t>(38), 1–6. https://doi.org/10.1073/pnas.0910275107</w:t>
      </w:r>
    </w:p>
    <w:p w14:paraId="4C986B88"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Id, J. S., Bunting, E., Zhu, L., Ryan, S. J., Id, H. V. H., Id, D. K., … Campo-besco, M. A. (2018). Using a coupled dynamic factor – random forest analysis ( DFRFA ) to reveal drivers of spatiotemporal heterogeneity in the semi-arid regions of southern Africa. </w:t>
      </w:r>
      <w:r w:rsidRPr="006221E6">
        <w:rPr>
          <w:rFonts w:ascii="Times New Roman" w:hAnsi="Times New Roman" w:cs="Times New Roman"/>
          <w:i/>
          <w:iCs/>
          <w:noProof/>
          <w:sz w:val="24"/>
          <w:szCs w:val="24"/>
        </w:rPr>
        <w:t>PLoS ONE</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13</w:t>
      </w:r>
      <w:r w:rsidRPr="006221E6">
        <w:rPr>
          <w:rFonts w:ascii="Times New Roman" w:hAnsi="Times New Roman" w:cs="Times New Roman"/>
          <w:noProof/>
          <w:sz w:val="24"/>
          <w:szCs w:val="24"/>
        </w:rPr>
        <w:t>(12), 1–19.</w:t>
      </w:r>
    </w:p>
    <w:p w14:paraId="0E6210CF"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Kamwi, J. M., Chirwa, P. W. C., Manda, S. O. M., Graz, P. F., &amp; Katsch, C. (2015). Livelihoods, land use and land cover change in the Zambezi Region, Namibia. </w:t>
      </w:r>
      <w:r w:rsidRPr="006221E6">
        <w:rPr>
          <w:rFonts w:ascii="Times New Roman" w:hAnsi="Times New Roman" w:cs="Times New Roman"/>
          <w:i/>
          <w:iCs/>
          <w:noProof/>
          <w:sz w:val="24"/>
          <w:szCs w:val="24"/>
        </w:rPr>
        <w:t>Population and Environment</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37</w:t>
      </w:r>
      <w:r w:rsidRPr="006221E6">
        <w:rPr>
          <w:rFonts w:ascii="Times New Roman" w:hAnsi="Times New Roman" w:cs="Times New Roman"/>
          <w:noProof/>
          <w:sz w:val="24"/>
          <w:szCs w:val="24"/>
        </w:rPr>
        <w:t>(2), 203–230.</w:t>
      </w:r>
    </w:p>
    <w:p w14:paraId="632B9051"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Kapekele, E. M. (2006). </w:t>
      </w:r>
      <w:r w:rsidRPr="006221E6">
        <w:rPr>
          <w:rFonts w:ascii="Times New Roman" w:hAnsi="Times New Roman" w:cs="Times New Roman"/>
          <w:i/>
          <w:iCs/>
          <w:noProof/>
          <w:sz w:val="24"/>
          <w:szCs w:val="24"/>
        </w:rPr>
        <w:t>Determinants of slash and burn: The case of chitemene farming system in Zambia</w:t>
      </w:r>
      <w:r w:rsidRPr="006221E6">
        <w:rPr>
          <w:rFonts w:ascii="Times New Roman" w:hAnsi="Times New Roman" w:cs="Times New Roman"/>
          <w:noProof/>
          <w:sz w:val="24"/>
          <w:szCs w:val="24"/>
        </w:rPr>
        <w:t>. University of Pretoria.</w:t>
      </w:r>
    </w:p>
    <w:p w14:paraId="194C5955"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Kindu, M., Schneider, T., Tekatay, D., &amp; Knoke, T. (2015). Drivers of land use/land cover changes in Munessa-Shashemene landscape of the south-central highlands of Ethiopia. </w:t>
      </w:r>
      <w:r w:rsidRPr="006221E6">
        <w:rPr>
          <w:rFonts w:ascii="Times New Roman" w:hAnsi="Times New Roman" w:cs="Times New Roman"/>
          <w:i/>
          <w:iCs/>
          <w:noProof/>
          <w:sz w:val="24"/>
          <w:szCs w:val="24"/>
        </w:rPr>
        <w:t>Environmental Monitoring and Assessment</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187</w:t>
      </w:r>
      <w:r w:rsidRPr="006221E6">
        <w:rPr>
          <w:rFonts w:ascii="Times New Roman" w:hAnsi="Times New Roman" w:cs="Times New Roman"/>
          <w:noProof/>
          <w:sz w:val="24"/>
          <w:szCs w:val="24"/>
        </w:rPr>
        <w:t>, 452–469. https://doi.org/10.1007/s10661-</w:t>
      </w:r>
      <w:r w:rsidRPr="006221E6">
        <w:rPr>
          <w:rFonts w:ascii="Times New Roman" w:hAnsi="Times New Roman" w:cs="Times New Roman"/>
          <w:noProof/>
          <w:sz w:val="24"/>
          <w:szCs w:val="24"/>
        </w:rPr>
        <w:lastRenderedPageBreak/>
        <w:t>015-4671-7</w:t>
      </w:r>
    </w:p>
    <w:p w14:paraId="210BC68E"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Lambin, E. F., &amp; Meyfroidt, P. (2011). Global land use change , economic globalization , and the looming land scarcity. </w:t>
      </w:r>
      <w:r w:rsidRPr="006221E6">
        <w:rPr>
          <w:rFonts w:ascii="Times New Roman" w:hAnsi="Times New Roman" w:cs="Times New Roman"/>
          <w:i/>
          <w:iCs/>
          <w:noProof/>
          <w:sz w:val="24"/>
          <w:szCs w:val="24"/>
        </w:rPr>
        <w:t>Proceedings of the National Academy of the Sciences</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108</w:t>
      </w:r>
      <w:r w:rsidRPr="006221E6">
        <w:rPr>
          <w:rFonts w:ascii="Times New Roman" w:hAnsi="Times New Roman" w:cs="Times New Roman"/>
          <w:noProof/>
          <w:sz w:val="24"/>
          <w:szCs w:val="24"/>
        </w:rPr>
        <w:t>(9), 3465–3472. https://doi.org/10.1073/pnas.1100480108</w:t>
      </w:r>
    </w:p>
    <w:p w14:paraId="5BCD03A9"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Msofe, N. K., Sheng, L., &amp; Lyimo, J. (2019). Land Use Change Trends and Their Driving Forces in the Kilombero Valley Floodplain , Southeastern Tanzania. </w:t>
      </w:r>
      <w:r w:rsidRPr="006221E6">
        <w:rPr>
          <w:rFonts w:ascii="Times New Roman" w:hAnsi="Times New Roman" w:cs="Times New Roman"/>
          <w:i/>
          <w:iCs/>
          <w:noProof/>
          <w:sz w:val="24"/>
          <w:szCs w:val="24"/>
        </w:rPr>
        <w:t>Sustainability</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11</w:t>
      </w:r>
      <w:r w:rsidRPr="006221E6">
        <w:rPr>
          <w:rFonts w:ascii="Times New Roman" w:hAnsi="Times New Roman" w:cs="Times New Roman"/>
          <w:noProof/>
          <w:sz w:val="24"/>
          <w:szCs w:val="24"/>
        </w:rPr>
        <w:t>, 505–32. https://doi.org/10.3390/su11020505</w:t>
      </w:r>
    </w:p>
    <w:p w14:paraId="63124E92"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Munthali, M. G., Davis, N., Adeola, A. M., Botai, J. O., Kamwi, J. M., Chisale, H. L. W., &amp; Orimoogunje, O. O. I. (2019). Local Perception of Drivers of Land-Use and Land-Cover Change Dynamics across Dedza District , Central Malawi Region. </w:t>
      </w:r>
      <w:r w:rsidRPr="006221E6">
        <w:rPr>
          <w:rFonts w:ascii="Times New Roman" w:hAnsi="Times New Roman" w:cs="Times New Roman"/>
          <w:i/>
          <w:iCs/>
          <w:noProof/>
          <w:sz w:val="24"/>
          <w:szCs w:val="24"/>
        </w:rPr>
        <w:t>Sustainability</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11</w:t>
      </w:r>
      <w:r w:rsidRPr="006221E6">
        <w:rPr>
          <w:rFonts w:ascii="Times New Roman" w:hAnsi="Times New Roman" w:cs="Times New Roman"/>
          <w:noProof/>
          <w:sz w:val="24"/>
          <w:szCs w:val="24"/>
        </w:rPr>
        <w:t>, 832–857. https://doi.org/10.3390/su11030832</w:t>
      </w:r>
    </w:p>
    <w:p w14:paraId="505D319F"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Petit, C., Scudder, T., &amp; Lambin, E. (2001). Quantifying processes of land-cover change by remote sensing : Resettlement and rapid land- cover changes in south-eastern Zambia. </w:t>
      </w:r>
      <w:r w:rsidRPr="006221E6">
        <w:rPr>
          <w:rFonts w:ascii="Times New Roman" w:hAnsi="Times New Roman" w:cs="Times New Roman"/>
          <w:i/>
          <w:iCs/>
          <w:noProof/>
          <w:sz w:val="24"/>
          <w:szCs w:val="24"/>
        </w:rPr>
        <w:t>Internation Journal of Remote Sensing</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22</w:t>
      </w:r>
      <w:r w:rsidRPr="006221E6">
        <w:rPr>
          <w:rFonts w:ascii="Times New Roman" w:hAnsi="Times New Roman" w:cs="Times New Roman"/>
          <w:noProof/>
          <w:sz w:val="24"/>
          <w:szCs w:val="24"/>
        </w:rPr>
        <w:t>(17), 3435–3456. https://doi.org/10.1080/01431160010006881</w:t>
      </w:r>
    </w:p>
    <w:p w14:paraId="224580E6"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Pontius Jr., R. G. (2019). Component intensities to relate difference by category with difference overall. </w:t>
      </w:r>
      <w:r w:rsidRPr="006221E6">
        <w:rPr>
          <w:rFonts w:ascii="Times New Roman" w:hAnsi="Times New Roman" w:cs="Times New Roman"/>
          <w:i/>
          <w:iCs/>
          <w:noProof/>
          <w:sz w:val="24"/>
          <w:szCs w:val="24"/>
        </w:rPr>
        <w:t>Int J Appl Earth Obs Geoinformation</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77</w:t>
      </w:r>
      <w:r w:rsidRPr="006221E6">
        <w:rPr>
          <w:rFonts w:ascii="Times New Roman" w:hAnsi="Times New Roman" w:cs="Times New Roman"/>
          <w:noProof/>
          <w:sz w:val="24"/>
          <w:szCs w:val="24"/>
        </w:rPr>
        <w:t>, 94–99. https://doi.org/10.1016/j.jag.2018.07.024</w:t>
      </w:r>
    </w:p>
    <w:p w14:paraId="5F6EACC1"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Pontius Jr., R. G., Krithivasan, R., Sauls, L., Yan, Y., &amp; Sauls, L. (2017). Methods to summarize change among land categories across time intervals. </w:t>
      </w:r>
      <w:r w:rsidRPr="006221E6">
        <w:rPr>
          <w:rFonts w:ascii="Times New Roman" w:hAnsi="Times New Roman" w:cs="Times New Roman"/>
          <w:i/>
          <w:iCs/>
          <w:noProof/>
          <w:sz w:val="24"/>
          <w:szCs w:val="24"/>
        </w:rPr>
        <w:t>Journal of Land Use Science</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12</w:t>
      </w:r>
      <w:r w:rsidRPr="006221E6">
        <w:rPr>
          <w:rFonts w:ascii="Times New Roman" w:hAnsi="Times New Roman" w:cs="Times New Roman"/>
          <w:noProof/>
          <w:sz w:val="24"/>
          <w:szCs w:val="24"/>
        </w:rPr>
        <w:t>(4), 218–230. https://doi.org/10.1080/1747423X.2017.1338768</w:t>
      </w:r>
    </w:p>
    <w:p w14:paraId="33E6409B"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Pontius Jr., R. G., &amp; Santacruz, A. (2014). Quantity , exchange , and shift components of difference in a square contingency table. </w:t>
      </w:r>
      <w:r w:rsidRPr="006221E6">
        <w:rPr>
          <w:rFonts w:ascii="Times New Roman" w:hAnsi="Times New Roman" w:cs="Times New Roman"/>
          <w:i/>
          <w:iCs/>
          <w:noProof/>
          <w:sz w:val="24"/>
          <w:szCs w:val="24"/>
        </w:rPr>
        <w:t>Internation Journal of Remote Sensing</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35</w:t>
      </w:r>
      <w:r w:rsidRPr="006221E6">
        <w:rPr>
          <w:rFonts w:ascii="Times New Roman" w:hAnsi="Times New Roman" w:cs="Times New Roman"/>
          <w:noProof/>
          <w:sz w:val="24"/>
          <w:szCs w:val="24"/>
        </w:rPr>
        <w:t xml:space="preserve">(21), </w:t>
      </w:r>
      <w:r w:rsidRPr="006221E6">
        <w:rPr>
          <w:rFonts w:ascii="Times New Roman" w:hAnsi="Times New Roman" w:cs="Times New Roman"/>
          <w:noProof/>
          <w:sz w:val="24"/>
          <w:szCs w:val="24"/>
        </w:rPr>
        <w:lastRenderedPageBreak/>
        <w:t>7543–7554. https://doi.org/10.1080/2150704X.2014.969814</w:t>
      </w:r>
    </w:p>
    <w:p w14:paraId="234941A4" w14:textId="156BEEDB" w:rsid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Pontius Jr., R. G., &amp; Si, K. (2014). The total operating characteristic to measure diagnostic ability for multiple thresholds. </w:t>
      </w:r>
      <w:r w:rsidRPr="006221E6">
        <w:rPr>
          <w:rFonts w:ascii="Times New Roman" w:hAnsi="Times New Roman" w:cs="Times New Roman"/>
          <w:i/>
          <w:iCs/>
          <w:noProof/>
          <w:sz w:val="24"/>
          <w:szCs w:val="24"/>
        </w:rPr>
        <w:t>International Journal of Geographical Information Science</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28</w:t>
      </w:r>
      <w:r w:rsidRPr="006221E6">
        <w:rPr>
          <w:rFonts w:ascii="Times New Roman" w:hAnsi="Times New Roman" w:cs="Times New Roman"/>
          <w:noProof/>
          <w:sz w:val="24"/>
          <w:szCs w:val="24"/>
        </w:rPr>
        <w:t>(3), 570–583. https://doi.org/10.1080/13658816.2013.862623</w:t>
      </w:r>
    </w:p>
    <w:p w14:paraId="68B6FA48" w14:textId="4D58585A" w:rsidR="00326FDE" w:rsidRPr="006221E6" w:rsidRDefault="00326FDE"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Pontius Jr., R. G. &amp; Malanson, J. (2005). Comparison of the Structure and Accuracy of Two Land Change Models.</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International Journal of Geographical Information Science</w:t>
      </w:r>
      <w:r w:rsidRPr="006221E6">
        <w:rPr>
          <w:rFonts w:ascii="Times New Roman" w:hAnsi="Times New Roman" w:cs="Times New Roman"/>
          <w:noProof/>
          <w:sz w:val="24"/>
          <w:szCs w:val="24"/>
        </w:rPr>
        <w:t>,</w:t>
      </w:r>
      <w:r>
        <w:rPr>
          <w:rFonts w:ascii="Times New Roman" w:hAnsi="Times New Roman" w:cs="Times New Roman"/>
          <w:noProof/>
          <w:sz w:val="24"/>
          <w:szCs w:val="24"/>
        </w:rPr>
        <w:t xml:space="preserve"> 19(2), 243-265. </w:t>
      </w:r>
    </w:p>
    <w:p w14:paraId="4C68076B"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Quan, B., Pontius Jr., R. G., &amp; Song, H. (2019). Intensity Analysis to communicate land change during three time intervals in two regions of Quanzhou City , China. </w:t>
      </w:r>
      <w:r w:rsidRPr="006221E6">
        <w:rPr>
          <w:rFonts w:ascii="Times New Roman" w:hAnsi="Times New Roman" w:cs="Times New Roman"/>
          <w:i/>
          <w:iCs/>
          <w:noProof/>
          <w:sz w:val="24"/>
          <w:szCs w:val="24"/>
        </w:rPr>
        <w:t>GIScience &amp; Remote Sensing</w:t>
      </w:r>
      <w:r w:rsidRPr="006221E6">
        <w:rPr>
          <w:rFonts w:ascii="Times New Roman" w:hAnsi="Times New Roman" w:cs="Times New Roman"/>
          <w:noProof/>
          <w:sz w:val="24"/>
          <w:szCs w:val="24"/>
        </w:rPr>
        <w:t>, 1–16. https://doi.org/10.1080/15481603.2019.1658420</w:t>
      </w:r>
    </w:p>
    <w:p w14:paraId="4DF181B7"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Searchinger, T. D., Estes, L., Thornton, P. K., Beringer, T., Notenbaert, A., Rubenstein, D., … Herrero, M. (2015). Converting Africa’s Wet Savannahs to Cropland. </w:t>
      </w:r>
      <w:r w:rsidRPr="006221E6">
        <w:rPr>
          <w:rFonts w:ascii="Times New Roman" w:hAnsi="Times New Roman" w:cs="Times New Roman"/>
          <w:i/>
          <w:iCs/>
          <w:noProof/>
          <w:sz w:val="24"/>
          <w:szCs w:val="24"/>
        </w:rPr>
        <w:t>Nature Climate Change</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5</w:t>
      </w:r>
      <w:r w:rsidRPr="006221E6">
        <w:rPr>
          <w:rFonts w:ascii="Times New Roman" w:hAnsi="Times New Roman" w:cs="Times New Roman"/>
          <w:noProof/>
          <w:sz w:val="24"/>
          <w:szCs w:val="24"/>
        </w:rPr>
        <w:t>(April). https://doi.org/10.1038/NCLIMATE2584</w:t>
      </w:r>
    </w:p>
    <w:p w14:paraId="450A2E42" w14:textId="31661F79" w:rsid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6221E6">
        <w:rPr>
          <w:rFonts w:ascii="Times New Roman" w:hAnsi="Times New Roman" w:cs="Times New Roman"/>
          <w:noProof/>
          <w:sz w:val="24"/>
          <w:szCs w:val="24"/>
        </w:rPr>
        <w:t xml:space="preserve">Stehfest, E., Doelman, J., &amp; Mandryk, M. (2015). </w:t>
      </w:r>
      <w:r w:rsidRPr="006221E6">
        <w:rPr>
          <w:rFonts w:ascii="Times New Roman" w:hAnsi="Times New Roman" w:cs="Times New Roman"/>
          <w:i/>
          <w:iCs/>
          <w:noProof/>
          <w:sz w:val="24"/>
          <w:szCs w:val="24"/>
        </w:rPr>
        <w:t>Assessment of global land availability: land supply for agriculture</w:t>
      </w:r>
      <w:r w:rsidRPr="006221E6">
        <w:rPr>
          <w:rFonts w:ascii="Times New Roman" w:hAnsi="Times New Roman" w:cs="Times New Roman"/>
          <w:noProof/>
          <w:sz w:val="24"/>
          <w:szCs w:val="24"/>
        </w:rPr>
        <w:t xml:space="preserve"> (FOODSECURE No. 7).</w:t>
      </w:r>
    </w:p>
    <w:p w14:paraId="35D22B64" w14:textId="5303C2AD" w:rsidR="0012336A" w:rsidRDefault="0012336A"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12336A">
        <w:rPr>
          <w:rFonts w:ascii="Times New Roman" w:hAnsi="Times New Roman" w:cs="Times New Roman"/>
          <w:noProof/>
          <w:sz w:val="24"/>
          <w:szCs w:val="24"/>
        </w:rPr>
        <w:t>Vinya, R., Syampungani, S., Kasumu, E.C., Monde, C. &amp; Kasubika, R. (2011). Preliminary Study on the Drivers of Deforestation and Potential for REDD+ in Zambia. A consultancy report prepared for Forestry Department and FAO under the national UN-REDD+ Programme Ministry of Lands &amp; Natural Resources. Lusaka, Zambia</w:t>
      </w:r>
    </w:p>
    <w:p w14:paraId="6C806273" w14:textId="135B5204" w:rsidR="0012336A" w:rsidRPr="006221E6" w:rsidRDefault="0012336A" w:rsidP="006221E6">
      <w:pPr>
        <w:widowControl w:val="0"/>
        <w:autoSpaceDE w:val="0"/>
        <w:autoSpaceDN w:val="0"/>
        <w:adjustRightInd w:val="0"/>
        <w:spacing w:after="0"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World Development Indicators (2020). The World Bank Group. Retrieved from: </w:t>
      </w:r>
      <w:hyperlink r:id="rId33" w:history="1">
        <w:r>
          <w:rPr>
            <w:rStyle w:val="Hyperlink"/>
          </w:rPr>
          <w:t>https://datacatalog.worldbank.org/dataset/world-development-indicators</w:t>
        </w:r>
      </w:hyperlink>
    </w:p>
    <w:p w14:paraId="329D7F95" w14:textId="77777777" w:rsidR="006221E6" w:rsidRPr="006221E6" w:rsidRDefault="006221E6" w:rsidP="006221E6">
      <w:pPr>
        <w:widowControl w:val="0"/>
        <w:autoSpaceDE w:val="0"/>
        <w:autoSpaceDN w:val="0"/>
        <w:adjustRightInd w:val="0"/>
        <w:spacing w:after="0" w:line="480" w:lineRule="auto"/>
        <w:ind w:left="480" w:hanging="480"/>
        <w:rPr>
          <w:rFonts w:ascii="Times New Roman" w:hAnsi="Times New Roman" w:cs="Times New Roman"/>
          <w:noProof/>
          <w:sz w:val="24"/>
        </w:rPr>
      </w:pPr>
      <w:r w:rsidRPr="006221E6">
        <w:rPr>
          <w:rFonts w:ascii="Times New Roman" w:hAnsi="Times New Roman" w:cs="Times New Roman"/>
          <w:noProof/>
          <w:sz w:val="24"/>
          <w:szCs w:val="24"/>
        </w:rPr>
        <w:t xml:space="preserve">Yalew, S. G., Griensven, A. Van, Mul, M. L., &amp; Zaag, P. Van Der. (2016). Land suitability analysis for agriculture in the Abbay basin using remote sensing , GIS and AHP techniques. </w:t>
      </w:r>
      <w:r w:rsidRPr="006221E6">
        <w:rPr>
          <w:rFonts w:ascii="Times New Roman" w:hAnsi="Times New Roman" w:cs="Times New Roman"/>
          <w:i/>
          <w:iCs/>
          <w:noProof/>
          <w:sz w:val="24"/>
          <w:szCs w:val="24"/>
        </w:rPr>
        <w:t>Modeling Earth Systems and Environment</w:t>
      </w:r>
      <w:r w:rsidRPr="006221E6">
        <w:rPr>
          <w:rFonts w:ascii="Times New Roman" w:hAnsi="Times New Roman" w:cs="Times New Roman"/>
          <w:noProof/>
          <w:sz w:val="24"/>
          <w:szCs w:val="24"/>
        </w:rPr>
        <w:t xml:space="preserve">, </w:t>
      </w:r>
      <w:r w:rsidRPr="006221E6">
        <w:rPr>
          <w:rFonts w:ascii="Times New Roman" w:hAnsi="Times New Roman" w:cs="Times New Roman"/>
          <w:i/>
          <w:iCs/>
          <w:noProof/>
          <w:sz w:val="24"/>
          <w:szCs w:val="24"/>
        </w:rPr>
        <w:t>2</w:t>
      </w:r>
      <w:r w:rsidRPr="006221E6">
        <w:rPr>
          <w:rFonts w:ascii="Times New Roman" w:hAnsi="Times New Roman" w:cs="Times New Roman"/>
          <w:noProof/>
          <w:sz w:val="24"/>
          <w:szCs w:val="24"/>
        </w:rPr>
        <w:t>(2), 1–14. https://doi.org/10.1007/s40808-016-</w:t>
      </w:r>
      <w:r w:rsidRPr="006221E6">
        <w:rPr>
          <w:rFonts w:ascii="Times New Roman" w:hAnsi="Times New Roman" w:cs="Times New Roman"/>
          <w:noProof/>
          <w:sz w:val="24"/>
          <w:szCs w:val="24"/>
        </w:rPr>
        <w:lastRenderedPageBreak/>
        <w:t>0167-x</w:t>
      </w:r>
    </w:p>
    <w:p w14:paraId="2935C9EB" w14:textId="16C1E4FB" w:rsidR="007E25C4" w:rsidRDefault="006725DC" w:rsidP="0012336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fldChar w:fldCharType="end"/>
      </w:r>
      <w:r w:rsidR="0012336A">
        <w:rPr>
          <w:rFonts w:ascii="Times New Roman" w:hAnsi="Times New Roman" w:cs="Times New Roman"/>
          <w:sz w:val="24"/>
          <w:szCs w:val="24"/>
        </w:rPr>
        <w:t xml:space="preserve">Zambia CountrySTAT (2016). Central Statistical Office and Ministry of Agriculture. Retrieved from: </w:t>
      </w:r>
      <w:hyperlink r:id="rId34" w:history="1">
        <w:r w:rsidR="0012336A">
          <w:rPr>
            <w:rStyle w:val="Hyperlink"/>
          </w:rPr>
          <w:t>http://zambia.countrystat.org/home/en/</w:t>
        </w:r>
      </w:hyperlink>
    </w:p>
    <w:p w14:paraId="2936D7FD" w14:textId="77777777" w:rsidR="00153CED" w:rsidRDefault="00153CED" w:rsidP="007C5A04">
      <w:pPr>
        <w:spacing w:after="0" w:line="480" w:lineRule="auto"/>
        <w:rPr>
          <w:rFonts w:ascii="Times New Roman" w:hAnsi="Times New Roman" w:cs="Times New Roman"/>
          <w:sz w:val="24"/>
          <w:szCs w:val="24"/>
        </w:rPr>
      </w:pPr>
    </w:p>
    <w:p w14:paraId="42E3F0A3" w14:textId="77777777" w:rsidR="00153CED" w:rsidRDefault="00153CED" w:rsidP="007C5A04">
      <w:pPr>
        <w:spacing w:after="0" w:line="480" w:lineRule="auto"/>
        <w:rPr>
          <w:rFonts w:ascii="Times New Roman" w:hAnsi="Times New Roman" w:cs="Times New Roman"/>
          <w:sz w:val="24"/>
          <w:szCs w:val="24"/>
        </w:rPr>
      </w:pPr>
    </w:p>
    <w:p w14:paraId="5A93850E" w14:textId="77777777" w:rsidR="00153CED" w:rsidRDefault="00153CED" w:rsidP="007C5A04">
      <w:pPr>
        <w:spacing w:after="0" w:line="480" w:lineRule="auto"/>
        <w:rPr>
          <w:rFonts w:ascii="Times New Roman" w:hAnsi="Times New Roman" w:cs="Times New Roman"/>
          <w:sz w:val="24"/>
          <w:szCs w:val="24"/>
        </w:rPr>
      </w:pPr>
    </w:p>
    <w:p w14:paraId="6977ADCD" w14:textId="77777777" w:rsidR="00153CED" w:rsidRDefault="00153CED" w:rsidP="007C5A04">
      <w:pPr>
        <w:spacing w:after="0" w:line="480" w:lineRule="auto"/>
        <w:rPr>
          <w:rFonts w:ascii="Times New Roman" w:hAnsi="Times New Roman" w:cs="Times New Roman"/>
          <w:sz w:val="24"/>
          <w:szCs w:val="24"/>
        </w:rPr>
      </w:pPr>
    </w:p>
    <w:p w14:paraId="3328359C" w14:textId="77777777" w:rsidR="00153CED" w:rsidRDefault="00153CED" w:rsidP="007C5A04">
      <w:pPr>
        <w:spacing w:after="0" w:line="480" w:lineRule="auto"/>
        <w:rPr>
          <w:rFonts w:ascii="Times New Roman" w:hAnsi="Times New Roman" w:cs="Times New Roman"/>
          <w:sz w:val="24"/>
          <w:szCs w:val="24"/>
        </w:rPr>
      </w:pPr>
    </w:p>
    <w:p w14:paraId="230D5AA0" w14:textId="77777777" w:rsidR="00F24FDE" w:rsidRDefault="00F24FDE" w:rsidP="007C5A04">
      <w:pPr>
        <w:spacing w:after="0" w:line="480" w:lineRule="auto"/>
        <w:rPr>
          <w:rFonts w:ascii="Times New Roman" w:hAnsi="Times New Roman" w:cs="Times New Roman"/>
          <w:sz w:val="24"/>
          <w:szCs w:val="24"/>
        </w:rPr>
      </w:pPr>
    </w:p>
    <w:p w14:paraId="02ECAD34" w14:textId="77777777" w:rsidR="00F24FDE" w:rsidRDefault="00F24FDE" w:rsidP="007C5A04">
      <w:pPr>
        <w:spacing w:after="0" w:line="480" w:lineRule="auto"/>
        <w:rPr>
          <w:rFonts w:ascii="Times New Roman" w:hAnsi="Times New Roman" w:cs="Times New Roman"/>
          <w:sz w:val="24"/>
          <w:szCs w:val="24"/>
        </w:rPr>
      </w:pPr>
    </w:p>
    <w:p w14:paraId="1243F98B" w14:textId="77777777" w:rsidR="00F24FDE" w:rsidRDefault="00F24FDE" w:rsidP="007C5A04">
      <w:pPr>
        <w:spacing w:after="0" w:line="480" w:lineRule="auto"/>
        <w:rPr>
          <w:rFonts w:ascii="Times New Roman" w:hAnsi="Times New Roman" w:cs="Times New Roman"/>
          <w:sz w:val="24"/>
          <w:szCs w:val="24"/>
        </w:rPr>
      </w:pPr>
    </w:p>
    <w:p w14:paraId="6F5B5B2D" w14:textId="77777777" w:rsidR="00F24FDE" w:rsidRDefault="00F24FDE" w:rsidP="007C5A04">
      <w:pPr>
        <w:spacing w:after="0" w:line="480" w:lineRule="auto"/>
        <w:rPr>
          <w:rFonts w:ascii="Times New Roman" w:hAnsi="Times New Roman" w:cs="Times New Roman"/>
          <w:sz w:val="24"/>
          <w:szCs w:val="24"/>
        </w:rPr>
      </w:pPr>
    </w:p>
    <w:p w14:paraId="30A9595E" w14:textId="77777777" w:rsidR="00F24FDE" w:rsidRDefault="00F24FDE" w:rsidP="007C5A04">
      <w:pPr>
        <w:spacing w:after="0" w:line="480" w:lineRule="auto"/>
        <w:rPr>
          <w:rFonts w:ascii="Times New Roman" w:hAnsi="Times New Roman" w:cs="Times New Roman"/>
          <w:sz w:val="24"/>
          <w:szCs w:val="24"/>
        </w:rPr>
      </w:pPr>
    </w:p>
    <w:p w14:paraId="1703BB7B" w14:textId="77777777" w:rsidR="00F24FDE" w:rsidRDefault="00F24FDE" w:rsidP="007C5A04">
      <w:pPr>
        <w:spacing w:after="0" w:line="480" w:lineRule="auto"/>
        <w:rPr>
          <w:rFonts w:ascii="Times New Roman" w:hAnsi="Times New Roman" w:cs="Times New Roman"/>
          <w:sz w:val="24"/>
          <w:szCs w:val="24"/>
        </w:rPr>
      </w:pPr>
    </w:p>
    <w:p w14:paraId="5DC14C2B" w14:textId="77777777" w:rsidR="00F24FDE" w:rsidRDefault="00F24FDE" w:rsidP="007C5A04">
      <w:pPr>
        <w:spacing w:after="0" w:line="480" w:lineRule="auto"/>
        <w:rPr>
          <w:rFonts w:ascii="Times New Roman" w:hAnsi="Times New Roman" w:cs="Times New Roman"/>
          <w:sz w:val="24"/>
          <w:szCs w:val="24"/>
        </w:rPr>
      </w:pPr>
    </w:p>
    <w:p w14:paraId="4697569F" w14:textId="77777777" w:rsidR="00F24FDE" w:rsidRDefault="00F24FDE" w:rsidP="007C5A04">
      <w:pPr>
        <w:spacing w:after="0" w:line="480" w:lineRule="auto"/>
        <w:rPr>
          <w:rFonts w:ascii="Times New Roman" w:hAnsi="Times New Roman" w:cs="Times New Roman"/>
          <w:sz w:val="24"/>
          <w:szCs w:val="24"/>
        </w:rPr>
      </w:pPr>
    </w:p>
    <w:p w14:paraId="757D1C4D" w14:textId="77777777" w:rsidR="00F24FDE" w:rsidRDefault="00F24FDE" w:rsidP="007C5A04">
      <w:pPr>
        <w:spacing w:after="0" w:line="480" w:lineRule="auto"/>
        <w:rPr>
          <w:rFonts w:ascii="Times New Roman" w:hAnsi="Times New Roman" w:cs="Times New Roman"/>
          <w:sz w:val="24"/>
          <w:szCs w:val="24"/>
        </w:rPr>
      </w:pPr>
    </w:p>
    <w:p w14:paraId="09CBC3AE" w14:textId="77777777" w:rsidR="00F24FDE" w:rsidRDefault="00F24FDE" w:rsidP="007C5A04">
      <w:pPr>
        <w:spacing w:after="0" w:line="480" w:lineRule="auto"/>
        <w:rPr>
          <w:rFonts w:ascii="Times New Roman" w:hAnsi="Times New Roman" w:cs="Times New Roman"/>
          <w:sz w:val="24"/>
          <w:szCs w:val="24"/>
        </w:rPr>
      </w:pPr>
    </w:p>
    <w:p w14:paraId="2875931B" w14:textId="77777777" w:rsidR="00F24FDE" w:rsidRDefault="00F24FDE" w:rsidP="007C5A04">
      <w:pPr>
        <w:spacing w:after="0" w:line="480" w:lineRule="auto"/>
        <w:rPr>
          <w:rFonts w:ascii="Times New Roman" w:hAnsi="Times New Roman" w:cs="Times New Roman"/>
          <w:sz w:val="24"/>
          <w:szCs w:val="24"/>
        </w:rPr>
      </w:pPr>
    </w:p>
    <w:p w14:paraId="2B7A6057" w14:textId="77777777" w:rsidR="00F24FDE" w:rsidRDefault="00F24FDE" w:rsidP="007C5A04">
      <w:pPr>
        <w:spacing w:after="0" w:line="480" w:lineRule="auto"/>
        <w:rPr>
          <w:rFonts w:ascii="Times New Roman" w:hAnsi="Times New Roman" w:cs="Times New Roman"/>
          <w:sz w:val="24"/>
          <w:szCs w:val="24"/>
        </w:rPr>
      </w:pPr>
    </w:p>
    <w:p w14:paraId="30D7EB70" w14:textId="77777777" w:rsidR="00F24FDE" w:rsidRDefault="00F24FDE" w:rsidP="007C5A04">
      <w:pPr>
        <w:spacing w:after="0" w:line="480" w:lineRule="auto"/>
        <w:rPr>
          <w:rFonts w:ascii="Times New Roman" w:hAnsi="Times New Roman" w:cs="Times New Roman"/>
          <w:sz w:val="24"/>
          <w:szCs w:val="24"/>
        </w:rPr>
      </w:pPr>
    </w:p>
    <w:p w14:paraId="63674E6B" w14:textId="77777777" w:rsidR="00F24FDE" w:rsidRDefault="00F24FDE" w:rsidP="007C5A04">
      <w:pPr>
        <w:spacing w:after="0" w:line="480" w:lineRule="auto"/>
        <w:rPr>
          <w:rFonts w:ascii="Times New Roman" w:hAnsi="Times New Roman" w:cs="Times New Roman"/>
          <w:sz w:val="24"/>
          <w:szCs w:val="24"/>
        </w:rPr>
      </w:pPr>
    </w:p>
    <w:p w14:paraId="6A5EFD97" w14:textId="77777777" w:rsidR="00F24FDE" w:rsidRDefault="00F24FDE" w:rsidP="007C5A04">
      <w:pPr>
        <w:spacing w:after="0" w:line="480" w:lineRule="auto"/>
        <w:rPr>
          <w:rFonts w:ascii="Times New Roman" w:hAnsi="Times New Roman" w:cs="Times New Roman"/>
          <w:sz w:val="24"/>
          <w:szCs w:val="24"/>
        </w:rPr>
      </w:pPr>
    </w:p>
    <w:p w14:paraId="34FF6FF8" w14:textId="7B258B54"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Appendices:</w:t>
      </w:r>
    </w:p>
    <w:p w14:paraId="46775EA6"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t>1 Driver Variables:</w:t>
      </w:r>
    </w:p>
    <w:p w14:paraId="6C76F32C"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BE004" wp14:editId="1CDDFE01">
            <wp:extent cx="2967167" cy="2126907"/>
            <wp:effectExtent l="0" t="0" r="508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STFROMAG2000.BMP"/>
                    <pic:cNvPicPr/>
                  </pic:nvPicPr>
                  <pic:blipFill>
                    <a:blip r:embed="rId35">
                      <a:extLst>
                        <a:ext uri="{28A0092B-C50C-407E-A947-70E740481C1C}">
                          <a14:useLocalDpi xmlns:a14="http://schemas.microsoft.com/office/drawing/2010/main" val="0"/>
                        </a:ext>
                      </a:extLst>
                    </a:blip>
                    <a:stretch>
                      <a:fillRect/>
                    </a:stretch>
                  </pic:blipFill>
                  <pic:spPr>
                    <a:xfrm>
                      <a:off x="0" y="0"/>
                      <a:ext cx="3004967" cy="2154002"/>
                    </a:xfrm>
                    <a:prstGeom prst="rect">
                      <a:avLst/>
                    </a:prstGeom>
                  </pic:spPr>
                </pic:pic>
              </a:graphicData>
            </a:graphic>
          </wp:inline>
        </w:drawing>
      </w:r>
      <w:r>
        <w:rPr>
          <w:rFonts w:ascii="Times New Roman" w:hAnsi="Times New Roman" w:cs="Times New Roman"/>
          <w:noProof/>
          <w:sz w:val="24"/>
          <w:szCs w:val="24"/>
        </w:rPr>
        <w:drawing>
          <wp:inline distT="0" distB="0" distL="0" distR="0" wp14:anchorId="0B662C48" wp14:editId="69BD774F">
            <wp:extent cx="2900932" cy="2136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STFROMAG2010.BMP"/>
                    <pic:cNvPicPr/>
                  </pic:nvPicPr>
                  <pic:blipFill>
                    <a:blip r:embed="rId36">
                      <a:extLst>
                        <a:ext uri="{28A0092B-C50C-407E-A947-70E740481C1C}">
                          <a14:useLocalDpi xmlns:a14="http://schemas.microsoft.com/office/drawing/2010/main" val="0"/>
                        </a:ext>
                      </a:extLst>
                    </a:blip>
                    <a:stretch>
                      <a:fillRect/>
                    </a:stretch>
                  </pic:blipFill>
                  <pic:spPr>
                    <a:xfrm>
                      <a:off x="0" y="0"/>
                      <a:ext cx="2953370" cy="2174753"/>
                    </a:xfrm>
                    <a:prstGeom prst="rect">
                      <a:avLst/>
                    </a:prstGeom>
                  </pic:spPr>
                </pic:pic>
              </a:graphicData>
            </a:graphic>
          </wp:inline>
        </w:drawing>
      </w:r>
      <w:r>
        <w:rPr>
          <w:rFonts w:ascii="Times New Roman" w:hAnsi="Times New Roman" w:cs="Times New Roman"/>
          <w:noProof/>
          <w:sz w:val="24"/>
          <w:szCs w:val="24"/>
        </w:rPr>
        <w:drawing>
          <wp:inline distT="0" distB="0" distL="0" distR="0" wp14:anchorId="2496F189" wp14:editId="4DBCD475">
            <wp:extent cx="2809875" cy="214717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PCHANGEIMDIFF_00_10.BMP"/>
                    <pic:cNvPicPr/>
                  </pic:nvPicPr>
                  <pic:blipFill>
                    <a:blip r:embed="rId37">
                      <a:extLst>
                        <a:ext uri="{28A0092B-C50C-407E-A947-70E740481C1C}">
                          <a14:useLocalDpi xmlns:a14="http://schemas.microsoft.com/office/drawing/2010/main" val="0"/>
                        </a:ext>
                      </a:extLst>
                    </a:blip>
                    <a:stretch>
                      <a:fillRect/>
                    </a:stretch>
                  </pic:blipFill>
                  <pic:spPr>
                    <a:xfrm>
                      <a:off x="0" y="0"/>
                      <a:ext cx="2849620" cy="2177541"/>
                    </a:xfrm>
                    <a:prstGeom prst="rect">
                      <a:avLst/>
                    </a:prstGeom>
                  </pic:spPr>
                </pic:pic>
              </a:graphicData>
            </a:graphic>
          </wp:inline>
        </w:drawing>
      </w:r>
      <w:r>
        <w:rPr>
          <w:rFonts w:ascii="Times New Roman" w:hAnsi="Times New Roman" w:cs="Times New Roman"/>
          <w:noProof/>
          <w:sz w:val="24"/>
          <w:szCs w:val="24"/>
        </w:rPr>
        <w:drawing>
          <wp:inline distT="0" distB="0" distL="0" distR="0" wp14:anchorId="602F757A" wp14:editId="17BAB585">
            <wp:extent cx="2804584" cy="2143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PCHANGE_10_15.BMP"/>
                    <pic:cNvPicPr/>
                  </pic:nvPicPr>
                  <pic:blipFill>
                    <a:blip r:embed="rId38">
                      <a:extLst>
                        <a:ext uri="{28A0092B-C50C-407E-A947-70E740481C1C}">
                          <a14:useLocalDpi xmlns:a14="http://schemas.microsoft.com/office/drawing/2010/main" val="0"/>
                        </a:ext>
                      </a:extLst>
                    </a:blip>
                    <a:stretch>
                      <a:fillRect/>
                    </a:stretch>
                  </pic:blipFill>
                  <pic:spPr>
                    <a:xfrm>
                      <a:off x="0" y="0"/>
                      <a:ext cx="2826668" cy="2160001"/>
                    </a:xfrm>
                    <a:prstGeom prst="rect">
                      <a:avLst/>
                    </a:prstGeom>
                  </pic:spPr>
                </pic:pic>
              </a:graphicData>
            </a:graphic>
          </wp:inline>
        </w:drawing>
      </w:r>
    </w:p>
    <w:p w14:paraId="2A5BDC44"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D26DE1" wp14:editId="53CE4447">
            <wp:extent cx="2840681" cy="2165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PPCHANGE_00_10.BMP"/>
                    <pic:cNvPicPr/>
                  </pic:nvPicPr>
                  <pic:blipFill>
                    <a:blip r:embed="rId39">
                      <a:extLst>
                        <a:ext uri="{28A0092B-C50C-407E-A947-70E740481C1C}">
                          <a14:useLocalDpi xmlns:a14="http://schemas.microsoft.com/office/drawing/2010/main" val="0"/>
                        </a:ext>
                      </a:extLst>
                    </a:blip>
                    <a:stretch>
                      <a:fillRect/>
                    </a:stretch>
                  </pic:blipFill>
                  <pic:spPr>
                    <a:xfrm>
                      <a:off x="0" y="0"/>
                      <a:ext cx="2882745" cy="2197414"/>
                    </a:xfrm>
                    <a:prstGeom prst="rect">
                      <a:avLst/>
                    </a:prstGeom>
                  </pic:spPr>
                </pic:pic>
              </a:graphicData>
            </a:graphic>
          </wp:inline>
        </w:drawing>
      </w:r>
      <w:r>
        <w:rPr>
          <w:rFonts w:ascii="Times New Roman" w:hAnsi="Times New Roman" w:cs="Times New Roman"/>
          <w:noProof/>
          <w:sz w:val="24"/>
          <w:szCs w:val="24"/>
        </w:rPr>
        <w:drawing>
          <wp:inline distT="0" distB="0" distL="0" distR="0" wp14:anchorId="2B1E353B" wp14:editId="40ECDF51">
            <wp:extent cx="2898161" cy="22091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PPCHANGE_10_15.BMP"/>
                    <pic:cNvPicPr/>
                  </pic:nvPicPr>
                  <pic:blipFill>
                    <a:blip r:embed="rId40">
                      <a:extLst>
                        <a:ext uri="{28A0092B-C50C-407E-A947-70E740481C1C}">
                          <a14:useLocalDpi xmlns:a14="http://schemas.microsoft.com/office/drawing/2010/main" val="0"/>
                        </a:ext>
                      </a:extLst>
                    </a:blip>
                    <a:stretch>
                      <a:fillRect/>
                    </a:stretch>
                  </pic:blipFill>
                  <pic:spPr>
                    <a:xfrm>
                      <a:off x="0" y="0"/>
                      <a:ext cx="2940333" cy="2241311"/>
                    </a:xfrm>
                    <a:prstGeom prst="rect">
                      <a:avLst/>
                    </a:prstGeom>
                  </pic:spPr>
                </pic:pic>
              </a:graphicData>
            </a:graphic>
          </wp:inline>
        </w:drawing>
      </w:r>
    </w:p>
    <w:p w14:paraId="211DEB28"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3FF9D2" wp14:editId="635FCD7F">
            <wp:extent cx="2883135" cy="2267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EVATION.BMP"/>
                    <pic:cNvPicPr/>
                  </pic:nvPicPr>
                  <pic:blipFill>
                    <a:blip r:embed="rId41">
                      <a:extLst>
                        <a:ext uri="{28A0092B-C50C-407E-A947-70E740481C1C}">
                          <a14:useLocalDpi xmlns:a14="http://schemas.microsoft.com/office/drawing/2010/main" val="0"/>
                        </a:ext>
                      </a:extLst>
                    </a:blip>
                    <a:stretch>
                      <a:fillRect/>
                    </a:stretch>
                  </pic:blipFill>
                  <pic:spPr>
                    <a:xfrm>
                      <a:off x="0" y="0"/>
                      <a:ext cx="2901890" cy="2282069"/>
                    </a:xfrm>
                    <a:prstGeom prst="rect">
                      <a:avLst/>
                    </a:prstGeom>
                  </pic:spPr>
                </pic:pic>
              </a:graphicData>
            </a:graphic>
          </wp:inline>
        </w:drawing>
      </w:r>
      <w:r>
        <w:rPr>
          <w:rFonts w:ascii="Times New Roman" w:hAnsi="Times New Roman" w:cs="Times New Roman"/>
          <w:noProof/>
          <w:sz w:val="24"/>
          <w:szCs w:val="24"/>
        </w:rPr>
        <w:drawing>
          <wp:inline distT="0" distB="0" distL="0" distR="0" wp14:anchorId="6D5B63AA" wp14:editId="660B6B7D">
            <wp:extent cx="2905125" cy="22626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OPE.BMP"/>
                    <pic:cNvPicPr/>
                  </pic:nvPicPr>
                  <pic:blipFill>
                    <a:blip r:embed="rId42">
                      <a:extLst>
                        <a:ext uri="{28A0092B-C50C-407E-A947-70E740481C1C}">
                          <a14:useLocalDpi xmlns:a14="http://schemas.microsoft.com/office/drawing/2010/main" val="0"/>
                        </a:ext>
                      </a:extLst>
                    </a:blip>
                    <a:stretch>
                      <a:fillRect/>
                    </a:stretch>
                  </pic:blipFill>
                  <pic:spPr>
                    <a:xfrm>
                      <a:off x="0" y="0"/>
                      <a:ext cx="2915594" cy="2270799"/>
                    </a:xfrm>
                    <a:prstGeom prst="rect">
                      <a:avLst/>
                    </a:prstGeom>
                  </pic:spPr>
                </pic:pic>
              </a:graphicData>
            </a:graphic>
          </wp:inline>
        </w:drawing>
      </w:r>
    </w:p>
    <w:p w14:paraId="13D317D4"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2788A1" wp14:editId="0AB169C0">
            <wp:extent cx="2983418" cy="236918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SM.BMP"/>
                    <pic:cNvPicPr/>
                  </pic:nvPicPr>
                  <pic:blipFill>
                    <a:blip r:embed="rId43">
                      <a:extLst>
                        <a:ext uri="{28A0092B-C50C-407E-A947-70E740481C1C}">
                          <a14:useLocalDpi xmlns:a14="http://schemas.microsoft.com/office/drawing/2010/main" val="0"/>
                        </a:ext>
                      </a:extLst>
                    </a:blip>
                    <a:stretch>
                      <a:fillRect/>
                    </a:stretch>
                  </pic:blipFill>
                  <pic:spPr>
                    <a:xfrm>
                      <a:off x="0" y="0"/>
                      <a:ext cx="3008187" cy="2388854"/>
                    </a:xfrm>
                    <a:prstGeom prst="rect">
                      <a:avLst/>
                    </a:prstGeom>
                  </pic:spPr>
                </pic:pic>
              </a:graphicData>
            </a:graphic>
          </wp:inline>
        </w:drawing>
      </w:r>
      <w:r>
        <w:rPr>
          <w:rFonts w:ascii="Times New Roman" w:hAnsi="Times New Roman" w:cs="Times New Roman"/>
          <w:noProof/>
          <w:sz w:val="24"/>
          <w:szCs w:val="24"/>
        </w:rPr>
        <w:drawing>
          <wp:inline distT="0" distB="0" distL="0" distR="0" wp14:anchorId="53329562" wp14:editId="5699B800">
            <wp:extent cx="2882936" cy="2367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IL.BMP"/>
                    <pic:cNvPicPr/>
                  </pic:nvPicPr>
                  <pic:blipFill>
                    <a:blip r:embed="rId44">
                      <a:extLst>
                        <a:ext uri="{28A0092B-C50C-407E-A947-70E740481C1C}">
                          <a14:useLocalDpi xmlns:a14="http://schemas.microsoft.com/office/drawing/2010/main" val="0"/>
                        </a:ext>
                      </a:extLst>
                    </a:blip>
                    <a:stretch>
                      <a:fillRect/>
                    </a:stretch>
                  </pic:blipFill>
                  <pic:spPr>
                    <a:xfrm>
                      <a:off x="0" y="0"/>
                      <a:ext cx="2899087" cy="2381181"/>
                    </a:xfrm>
                    <a:prstGeom prst="rect">
                      <a:avLst/>
                    </a:prstGeom>
                  </pic:spPr>
                </pic:pic>
              </a:graphicData>
            </a:graphic>
          </wp:inline>
        </w:drawing>
      </w:r>
    </w:p>
    <w:p w14:paraId="2445DFA2"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34CB50" wp14:editId="1E68AACF">
            <wp:extent cx="2972091" cy="21685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C50K.BMP"/>
                    <pic:cNvPicPr/>
                  </pic:nvPicPr>
                  <pic:blipFill>
                    <a:blip r:embed="rId45">
                      <a:extLst>
                        <a:ext uri="{28A0092B-C50C-407E-A947-70E740481C1C}">
                          <a14:useLocalDpi xmlns:a14="http://schemas.microsoft.com/office/drawing/2010/main" val="0"/>
                        </a:ext>
                      </a:extLst>
                    </a:blip>
                    <a:stretch>
                      <a:fillRect/>
                    </a:stretch>
                  </pic:blipFill>
                  <pic:spPr>
                    <a:xfrm>
                      <a:off x="0" y="0"/>
                      <a:ext cx="3005973" cy="2193247"/>
                    </a:xfrm>
                    <a:prstGeom prst="rect">
                      <a:avLst/>
                    </a:prstGeom>
                  </pic:spPr>
                </pic:pic>
              </a:graphicData>
            </a:graphic>
          </wp:inline>
        </w:drawing>
      </w:r>
      <w:r w:rsidRPr="00914CD6">
        <w:rPr>
          <w:noProof/>
        </w:rPr>
        <w:t xml:space="preserve"> </w:t>
      </w:r>
      <w:r>
        <w:rPr>
          <w:noProof/>
        </w:rPr>
        <w:drawing>
          <wp:inline distT="0" distB="0" distL="0" distR="0" wp14:anchorId="306D8C82" wp14:editId="75B431BD">
            <wp:extent cx="2938301" cy="21732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0527" cy="2197067"/>
                    </a:xfrm>
                    <a:prstGeom prst="rect">
                      <a:avLst/>
                    </a:prstGeom>
                  </pic:spPr>
                </pic:pic>
              </a:graphicData>
            </a:graphic>
          </wp:inline>
        </w:drawing>
      </w:r>
    </w:p>
    <w:p w14:paraId="27A1057F" w14:textId="77777777" w:rsidR="007C5A04" w:rsidRDefault="007C5A04" w:rsidP="007C5A04">
      <w:pPr>
        <w:spacing w:after="0" w:line="480" w:lineRule="auto"/>
        <w:rPr>
          <w:rFonts w:ascii="Times New Roman" w:hAnsi="Times New Roman" w:cs="Times New Roman"/>
          <w:sz w:val="24"/>
          <w:szCs w:val="24"/>
        </w:rPr>
      </w:pPr>
    </w:p>
    <w:p w14:paraId="675CA317" w14:textId="77777777" w:rsidR="007C5A04" w:rsidRDefault="007C5A04" w:rsidP="007C5A04">
      <w:pPr>
        <w:spacing w:after="0" w:line="480" w:lineRule="auto"/>
        <w:rPr>
          <w:rFonts w:ascii="Times New Roman" w:hAnsi="Times New Roman" w:cs="Times New Roman"/>
          <w:sz w:val="24"/>
          <w:szCs w:val="24"/>
        </w:rPr>
      </w:pPr>
    </w:p>
    <w:p w14:paraId="2F8BE2D4" w14:textId="77777777" w:rsidR="00F24FDE" w:rsidRDefault="00F24FDE" w:rsidP="007C5A04">
      <w:pPr>
        <w:spacing w:after="0" w:line="480" w:lineRule="auto"/>
        <w:rPr>
          <w:rFonts w:ascii="Times New Roman" w:hAnsi="Times New Roman" w:cs="Times New Roman"/>
          <w:sz w:val="24"/>
          <w:szCs w:val="24"/>
        </w:rPr>
      </w:pPr>
    </w:p>
    <w:p w14:paraId="67E98DE8" w14:textId="63FB0216"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 TOC curves not in the main section:</w:t>
      </w:r>
    </w:p>
    <w:p w14:paraId="05F5F459"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t>2000-2010 is in the left column, 2010-2015 in the right</w:t>
      </w:r>
    </w:p>
    <w:p w14:paraId="47AB9F7F"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t>Slope:</w:t>
      </w:r>
    </w:p>
    <w:p w14:paraId="1E12A893" w14:textId="77777777" w:rsidR="007C5A04" w:rsidRDefault="007C5A04" w:rsidP="007C5A04">
      <w:pPr>
        <w:spacing w:after="0" w:line="480" w:lineRule="auto"/>
        <w:rPr>
          <w:rFonts w:ascii="Times New Roman" w:hAnsi="Times New Roman" w:cs="Times New Roman"/>
          <w:sz w:val="24"/>
          <w:szCs w:val="24"/>
        </w:rPr>
      </w:pPr>
      <w:r>
        <w:rPr>
          <w:noProof/>
        </w:rPr>
        <w:drawing>
          <wp:inline distT="0" distB="0" distL="0" distR="0" wp14:anchorId="1CE509B0" wp14:editId="19B15951">
            <wp:extent cx="5943600" cy="23736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73630"/>
                    </a:xfrm>
                    <a:prstGeom prst="rect">
                      <a:avLst/>
                    </a:prstGeom>
                  </pic:spPr>
                </pic:pic>
              </a:graphicData>
            </a:graphic>
          </wp:inline>
        </w:drawing>
      </w:r>
    </w:p>
    <w:p w14:paraId="4CD9D649"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t>Elevation:</w:t>
      </w:r>
    </w:p>
    <w:p w14:paraId="5BFE81EA" w14:textId="77777777" w:rsidR="007C5A04" w:rsidRDefault="007C5A04" w:rsidP="007C5A04">
      <w:pPr>
        <w:spacing w:after="0" w:line="480" w:lineRule="auto"/>
        <w:rPr>
          <w:rFonts w:ascii="Times New Roman" w:hAnsi="Times New Roman" w:cs="Times New Roman"/>
          <w:sz w:val="24"/>
          <w:szCs w:val="24"/>
        </w:rPr>
      </w:pPr>
      <w:r>
        <w:rPr>
          <w:noProof/>
        </w:rPr>
        <w:drawing>
          <wp:inline distT="0" distB="0" distL="0" distR="0" wp14:anchorId="43BC2AA1" wp14:editId="24BC30CA">
            <wp:extent cx="5943600" cy="2468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68880"/>
                    </a:xfrm>
                    <a:prstGeom prst="rect">
                      <a:avLst/>
                    </a:prstGeom>
                  </pic:spPr>
                </pic:pic>
              </a:graphicData>
            </a:graphic>
          </wp:inline>
        </w:drawing>
      </w:r>
    </w:p>
    <w:p w14:paraId="04747F5D" w14:textId="77777777" w:rsidR="00F24FDE" w:rsidRDefault="00F24FDE" w:rsidP="007C5A04">
      <w:pPr>
        <w:spacing w:after="0" w:line="480" w:lineRule="auto"/>
        <w:rPr>
          <w:rFonts w:ascii="Times New Roman" w:hAnsi="Times New Roman" w:cs="Times New Roman"/>
          <w:sz w:val="24"/>
          <w:szCs w:val="24"/>
        </w:rPr>
      </w:pPr>
    </w:p>
    <w:p w14:paraId="7A193DBF" w14:textId="77777777" w:rsidR="00F24FDE" w:rsidRDefault="00F24FDE" w:rsidP="007C5A04">
      <w:pPr>
        <w:spacing w:after="0" w:line="480" w:lineRule="auto"/>
        <w:rPr>
          <w:rFonts w:ascii="Times New Roman" w:hAnsi="Times New Roman" w:cs="Times New Roman"/>
          <w:sz w:val="24"/>
          <w:szCs w:val="24"/>
        </w:rPr>
      </w:pPr>
    </w:p>
    <w:p w14:paraId="6BE6E7F5" w14:textId="77777777" w:rsidR="00F24FDE" w:rsidRDefault="00F24FDE" w:rsidP="007C5A04">
      <w:pPr>
        <w:spacing w:after="0" w:line="480" w:lineRule="auto"/>
        <w:rPr>
          <w:rFonts w:ascii="Times New Roman" w:hAnsi="Times New Roman" w:cs="Times New Roman"/>
          <w:sz w:val="24"/>
          <w:szCs w:val="24"/>
        </w:rPr>
      </w:pPr>
    </w:p>
    <w:p w14:paraId="0D98FD40" w14:textId="77777777" w:rsidR="00F24FDE" w:rsidRDefault="00F24FDE" w:rsidP="007C5A04">
      <w:pPr>
        <w:spacing w:after="0" w:line="480" w:lineRule="auto"/>
        <w:rPr>
          <w:rFonts w:ascii="Times New Roman" w:hAnsi="Times New Roman" w:cs="Times New Roman"/>
          <w:sz w:val="24"/>
          <w:szCs w:val="24"/>
        </w:rPr>
      </w:pPr>
    </w:p>
    <w:p w14:paraId="72C233B0" w14:textId="77777777" w:rsidR="00F24FDE" w:rsidRDefault="00F24FDE" w:rsidP="007C5A04">
      <w:pPr>
        <w:spacing w:after="0" w:line="480" w:lineRule="auto"/>
        <w:rPr>
          <w:rFonts w:ascii="Times New Roman" w:hAnsi="Times New Roman" w:cs="Times New Roman"/>
          <w:sz w:val="24"/>
          <w:szCs w:val="24"/>
        </w:rPr>
      </w:pPr>
    </w:p>
    <w:p w14:paraId="4DCACE37" w14:textId="17CEC758"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Crop Climate Suitability Modeler Index:</w:t>
      </w:r>
    </w:p>
    <w:p w14:paraId="7855F682" w14:textId="77777777" w:rsidR="007C5A04" w:rsidRDefault="007C5A04" w:rsidP="007C5A04">
      <w:pPr>
        <w:spacing w:after="0" w:line="480" w:lineRule="auto"/>
        <w:rPr>
          <w:rFonts w:ascii="Times New Roman" w:hAnsi="Times New Roman" w:cs="Times New Roman"/>
          <w:sz w:val="24"/>
          <w:szCs w:val="24"/>
        </w:rPr>
      </w:pPr>
      <w:r>
        <w:rPr>
          <w:noProof/>
        </w:rPr>
        <w:drawing>
          <wp:inline distT="0" distB="0" distL="0" distR="0" wp14:anchorId="62A8881A" wp14:editId="767A3BA9">
            <wp:extent cx="5943600" cy="23945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4585"/>
                    </a:xfrm>
                    <a:prstGeom prst="rect">
                      <a:avLst/>
                    </a:prstGeom>
                  </pic:spPr>
                </pic:pic>
              </a:graphicData>
            </a:graphic>
          </wp:inline>
        </w:drawing>
      </w:r>
    </w:p>
    <w:p w14:paraId="14DED3F6"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t>Soil Index:</w:t>
      </w:r>
    </w:p>
    <w:p w14:paraId="43764C39" w14:textId="77777777" w:rsidR="007C5A04" w:rsidRDefault="007C5A04" w:rsidP="007C5A04">
      <w:pPr>
        <w:spacing w:after="0" w:line="480" w:lineRule="auto"/>
        <w:rPr>
          <w:rFonts w:ascii="Times New Roman" w:hAnsi="Times New Roman" w:cs="Times New Roman"/>
          <w:sz w:val="24"/>
          <w:szCs w:val="24"/>
        </w:rPr>
      </w:pPr>
      <w:r>
        <w:rPr>
          <w:noProof/>
        </w:rPr>
        <w:drawing>
          <wp:inline distT="0" distB="0" distL="0" distR="0" wp14:anchorId="4A4FCA04" wp14:editId="7205CC99">
            <wp:extent cx="5943600" cy="26257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25725"/>
                    </a:xfrm>
                    <a:prstGeom prst="rect">
                      <a:avLst/>
                    </a:prstGeom>
                  </pic:spPr>
                </pic:pic>
              </a:graphicData>
            </a:graphic>
          </wp:inline>
        </w:drawing>
      </w:r>
    </w:p>
    <w:p w14:paraId="33175EF0" w14:textId="77777777" w:rsidR="00F24FDE" w:rsidRDefault="00F24FDE" w:rsidP="007C5A04">
      <w:pPr>
        <w:spacing w:after="0" w:line="480" w:lineRule="auto"/>
        <w:rPr>
          <w:rFonts w:ascii="Times New Roman" w:hAnsi="Times New Roman" w:cs="Times New Roman"/>
          <w:sz w:val="24"/>
          <w:szCs w:val="24"/>
        </w:rPr>
      </w:pPr>
    </w:p>
    <w:p w14:paraId="4424D675" w14:textId="77777777" w:rsidR="00F24FDE" w:rsidRDefault="00F24FDE" w:rsidP="007C5A04">
      <w:pPr>
        <w:spacing w:after="0" w:line="480" w:lineRule="auto"/>
        <w:rPr>
          <w:rFonts w:ascii="Times New Roman" w:hAnsi="Times New Roman" w:cs="Times New Roman"/>
          <w:sz w:val="24"/>
          <w:szCs w:val="24"/>
        </w:rPr>
      </w:pPr>
    </w:p>
    <w:p w14:paraId="3BFA3DD6" w14:textId="77777777" w:rsidR="00F24FDE" w:rsidRDefault="00F24FDE" w:rsidP="007C5A04">
      <w:pPr>
        <w:spacing w:after="0" w:line="480" w:lineRule="auto"/>
        <w:rPr>
          <w:rFonts w:ascii="Times New Roman" w:hAnsi="Times New Roman" w:cs="Times New Roman"/>
          <w:sz w:val="24"/>
          <w:szCs w:val="24"/>
        </w:rPr>
      </w:pPr>
    </w:p>
    <w:p w14:paraId="01CD5CBC" w14:textId="77777777" w:rsidR="00F24FDE" w:rsidRDefault="00F24FDE" w:rsidP="007C5A04">
      <w:pPr>
        <w:spacing w:after="0" w:line="480" w:lineRule="auto"/>
        <w:rPr>
          <w:rFonts w:ascii="Times New Roman" w:hAnsi="Times New Roman" w:cs="Times New Roman"/>
          <w:sz w:val="24"/>
          <w:szCs w:val="24"/>
        </w:rPr>
      </w:pPr>
    </w:p>
    <w:p w14:paraId="5993FE5C" w14:textId="77777777" w:rsidR="00F24FDE" w:rsidRDefault="00F24FDE" w:rsidP="007C5A04">
      <w:pPr>
        <w:spacing w:after="0" w:line="480" w:lineRule="auto"/>
        <w:rPr>
          <w:rFonts w:ascii="Times New Roman" w:hAnsi="Times New Roman" w:cs="Times New Roman"/>
          <w:sz w:val="24"/>
          <w:szCs w:val="24"/>
        </w:rPr>
      </w:pPr>
    </w:p>
    <w:p w14:paraId="4ABB08A8" w14:textId="77777777" w:rsidR="00F24FDE" w:rsidRDefault="00F24FDE" w:rsidP="007C5A04">
      <w:pPr>
        <w:spacing w:after="0" w:line="480" w:lineRule="auto"/>
        <w:rPr>
          <w:rFonts w:ascii="Times New Roman" w:hAnsi="Times New Roman" w:cs="Times New Roman"/>
          <w:sz w:val="24"/>
          <w:szCs w:val="24"/>
        </w:rPr>
      </w:pPr>
    </w:p>
    <w:p w14:paraId="2C5707F7" w14:textId="59130BDD"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Population (percent) change:</w:t>
      </w:r>
    </w:p>
    <w:p w14:paraId="21D95FBB" w14:textId="77777777" w:rsidR="007C5A04" w:rsidRDefault="007C5A04" w:rsidP="007C5A04">
      <w:pPr>
        <w:spacing w:after="0" w:line="480" w:lineRule="auto"/>
        <w:rPr>
          <w:rFonts w:ascii="Times New Roman" w:hAnsi="Times New Roman" w:cs="Times New Roman"/>
          <w:sz w:val="24"/>
          <w:szCs w:val="24"/>
        </w:rPr>
      </w:pPr>
      <w:r>
        <w:rPr>
          <w:noProof/>
        </w:rPr>
        <w:drawing>
          <wp:inline distT="0" distB="0" distL="0" distR="0" wp14:anchorId="6386FEEB" wp14:editId="4CEE6898">
            <wp:extent cx="5943600" cy="249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98725"/>
                    </a:xfrm>
                    <a:prstGeom prst="rect">
                      <a:avLst/>
                    </a:prstGeom>
                  </pic:spPr>
                </pic:pic>
              </a:graphicData>
            </a:graphic>
          </wp:inline>
        </w:drawing>
      </w:r>
    </w:p>
    <w:p w14:paraId="2B3A49F9"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t>3. LCM MLP reports:</w:t>
      </w:r>
    </w:p>
    <w:p w14:paraId="7634A268"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t>2000 and 2010 using all variables:</w:t>
      </w:r>
    </w:p>
    <w:p w14:paraId="5C475E86" w14:textId="77777777" w:rsidR="007C5A04" w:rsidRDefault="007C5A04" w:rsidP="007C5A04">
      <w:pPr>
        <w:spacing w:after="0" w:line="480" w:lineRule="auto"/>
        <w:rPr>
          <w:rFonts w:ascii="Times New Roman" w:hAnsi="Times New Roman" w:cs="Times New Roman"/>
          <w:sz w:val="24"/>
          <w:szCs w:val="24"/>
        </w:rPr>
      </w:pPr>
      <w:r w:rsidRPr="00D93E40">
        <w:rPr>
          <w:noProof/>
        </w:rPr>
        <w:t xml:space="preserve"> </w:t>
      </w:r>
      <w:r>
        <w:rPr>
          <w:noProof/>
        </w:rPr>
        <w:drawing>
          <wp:inline distT="0" distB="0" distL="0" distR="0" wp14:anchorId="712F6648" wp14:editId="4273DAE8">
            <wp:extent cx="3657600"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2324100"/>
                    </a:xfrm>
                    <a:prstGeom prst="rect">
                      <a:avLst/>
                    </a:prstGeom>
                  </pic:spPr>
                </pic:pic>
              </a:graphicData>
            </a:graphic>
          </wp:inline>
        </w:drawing>
      </w:r>
    </w:p>
    <w:p w14:paraId="39022681" w14:textId="77777777" w:rsidR="007C5A04" w:rsidRDefault="007C5A04" w:rsidP="007C5A04">
      <w:pPr>
        <w:spacing w:after="0" w:line="480" w:lineRule="auto"/>
        <w:rPr>
          <w:rFonts w:ascii="Times New Roman" w:hAnsi="Times New Roman" w:cs="Times New Roman"/>
          <w:sz w:val="24"/>
          <w:szCs w:val="24"/>
        </w:rPr>
      </w:pPr>
      <w:r w:rsidRPr="00D93E40">
        <w:rPr>
          <w:noProof/>
        </w:rPr>
        <w:lastRenderedPageBreak/>
        <w:t xml:space="preserve"> </w:t>
      </w:r>
      <w:r>
        <w:rPr>
          <w:noProof/>
        </w:rPr>
        <w:drawing>
          <wp:inline distT="0" distB="0" distL="0" distR="0" wp14:anchorId="71A1CEC5" wp14:editId="67864942">
            <wp:extent cx="2181225" cy="29622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1225" cy="2962275"/>
                    </a:xfrm>
                    <a:prstGeom prst="rect">
                      <a:avLst/>
                    </a:prstGeom>
                  </pic:spPr>
                </pic:pic>
              </a:graphicData>
            </a:graphic>
          </wp:inline>
        </w:drawing>
      </w:r>
      <w:r w:rsidRPr="00D93E40">
        <w:rPr>
          <w:noProof/>
        </w:rPr>
        <w:t xml:space="preserve"> </w:t>
      </w:r>
      <w:r>
        <w:rPr>
          <w:noProof/>
        </w:rPr>
        <w:drawing>
          <wp:inline distT="0" distB="0" distL="0" distR="0" wp14:anchorId="25B5662F" wp14:editId="3B1DE08E">
            <wp:extent cx="3857625" cy="25146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7625" cy="2514600"/>
                    </a:xfrm>
                    <a:prstGeom prst="rect">
                      <a:avLst/>
                    </a:prstGeom>
                  </pic:spPr>
                </pic:pic>
              </a:graphicData>
            </a:graphic>
          </wp:inline>
        </w:drawing>
      </w:r>
    </w:p>
    <w:p w14:paraId="228BE4F4" w14:textId="77777777" w:rsidR="007C5A04" w:rsidRDefault="007C5A04" w:rsidP="007C5A04">
      <w:pPr>
        <w:spacing w:after="0" w:line="480" w:lineRule="auto"/>
        <w:rPr>
          <w:rFonts w:ascii="Times New Roman" w:hAnsi="Times New Roman" w:cs="Times New Roman"/>
          <w:sz w:val="24"/>
          <w:szCs w:val="24"/>
        </w:rPr>
      </w:pPr>
      <w:r w:rsidRPr="00D93E40">
        <w:rPr>
          <w:noProof/>
        </w:rPr>
        <w:t xml:space="preserve"> </w:t>
      </w:r>
      <w:r>
        <w:rPr>
          <w:noProof/>
        </w:rPr>
        <w:drawing>
          <wp:inline distT="0" distB="0" distL="0" distR="0" wp14:anchorId="043C8C5E" wp14:editId="21E1B164">
            <wp:extent cx="4876800" cy="2343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6800" cy="2343150"/>
                    </a:xfrm>
                    <a:prstGeom prst="rect">
                      <a:avLst/>
                    </a:prstGeom>
                  </pic:spPr>
                </pic:pic>
              </a:graphicData>
            </a:graphic>
          </wp:inline>
        </w:drawing>
      </w:r>
    </w:p>
    <w:p w14:paraId="6BDB200E" w14:textId="77777777" w:rsidR="007C5A04" w:rsidRDefault="007C5A04" w:rsidP="007C5A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2000 and 2010 using only 4 variables:</w:t>
      </w:r>
    </w:p>
    <w:p w14:paraId="5069BADC" w14:textId="77777777" w:rsidR="007C5A04" w:rsidRPr="00483DD4" w:rsidRDefault="007C5A04" w:rsidP="007C5A04">
      <w:pPr>
        <w:spacing w:after="0" w:line="480" w:lineRule="auto"/>
        <w:rPr>
          <w:noProof/>
        </w:rPr>
      </w:pPr>
      <w:r w:rsidRPr="00301C92">
        <w:rPr>
          <w:noProof/>
        </w:rPr>
        <w:t xml:space="preserve"> </w:t>
      </w:r>
      <w:r>
        <w:rPr>
          <w:noProof/>
        </w:rPr>
        <w:drawing>
          <wp:inline distT="0" distB="0" distL="0" distR="0" wp14:anchorId="6A5F087E" wp14:editId="5AD5A855">
            <wp:extent cx="3648075" cy="13144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1314450"/>
                    </a:xfrm>
                    <a:prstGeom prst="rect">
                      <a:avLst/>
                    </a:prstGeom>
                  </pic:spPr>
                </pic:pic>
              </a:graphicData>
            </a:graphic>
          </wp:inline>
        </w:drawing>
      </w:r>
    </w:p>
    <w:p w14:paraId="03327AD8" w14:textId="77777777" w:rsidR="007C5A04" w:rsidRDefault="007C5A04" w:rsidP="007C5A04">
      <w:pPr>
        <w:spacing w:after="0" w:line="480" w:lineRule="auto"/>
        <w:rPr>
          <w:rFonts w:ascii="Times New Roman" w:hAnsi="Times New Roman" w:cs="Times New Roman"/>
          <w:sz w:val="24"/>
          <w:szCs w:val="24"/>
        </w:rPr>
      </w:pPr>
      <w:r>
        <w:rPr>
          <w:noProof/>
        </w:rPr>
        <w:drawing>
          <wp:inline distT="0" distB="0" distL="0" distR="0" wp14:anchorId="51A7A78F" wp14:editId="27D3FB42">
            <wp:extent cx="2190750" cy="2962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90750" cy="2962275"/>
                    </a:xfrm>
                    <a:prstGeom prst="rect">
                      <a:avLst/>
                    </a:prstGeom>
                  </pic:spPr>
                </pic:pic>
              </a:graphicData>
            </a:graphic>
          </wp:inline>
        </w:drawing>
      </w:r>
      <w:r w:rsidRPr="00301C92">
        <w:rPr>
          <w:noProof/>
        </w:rPr>
        <w:t xml:space="preserve"> </w:t>
      </w:r>
      <w:r>
        <w:rPr>
          <w:noProof/>
        </w:rPr>
        <w:drawing>
          <wp:inline distT="0" distB="0" distL="0" distR="0" wp14:anchorId="0A5AD272" wp14:editId="59480D1E">
            <wp:extent cx="3867150" cy="1504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67150" cy="1504950"/>
                    </a:xfrm>
                    <a:prstGeom prst="rect">
                      <a:avLst/>
                    </a:prstGeom>
                  </pic:spPr>
                </pic:pic>
              </a:graphicData>
            </a:graphic>
          </wp:inline>
        </w:drawing>
      </w:r>
    </w:p>
    <w:p w14:paraId="429F59AE" w14:textId="77777777" w:rsidR="007C5A04" w:rsidRDefault="007C5A04" w:rsidP="007C5A04">
      <w:pPr>
        <w:spacing w:after="0" w:line="480" w:lineRule="auto"/>
        <w:rPr>
          <w:noProof/>
        </w:rPr>
      </w:pPr>
      <w:r w:rsidRPr="00286A60">
        <w:rPr>
          <w:noProof/>
        </w:rPr>
        <w:t xml:space="preserve"> </w:t>
      </w:r>
      <w:r>
        <w:rPr>
          <w:noProof/>
        </w:rPr>
        <w:drawing>
          <wp:inline distT="0" distB="0" distL="0" distR="0" wp14:anchorId="3C2C3075" wp14:editId="064BDC50">
            <wp:extent cx="4333875" cy="1276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875" cy="1276350"/>
                    </a:xfrm>
                    <a:prstGeom prst="rect">
                      <a:avLst/>
                    </a:prstGeom>
                  </pic:spPr>
                </pic:pic>
              </a:graphicData>
            </a:graphic>
          </wp:inline>
        </w:drawing>
      </w:r>
    </w:p>
    <w:p w14:paraId="76403E4E" w14:textId="77777777" w:rsidR="007C5A04" w:rsidRDefault="007C5A04" w:rsidP="007C5A04">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2010 and 2015 using all variables.</w:t>
      </w:r>
    </w:p>
    <w:p w14:paraId="19A31BDE" w14:textId="77777777" w:rsidR="007C5A04" w:rsidRDefault="007C5A04" w:rsidP="007C5A04">
      <w:pPr>
        <w:spacing w:after="0" w:line="480" w:lineRule="auto"/>
        <w:rPr>
          <w:rFonts w:ascii="Times New Roman" w:hAnsi="Times New Roman" w:cs="Times New Roman"/>
          <w:sz w:val="24"/>
          <w:szCs w:val="24"/>
        </w:rPr>
      </w:pPr>
      <w:r>
        <w:rPr>
          <w:noProof/>
        </w:rPr>
        <w:drawing>
          <wp:inline distT="0" distB="0" distL="0" distR="0" wp14:anchorId="274F9A71" wp14:editId="33E4AF6D">
            <wp:extent cx="3667125" cy="23622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7125" cy="2362200"/>
                    </a:xfrm>
                    <a:prstGeom prst="rect">
                      <a:avLst/>
                    </a:prstGeom>
                  </pic:spPr>
                </pic:pic>
              </a:graphicData>
            </a:graphic>
          </wp:inline>
        </w:drawing>
      </w:r>
    </w:p>
    <w:p w14:paraId="2170CBEC" w14:textId="77777777" w:rsidR="007C5A04" w:rsidRDefault="007C5A04" w:rsidP="007C5A04">
      <w:pPr>
        <w:spacing w:after="0" w:line="480" w:lineRule="auto"/>
        <w:rPr>
          <w:rFonts w:ascii="Times New Roman" w:hAnsi="Times New Roman" w:cs="Times New Roman"/>
          <w:sz w:val="24"/>
          <w:szCs w:val="24"/>
        </w:rPr>
      </w:pPr>
      <w:r>
        <w:rPr>
          <w:noProof/>
        </w:rPr>
        <w:lastRenderedPageBreak/>
        <w:drawing>
          <wp:inline distT="0" distB="0" distL="0" distR="0" wp14:anchorId="672AC249" wp14:editId="6E6C549E">
            <wp:extent cx="2209800" cy="2981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2981325"/>
                    </a:xfrm>
                    <a:prstGeom prst="rect">
                      <a:avLst/>
                    </a:prstGeom>
                  </pic:spPr>
                </pic:pic>
              </a:graphicData>
            </a:graphic>
          </wp:inline>
        </w:drawing>
      </w:r>
      <w:r>
        <w:rPr>
          <w:noProof/>
        </w:rPr>
        <w:drawing>
          <wp:inline distT="0" distB="0" distL="0" distR="0" wp14:anchorId="4CF71308" wp14:editId="3DA1E775">
            <wp:extent cx="3867150" cy="2571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7150" cy="2571750"/>
                    </a:xfrm>
                    <a:prstGeom prst="rect">
                      <a:avLst/>
                    </a:prstGeom>
                  </pic:spPr>
                </pic:pic>
              </a:graphicData>
            </a:graphic>
          </wp:inline>
        </w:drawing>
      </w:r>
    </w:p>
    <w:p w14:paraId="4C0A99FD" w14:textId="4591C2F8" w:rsidR="007C5A04" w:rsidRDefault="00F32499" w:rsidP="006725DC">
      <w:pPr>
        <w:spacing w:after="0" w:line="480" w:lineRule="auto"/>
        <w:rPr>
          <w:rFonts w:ascii="Times New Roman" w:hAnsi="Times New Roman" w:cs="Times New Roman"/>
          <w:sz w:val="24"/>
          <w:szCs w:val="24"/>
        </w:rPr>
      </w:pPr>
      <w:r>
        <w:rPr>
          <w:noProof/>
        </w:rPr>
        <w:lastRenderedPageBreak/>
        <w:drawing>
          <wp:inline distT="0" distB="0" distL="0" distR="0" wp14:anchorId="03F18C2C" wp14:editId="649B32EC">
            <wp:extent cx="4857750" cy="23431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7750" cy="2343150"/>
                    </a:xfrm>
                    <a:prstGeom prst="rect">
                      <a:avLst/>
                    </a:prstGeom>
                  </pic:spPr>
                </pic:pic>
              </a:graphicData>
            </a:graphic>
          </wp:inline>
        </w:drawing>
      </w:r>
    </w:p>
    <w:p w14:paraId="20DB770E" w14:textId="1E730AB6" w:rsidR="00D95E53" w:rsidRDefault="00D95E53" w:rsidP="00CD39D9">
      <w:pPr>
        <w:spacing w:after="0" w:line="480" w:lineRule="auto"/>
        <w:rPr>
          <w:rFonts w:ascii="Times New Roman" w:hAnsi="Times New Roman" w:cs="Times New Roman"/>
          <w:sz w:val="24"/>
          <w:szCs w:val="24"/>
        </w:rPr>
      </w:pPr>
    </w:p>
    <w:p w14:paraId="48BDF2BB" w14:textId="161D5BBA" w:rsidR="00CD39D9" w:rsidRDefault="00F24FDE" w:rsidP="00CD39D9">
      <w:pPr>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5499F3" wp14:editId="727D8088">
                <wp:simplePos x="0" y="0"/>
                <wp:positionH relativeFrom="column">
                  <wp:posOffset>5343525</wp:posOffset>
                </wp:positionH>
                <wp:positionV relativeFrom="paragraph">
                  <wp:posOffset>259715</wp:posOffset>
                </wp:positionV>
                <wp:extent cx="476250" cy="4000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4762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A2640" id="Rectangle 27" o:spid="_x0000_s1026" style="position:absolute;margin-left:420.75pt;margin-top:20.45pt;width:37.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" fillcolor="white [3212]" strokecolor="white [3212]" strokeweight="1pt"/>
            </w:pict>
          </mc:Fallback>
        </mc:AlternateContent>
      </w:r>
      <w:r w:rsidR="009D0B1C">
        <w:rPr>
          <w:rFonts w:ascii="Times New Roman" w:hAnsi="Times New Roman" w:cs="Times New Roman"/>
          <w:sz w:val="24"/>
          <w:szCs w:val="24"/>
        </w:rPr>
        <w:t>4. National Protected Areas of Zambia</w:t>
      </w:r>
    </w:p>
    <w:p w14:paraId="5B6C3989" w14:textId="551A1E42" w:rsidR="009D0B1C" w:rsidRDefault="009D0B1C" w:rsidP="00CD39D9">
      <w:pPr>
        <w:spacing w:after="0" w:line="480" w:lineRule="auto"/>
        <w:rPr>
          <w:rFonts w:ascii="Times New Roman" w:hAnsi="Times New Roman" w:cs="Times New Roman"/>
          <w:sz w:val="24"/>
          <w:szCs w:val="24"/>
        </w:rPr>
      </w:pPr>
      <w:r>
        <w:rPr>
          <w:noProof/>
        </w:rPr>
        <w:drawing>
          <wp:inline distT="0" distB="0" distL="0" distR="0" wp14:anchorId="66079D72" wp14:editId="46B2A0F6">
            <wp:extent cx="5943600" cy="4625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25340"/>
                    </a:xfrm>
                    <a:prstGeom prst="rect">
                      <a:avLst/>
                    </a:prstGeom>
                  </pic:spPr>
                </pic:pic>
              </a:graphicData>
            </a:graphic>
          </wp:inline>
        </w:drawing>
      </w:r>
    </w:p>
    <w:p w14:paraId="6DD2C95A" w14:textId="317D6243" w:rsidR="00F16615" w:rsidRDefault="00F16615" w:rsidP="00F16615">
      <w:pPr>
        <w:spacing w:after="0" w:line="480" w:lineRule="auto"/>
        <w:rPr>
          <w:rFonts w:ascii="Times New Roman" w:hAnsi="Times New Roman" w:cs="Times New Roman"/>
          <w:sz w:val="24"/>
          <w:szCs w:val="24"/>
        </w:rPr>
      </w:pPr>
    </w:p>
    <w:p w14:paraId="1E51782B" w14:textId="4E8BDE84" w:rsidR="002A137F" w:rsidRDefault="00020A89" w:rsidP="00E1692C">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5. </w:t>
      </w:r>
      <w:r w:rsidRPr="00020A89">
        <w:rPr>
          <w:rFonts w:ascii="Times New Roman" w:hAnsi="Times New Roman" w:cs="Times New Roman"/>
          <w:sz w:val="24"/>
          <w:szCs w:val="24"/>
        </w:rPr>
        <w:t>Gain Quantity, exchange and persistence. The first time interval is on the left, the second on the right. Second row is average yearly gain quantity and exchanges:</w:t>
      </w:r>
    </w:p>
    <w:p w14:paraId="66E44970" w14:textId="3DE92499" w:rsidR="00020A89" w:rsidRPr="002A137F" w:rsidRDefault="00020A89" w:rsidP="00E1692C">
      <w:pPr>
        <w:spacing w:after="0" w:line="480" w:lineRule="auto"/>
        <w:rPr>
          <w:rFonts w:ascii="Times New Roman" w:hAnsi="Times New Roman" w:cs="Times New Roman"/>
          <w:sz w:val="24"/>
          <w:szCs w:val="24"/>
        </w:rPr>
      </w:pPr>
      <w:r>
        <w:rPr>
          <w:noProof/>
        </w:rPr>
        <w:drawing>
          <wp:inline distT="0" distB="0" distL="0" distR="0" wp14:anchorId="512057BF" wp14:editId="60D32D2D">
            <wp:extent cx="2933700" cy="212751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42999" cy="2134260"/>
                    </a:xfrm>
                    <a:prstGeom prst="rect">
                      <a:avLst/>
                    </a:prstGeom>
                    <a:noFill/>
                  </pic:spPr>
                </pic:pic>
              </a:graphicData>
            </a:graphic>
          </wp:inline>
        </w:drawing>
      </w:r>
      <w:r>
        <w:rPr>
          <w:noProof/>
        </w:rPr>
        <w:drawing>
          <wp:inline distT="0" distB="0" distL="0" distR="0" wp14:anchorId="342DC4CB" wp14:editId="5AE376F6">
            <wp:extent cx="2905125" cy="210649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17656" cy="2115579"/>
                    </a:xfrm>
                    <a:prstGeom prst="rect">
                      <a:avLst/>
                    </a:prstGeom>
                    <a:noFill/>
                  </pic:spPr>
                </pic:pic>
              </a:graphicData>
            </a:graphic>
          </wp:inline>
        </w:drawing>
      </w:r>
    </w:p>
    <w:p w14:paraId="1698E5D6" w14:textId="4E93BEF7" w:rsidR="00B75C8E" w:rsidRPr="00B75C8E" w:rsidRDefault="00020A89" w:rsidP="00B75C8E">
      <w:pPr>
        <w:spacing w:after="0" w:line="480" w:lineRule="auto"/>
        <w:rPr>
          <w:rFonts w:ascii="Times New Roman" w:hAnsi="Times New Roman" w:cs="Times New Roman"/>
          <w:sz w:val="24"/>
          <w:szCs w:val="24"/>
        </w:rPr>
      </w:pPr>
      <w:r>
        <w:rPr>
          <w:noProof/>
        </w:rPr>
        <w:drawing>
          <wp:inline distT="0" distB="0" distL="0" distR="0" wp14:anchorId="1511E452" wp14:editId="6A70E86A">
            <wp:extent cx="4150453" cy="2428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59680" cy="2434275"/>
                    </a:xfrm>
                    <a:prstGeom prst="rect">
                      <a:avLst/>
                    </a:prstGeom>
                    <a:noFill/>
                  </pic:spPr>
                </pic:pic>
              </a:graphicData>
            </a:graphic>
          </wp:inline>
        </w:drawing>
      </w:r>
    </w:p>
    <w:p w14:paraId="02B60A27" w14:textId="07A7AF0C" w:rsidR="00FE3F2A" w:rsidRDefault="00B72BAA" w:rsidP="00B72BAA">
      <w:pPr>
        <w:spacing w:after="0" w:line="480" w:lineRule="auto"/>
        <w:rPr>
          <w:rFonts w:ascii="Times New Roman" w:hAnsi="Times New Roman" w:cs="Times New Roman"/>
          <w:sz w:val="24"/>
          <w:szCs w:val="24"/>
        </w:rPr>
      </w:pPr>
      <w:r>
        <w:rPr>
          <w:rFonts w:ascii="Times New Roman" w:hAnsi="Times New Roman" w:cs="Times New Roman"/>
          <w:sz w:val="24"/>
          <w:szCs w:val="24"/>
        </w:rPr>
        <w:t>The amount of agriculture in 2000 is the union of the persistence and the loss exchange (and the loss quantity, which in this case is 0). The amount of agriculture in 2010 is the union of the persistence, gain exchange and gain quantity. The Non-agriculture category is not shown here, because the only different information it contains is the large amount of non-agriculture persistence.</w:t>
      </w:r>
    </w:p>
    <w:p w14:paraId="3702AD18" w14:textId="77777777" w:rsidR="00B72BAA" w:rsidRDefault="00B72BAA" w:rsidP="00B72BAA">
      <w:pPr>
        <w:spacing w:after="0" w:line="480" w:lineRule="auto"/>
        <w:rPr>
          <w:rFonts w:ascii="Times New Roman" w:hAnsi="Times New Roman" w:cs="Times New Roman"/>
          <w:sz w:val="24"/>
          <w:szCs w:val="24"/>
        </w:rPr>
      </w:pPr>
    </w:p>
    <w:p w14:paraId="6117FAEA" w14:textId="77777777" w:rsidR="00F24FDE" w:rsidRDefault="00F24FDE" w:rsidP="00E71202">
      <w:pPr>
        <w:spacing w:after="0" w:line="480" w:lineRule="auto"/>
        <w:rPr>
          <w:rFonts w:ascii="Times New Roman" w:hAnsi="Times New Roman" w:cs="Times New Roman"/>
          <w:sz w:val="24"/>
          <w:szCs w:val="24"/>
        </w:rPr>
      </w:pPr>
    </w:p>
    <w:p w14:paraId="1CB0319E" w14:textId="264FDE82" w:rsidR="00E71202" w:rsidRDefault="00020A89" w:rsidP="00E7120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6. Area of Agriculture in Zambia from 2001-2015 from FAO stat based on MODIS data.</w:t>
      </w:r>
    </w:p>
    <w:p w14:paraId="2E6C3DC3" w14:textId="39053856" w:rsidR="00E71202" w:rsidRPr="00E71202" w:rsidRDefault="00020A89" w:rsidP="00E71202">
      <w:pPr>
        <w:spacing w:line="480" w:lineRule="auto"/>
        <w:rPr>
          <w:rFonts w:ascii="Times New Roman" w:hAnsi="Times New Roman" w:cs="Times New Roman"/>
          <w:sz w:val="24"/>
          <w:szCs w:val="24"/>
        </w:rPr>
      </w:pPr>
      <w:r>
        <w:rPr>
          <w:noProof/>
        </w:rPr>
        <w:drawing>
          <wp:inline distT="0" distB="0" distL="0" distR="0" wp14:anchorId="184F1203" wp14:editId="681F2AE2">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sectPr w:rsidR="00E71202" w:rsidRPr="00E71202" w:rsidSect="00437EC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A47F2" w14:textId="77777777" w:rsidR="00F646D3" w:rsidRDefault="00F646D3" w:rsidP="00437EC9">
      <w:pPr>
        <w:spacing w:after="0" w:line="240" w:lineRule="auto"/>
      </w:pPr>
      <w:r>
        <w:separator/>
      </w:r>
    </w:p>
  </w:endnote>
  <w:endnote w:type="continuationSeparator" w:id="0">
    <w:p w14:paraId="2EE16601" w14:textId="77777777" w:rsidR="00F646D3" w:rsidRDefault="00F646D3" w:rsidP="00437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30341" w14:textId="77777777" w:rsidR="00F646D3" w:rsidRDefault="00F646D3" w:rsidP="00437EC9">
      <w:pPr>
        <w:spacing w:after="0" w:line="240" w:lineRule="auto"/>
      </w:pPr>
      <w:r>
        <w:separator/>
      </w:r>
    </w:p>
  </w:footnote>
  <w:footnote w:type="continuationSeparator" w:id="0">
    <w:p w14:paraId="52ADFD02" w14:textId="77777777" w:rsidR="00F646D3" w:rsidRDefault="00F646D3" w:rsidP="00437E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739545"/>
      <w:docPartObj>
        <w:docPartGallery w:val="Page Numbers (Top of Page)"/>
        <w:docPartUnique/>
      </w:docPartObj>
    </w:sdtPr>
    <w:sdtEndPr>
      <w:rPr>
        <w:noProof/>
      </w:rPr>
    </w:sdtEndPr>
    <w:sdtContent>
      <w:p w14:paraId="2A4139BF" w14:textId="139EE0F4" w:rsidR="00332633" w:rsidRDefault="00332633">
        <w:pPr>
          <w:pStyle w:val="Header"/>
          <w:jc w:val="right"/>
        </w:pPr>
        <w:r>
          <w:fldChar w:fldCharType="begin"/>
        </w:r>
        <w:r>
          <w:instrText xml:space="preserve"> PAGE   \* MERGEFORMAT </w:instrText>
        </w:r>
        <w:r>
          <w:fldChar w:fldCharType="separate"/>
        </w:r>
        <w:r w:rsidR="00D9325F">
          <w:rPr>
            <w:noProof/>
          </w:rPr>
          <w:t>ii</w:t>
        </w:r>
        <w:r>
          <w:rPr>
            <w:noProof/>
          </w:rPr>
          <w:fldChar w:fldCharType="end"/>
        </w:r>
      </w:p>
    </w:sdtContent>
  </w:sdt>
  <w:p w14:paraId="2ADF5282" w14:textId="77777777" w:rsidR="00332633" w:rsidRDefault="0033263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jC2MDcxNTMxNjAyMLNQ0lEKTi0uzszPAykwrgUAsy5AdywAAAA="/>
  </w:docVars>
  <w:rsids>
    <w:rsidRoot w:val="00E71202"/>
    <w:rsid w:val="00020A89"/>
    <w:rsid w:val="0002174D"/>
    <w:rsid w:val="000458EF"/>
    <w:rsid w:val="000570C9"/>
    <w:rsid w:val="000953BF"/>
    <w:rsid w:val="000B4619"/>
    <w:rsid w:val="000D24D6"/>
    <w:rsid w:val="000F5810"/>
    <w:rsid w:val="00101059"/>
    <w:rsid w:val="0012336A"/>
    <w:rsid w:val="00153CED"/>
    <w:rsid w:val="00192573"/>
    <w:rsid w:val="001F3DCE"/>
    <w:rsid w:val="001F41DE"/>
    <w:rsid w:val="002145F5"/>
    <w:rsid w:val="00243875"/>
    <w:rsid w:val="002A137F"/>
    <w:rsid w:val="002E02AD"/>
    <w:rsid w:val="002F562F"/>
    <w:rsid w:val="00306ED0"/>
    <w:rsid w:val="00313D3A"/>
    <w:rsid w:val="00326FDE"/>
    <w:rsid w:val="0032789A"/>
    <w:rsid w:val="00332633"/>
    <w:rsid w:val="003619E4"/>
    <w:rsid w:val="003C6A97"/>
    <w:rsid w:val="004342C7"/>
    <w:rsid w:val="00437D54"/>
    <w:rsid w:val="00437EC9"/>
    <w:rsid w:val="004402EC"/>
    <w:rsid w:val="00451F1E"/>
    <w:rsid w:val="00453282"/>
    <w:rsid w:val="004976AF"/>
    <w:rsid w:val="004A6B7D"/>
    <w:rsid w:val="004C72D0"/>
    <w:rsid w:val="004D366B"/>
    <w:rsid w:val="004E1A4C"/>
    <w:rsid w:val="004E523C"/>
    <w:rsid w:val="00502CC9"/>
    <w:rsid w:val="0055298B"/>
    <w:rsid w:val="00577602"/>
    <w:rsid w:val="00581FC3"/>
    <w:rsid w:val="005A20FC"/>
    <w:rsid w:val="005C45E2"/>
    <w:rsid w:val="005D24B1"/>
    <w:rsid w:val="005E479F"/>
    <w:rsid w:val="005F7A94"/>
    <w:rsid w:val="006043A0"/>
    <w:rsid w:val="006221E6"/>
    <w:rsid w:val="006657C6"/>
    <w:rsid w:val="006725DC"/>
    <w:rsid w:val="006A686B"/>
    <w:rsid w:val="006B11EC"/>
    <w:rsid w:val="006C26F4"/>
    <w:rsid w:val="006F19B0"/>
    <w:rsid w:val="00750F1A"/>
    <w:rsid w:val="00782F4E"/>
    <w:rsid w:val="007971E8"/>
    <w:rsid w:val="007C5A04"/>
    <w:rsid w:val="007D7ED2"/>
    <w:rsid w:val="007E25C4"/>
    <w:rsid w:val="007E7478"/>
    <w:rsid w:val="007F6B7A"/>
    <w:rsid w:val="00842558"/>
    <w:rsid w:val="0088726E"/>
    <w:rsid w:val="008A508B"/>
    <w:rsid w:val="008D2ECC"/>
    <w:rsid w:val="008F0655"/>
    <w:rsid w:val="00903C76"/>
    <w:rsid w:val="00914FFE"/>
    <w:rsid w:val="00923CB1"/>
    <w:rsid w:val="0093053A"/>
    <w:rsid w:val="00932F5A"/>
    <w:rsid w:val="00937C40"/>
    <w:rsid w:val="00964D0D"/>
    <w:rsid w:val="00986245"/>
    <w:rsid w:val="009A7C87"/>
    <w:rsid w:val="009B6F89"/>
    <w:rsid w:val="009C28CD"/>
    <w:rsid w:val="009D0B1C"/>
    <w:rsid w:val="009D322E"/>
    <w:rsid w:val="009D3FB2"/>
    <w:rsid w:val="00A40733"/>
    <w:rsid w:val="00A42E8A"/>
    <w:rsid w:val="00A6025A"/>
    <w:rsid w:val="00A67E93"/>
    <w:rsid w:val="00B429A8"/>
    <w:rsid w:val="00B62758"/>
    <w:rsid w:val="00B72BAA"/>
    <w:rsid w:val="00B75C8E"/>
    <w:rsid w:val="00B914B4"/>
    <w:rsid w:val="00BB0993"/>
    <w:rsid w:val="00BC3D63"/>
    <w:rsid w:val="00BF7F4B"/>
    <w:rsid w:val="00C32636"/>
    <w:rsid w:val="00C7394D"/>
    <w:rsid w:val="00C80090"/>
    <w:rsid w:val="00C85DF4"/>
    <w:rsid w:val="00C95B0E"/>
    <w:rsid w:val="00CA6F1E"/>
    <w:rsid w:val="00CD3823"/>
    <w:rsid w:val="00CD39D9"/>
    <w:rsid w:val="00D22A5B"/>
    <w:rsid w:val="00D3716F"/>
    <w:rsid w:val="00D37E29"/>
    <w:rsid w:val="00D41114"/>
    <w:rsid w:val="00D62305"/>
    <w:rsid w:val="00D744FF"/>
    <w:rsid w:val="00D757FC"/>
    <w:rsid w:val="00D802C0"/>
    <w:rsid w:val="00D84551"/>
    <w:rsid w:val="00D9325F"/>
    <w:rsid w:val="00D95E53"/>
    <w:rsid w:val="00DC5821"/>
    <w:rsid w:val="00E10C9A"/>
    <w:rsid w:val="00E1692C"/>
    <w:rsid w:val="00E50F3D"/>
    <w:rsid w:val="00E63F42"/>
    <w:rsid w:val="00E64181"/>
    <w:rsid w:val="00E71202"/>
    <w:rsid w:val="00E821C5"/>
    <w:rsid w:val="00E83998"/>
    <w:rsid w:val="00E96FCA"/>
    <w:rsid w:val="00EB47D7"/>
    <w:rsid w:val="00EC2DDF"/>
    <w:rsid w:val="00EF7271"/>
    <w:rsid w:val="00F16615"/>
    <w:rsid w:val="00F22739"/>
    <w:rsid w:val="00F24FDE"/>
    <w:rsid w:val="00F32499"/>
    <w:rsid w:val="00F34A83"/>
    <w:rsid w:val="00F646D3"/>
    <w:rsid w:val="00F95A5A"/>
    <w:rsid w:val="00FA75F1"/>
    <w:rsid w:val="00FB5AFC"/>
    <w:rsid w:val="00FC0E17"/>
    <w:rsid w:val="00FC5DC0"/>
    <w:rsid w:val="00FE3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302C9"/>
  <w15:chartTrackingRefBased/>
  <w15:docId w15:val="{14D196D4-FE2D-43E1-93C1-47B363663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71202"/>
    <w:rPr>
      <w:sz w:val="16"/>
      <w:szCs w:val="16"/>
    </w:rPr>
  </w:style>
  <w:style w:type="paragraph" w:styleId="CommentText">
    <w:name w:val="annotation text"/>
    <w:basedOn w:val="Normal"/>
    <w:link w:val="CommentTextChar"/>
    <w:uiPriority w:val="99"/>
    <w:semiHidden/>
    <w:unhideWhenUsed/>
    <w:rsid w:val="00E71202"/>
    <w:pPr>
      <w:spacing w:line="240" w:lineRule="auto"/>
    </w:pPr>
    <w:rPr>
      <w:sz w:val="20"/>
      <w:szCs w:val="20"/>
    </w:rPr>
  </w:style>
  <w:style w:type="character" w:customStyle="1" w:styleId="CommentTextChar">
    <w:name w:val="Comment Text Char"/>
    <w:basedOn w:val="DefaultParagraphFont"/>
    <w:link w:val="CommentText"/>
    <w:uiPriority w:val="99"/>
    <w:semiHidden/>
    <w:rsid w:val="00E71202"/>
    <w:rPr>
      <w:sz w:val="20"/>
      <w:szCs w:val="20"/>
    </w:rPr>
  </w:style>
  <w:style w:type="paragraph" w:styleId="BalloonText">
    <w:name w:val="Balloon Text"/>
    <w:basedOn w:val="Normal"/>
    <w:link w:val="BalloonTextChar"/>
    <w:uiPriority w:val="99"/>
    <w:semiHidden/>
    <w:unhideWhenUsed/>
    <w:rsid w:val="00E712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1202"/>
    <w:rPr>
      <w:rFonts w:ascii="Segoe UI" w:hAnsi="Segoe UI" w:cs="Segoe UI"/>
      <w:sz w:val="18"/>
      <w:szCs w:val="18"/>
    </w:rPr>
  </w:style>
  <w:style w:type="table" w:styleId="TableGrid">
    <w:name w:val="Table Grid"/>
    <w:basedOn w:val="TableNormal"/>
    <w:uiPriority w:val="39"/>
    <w:rsid w:val="00FE3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3F2A"/>
    <w:rPr>
      <w:color w:val="0000FF"/>
      <w:u w:val="single"/>
    </w:rPr>
  </w:style>
  <w:style w:type="paragraph" w:styleId="Header">
    <w:name w:val="header"/>
    <w:basedOn w:val="Normal"/>
    <w:link w:val="HeaderChar"/>
    <w:uiPriority w:val="99"/>
    <w:unhideWhenUsed/>
    <w:rsid w:val="00437E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EC9"/>
  </w:style>
  <w:style w:type="paragraph" w:styleId="Footer">
    <w:name w:val="footer"/>
    <w:basedOn w:val="Normal"/>
    <w:link w:val="FooterChar"/>
    <w:uiPriority w:val="99"/>
    <w:unhideWhenUsed/>
    <w:rsid w:val="00437E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EC9"/>
  </w:style>
  <w:style w:type="paragraph" w:styleId="CommentSubject">
    <w:name w:val="annotation subject"/>
    <w:basedOn w:val="CommentText"/>
    <w:next w:val="CommentText"/>
    <w:link w:val="CommentSubjectChar"/>
    <w:uiPriority w:val="99"/>
    <w:semiHidden/>
    <w:unhideWhenUsed/>
    <w:rsid w:val="00EB47D7"/>
    <w:rPr>
      <w:b/>
      <w:bCs/>
    </w:rPr>
  </w:style>
  <w:style w:type="character" w:customStyle="1" w:styleId="CommentSubjectChar">
    <w:name w:val="Comment Subject Char"/>
    <w:basedOn w:val="CommentTextChar"/>
    <w:link w:val="CommentSubject"/>
    <w:uiPriority w:val="99"/>
    <w:semiHidden/>
    <w:rsid w:val="00EB47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zambia.countrystat.org/home/en/"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chart" Target="charts/chart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hyperlink" Target="http://www.fao.org/countryprofiles/index/en/?iso3=ZMB"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atacatalog.worldbank.org/dataset/world-development-indicators"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Eli%20Master's%20stuff\thesis\ag_bool\LULC_2000-10-15-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baldwin\Downloads\FAOSTAT_data_7-15-2020%20(1).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Net Gain</c:v>
          </c:tx>
          <c:spPr>
            <a:ln w="19050" cap="rnd">
              <a:solidFill>
                <a:schemeClr val="tx1"/>
              </a:solidFill>
              <a:round/>
            </a:ln>
            <a:effectLst/>
          </c:spPr>
          <c:marker>
            <c:symbol val="circle"/>
            <c:size val="5"/>
            <c:spPr>
              <a:solidFill>
                <a:schemeClr val="tx1"/>
              </a:solidFill>
              <a:ln w="9525">
                <a:solidFill>
                  <a:schemeClr val="tx1"/>
                </a:solidFill>
              </a:ln>
              <a:effectLst/>
            </c:spPr>
          </c:marker>
          <c:xVal>
            <c:numRef>
              <c:f>Sheet1!$D$6:$F$6</c:f>
              <c:numCache>
                <c:formatCode>General</c:formatCode>
                <c:ptCount val="3"/>
                <c:pt idx="0">
                  <c:v>2000</c:v>
                </c:pt>
                <c:pt idx="1">
                  <c:v>2010</c:v>
                </c:pt>
                <c:pt idx="2">
                  <c:v>2015</c:v>
                </c:pt>
              </c:numCache>
            </c:numRef>
          </c:xVal>
          <c:yVal>
            <c:numRef>
              <c:f>Sheet1!$D$7:$F$7</c:f>
              <c:numCache>
                <c:formatCode>General</c:formatCode>
                <c:ptCount val="3"/>
                <c:pt idx="0">
                  <c:v>2.7306352206042712</c:v>
                </c:pt>
                <c:pt idx="1">
                  <c:v>4.5139629549733957</c:v>
                </c:pt>
                <c:pt idx="2">
                  <c:v>9.3977937072034976</c:v>
                </c:pt>
              </c:numCache>
            </c:numRef>
          </c:yVal>
          <c:smooth val="0"/>
          <c:extLst>
            <c:ext xmlns:c16="http://schemas.microsoft.com/office/drawing/2014/chart" uri="{C3380CC4-5D6E-409C-BE32-E72D297353CC}">
              <c16:uniqueId val="{00000000-C184-409F-88F4-545CCD75707A}"/>
            </c:ext>
          </c:extLst>
        </c:ser>
        <c:ser>
          <c:idx val="1"/>
          <c:order val="1"/>
          <c:tx>
            <c:v>Gross Gain</c:v>
          </c:tx>
          <c:spPr>
            <a:ln w="19050" cap="rnd">
              <a:noFill/>
              <a:round/>
            </a:ln>
            <a:effectLst/>
          </c:spPr>
          <c:marker>
            <c:symbol val="circle"/>
            <c:size val="5"/>
            <c:spPr>
              <a:noFill/>
              <a:ln w="9525">
                <a:solidFill>
                  <a:schemeClr val="tx1"/>
                </a:solidFill>
              </a:ln>
              <a:effectLst/>
            </c:spPr>
          </c:marker>
          <c:xVal>
            <c:numRef>
              <c:f>Sheet1!$E$6</c:f>
              <c:numCache>
                <c:formatCode>General</c:formatCode>
                <c:ptCount val="1"/>
                <c:pt idx="0">
                  <c:v>2010</c:v>
                </c:pt>
              </c:numCache>
            </c:numRef>
          </c:xVal>
          <c:yVal>
            <c:numRef>
              <c:f>Sheet1!$E$10</c:f>
              <c:numCache>
                <c:formatCode>General</c:formatCode>
                <c:ptCount val="1"/>
                <c:pt idx="0">
                  <c:v>5.2773435235260635</c:v>
                </c:pt>
              </c:numCache>
            </c:numRef>
          </c:yVal>
          <c:smooth val="0"/>
          <c:extLst>
            <c:ext xmlns:c16="http://schemas.microsoft.com/office/drawing/2014/chart" uri="{C3380CC4-5D6E-409C-BE32-E72D297353CC}">
              <c16:uniqueId val="{00000001-C184-409F-88F4-545CCD75707A}"/>
            </c:ext>
          </c:extLst>
        </c:ser>
        <c:ser>
          <c:idx val="2"/>
          <c:order val="2"/>
          <c:tx>
            <c:v>Gross Gain 15</c:v>
          </c:tx>
          <c:spPr>
            <a:ln w="19050" cap="rnd">
              <a:noFill/>
              <a:round/>
            </a:ln>
            <a:effectLst/>
          </c:spPr>
          <c:marker>
            <c:symbol val="circle"/>
            <c:size val="5"/>
            <c:spPr>
              <a:noFill/>
              <a:ln w="9525">
                <a:solidFill>
                  <a:schemeClr val="tx1"/>
                </a:solidFill>
              </a:ln>
              <a:effectLst/>
            </c:spPr>
          </c:marker>
          <c:xVal>
            <c:numRef>
              <c:f>Sheet1!$F$6</c:f>
              <c:numCache>
                <c:formatCode>General</c:formatCode>
                <c:ptCount val="1"/>
                <c:pt idx="0">
                  <c:v>2015</c:v>
                </c:pt>
              </c:numCache>
            </c:numRef>
          </c:xVal>
          <c:yVal>
            <c:numRef>
              <c:f>Sheet1!$F$11</c:f>
              <c:numCache>
                <c:formatCode>General</c:formatCode>
                <c:ptCount val="1"/>
                <c:pt idx="0">
                  <c:v>9.6417690592857799</c:v>
                </c:pt>
              </c:numCache>
            </c:numRef>
          </c:yVal>
          <c:smooth val="0"/>
          <c:extLst>
            <c:ext xmlns:c16="http://schemas.microsoft.com/office/drawing/2014/chart" uri="{C3380CC4-5D6E-409C-BE32-E72D297353CC}">
              <c16:uniqueId val="{00000002-C184-409F-88F4-545CCD75707A}"/>
            </c:ext>
          </c:extLst>
        </c:ser>
        <c:dLbls>
          <c:showLegendKey val="0"/>
          <c:showVal val="0"/>
          <c:showCatName val="0"/>
          <c:showSerName val="0"/>
          <c:showPercent val="0"/>
          <c:showBubbleSize val="0"/>
        </c:dLbls>
        <c:axId val="491518600"/>
        <c:axId val="491517616"/>
      </c:scatterChart>
      <c:valAx>
        <c:axId val="491518600"/>
        <c:scaling>
          <c:orientation val="minMax"/>
          <c:max val="2020"/>
          <c:min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517616"/>
        <c:crosses val="autoZero"/>
        <c:crossBetween val="midCat"/>
      </c:valAx>
      <c:valAx>
        <c:axId val="491517616"/>
        <c:scaling>
          <c:orientation val="minMax"/>
          <c:max val="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r>
                  <a:rPr lang="en-US" baseline="0"/>
                  <a:t> of Zambia that is Agriculture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5186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Change</a:t>
            </a:r>
            <a:r>
              <a:rPr lang="en-US" baseline="0"/>
              <a:t> in Zambia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Sheet1!$D$3</c:f>
              <c:strCache>
                <c:ptCount val="1"/>
                <c:pt idx="0">
                  <c:v>1 Incident</c:v>
                </c:pt>
              </c:strCache>
            </c:strRef>
          </c:tx>
          <c:spPr>
            <a:solidFill>
              <a:schemeClr val="accent1"/>
            </a:solidFill>
            <a:ln>
              <a:noFill/>
            </a:ln>
            <a:effectLst/>
          </c:spPr>
          <c:invertIfNegative val="0"/>
          <c:cat>
            <c:numRef>
              <c:f>Sheet1!$K$2</c:f>
              <c:numCache>
                <c:formatCode>General</c:formatCode>
                <c:ptCount val="1"/>
              </c:numCache>
            </c:numRef>
          </c:cat>
          <c:val>
            <c:numRef>
              <c:f>Sheet1!$E$3</c:f>
              <c:numCache>
                <c:formatCode>General</c:formatCode>
                <c:ptCount val="1"/>
                <c:pt idx="0">
                  <c:v>7.8245596596796156</c:v>
                </c:pt>
              </c:numCache>
            </c:numRef>
          </c:val>
          <c:extLst>
            <c:ext xmlns:c16="http://schemas.microsoft.com/office/drawing/2014/chart" uri="{C3380CC4-5D6E-409C-BE32-E72D297353CC}">
              <c16:uniqueId val="{00000000-7B55-49DD-B549-0DEB5C207F36}"/>
            </c:ext>
          </c:extLst>
        </c:ser>
        <c:ser>
          <c:idx val="1"/>
          <c:order val="1"/>
          <c:tx>
            <c:strRef>
              <c:f>Sheet1!$D$4</c:f>
              <c:strCache>
                <c:ptCount val="1"/>
                <c:pt idx="0">
                  <c:v>Toggle</c:v>
                </c:pt>
              </c:strCache>
            </c:strRef>
          </c:tx>
          <c:spPr>
            <a:solidFill>
              <a:schemeClr val="accent2"/>
            </a:solidFill>
            <a:ln>
              <a:noFill/>
            </a:ln>
            <a:effectLst/>
          </c:spPr>
          <c:invertIfNegative val="0"/>
          <c:cat>
            <c:numRef>
              <c:f>Sheet1!$K$2</c:f>
              <c:numCache>
                <c:formatCode>General</c:formatCode>
                <c:ptCount val="1"/>
              </c:numCache>
            </c:numRef>
          </c:cat>
          <c:val>
            <c:numRef>
              <c:f>Sheet1!$E$4</c:f>
              <c:numCache>
                <c:formatCode>General</c:formatCode>
                <c:ptCount val="1"/>
                <c:pt idx="0">
                  <c:v>0.97973645372075568</c:v>
                </c:pt>
              </c:numCache>
            </c:numRef>
          </c:val>
          <c:extLst>
            <c:ext xmlns:c16="http://schemas.microsoft.com/office/drawing/2014/chart" uri="{C3380CC4-5D6E-409C-BE32-E72D297353CC}">
              <c16:uniqueId val="{00000001-7B55-49DD-B549-0DEB5C207F36}"/>
            </c:ext>
          </c:extLst>
        </c:ser>
        <c:dLbls>
          <c:showLegendKey val="0"/>
          <c:showVal val="0"/>
          <c:showCatName val="0"/>
          <c:showSerName val="0"/>
          <c:showPercent val="0"/>
          <c:showBubbleSize val="0"/>
        </c:dLbls>
        <c:gapWidth val="150"/>
        <c:overlap val="100"/>
        <c:axId val="396868032"/>
        <c:axId val="396869672"/>
      </c:barChart>
      <c:catAx>
        <c:axId val="396868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Categories of Change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869672"/>
        <c:crosses val="autoZero"/>
        <c:auto val="1"/>
        <c:lblAlgn val="ctr"/>
        <c:lblOffset val="100"/>
        <c:noMultiLvlLbl val="0"/>
      </c:catAx>
      <c:valAx>
        <c:axId val="3968696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 of Hectares in Zambia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868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'FAOSTAT_data_7-15-2020 (1)'!$S$1</c:f>
              <c:strCache>
                <c:ptCount val="1"/>
                <c:pt idx="0">
                  <c:v>Crop Area</c:v>
                </c:pt>
              </c:strCache>
            </c:strRef>
          </c:tx>
          <c:spPr>
            <a:ln w="19050" cap="rnd">
              <a:solidFill>
                <a:schemeClr val="tx1"/>
              </a:solidFill>
              <a:round/>
            </a:ln>
            <a:effectLst/>
          </c:spPr>
          <c:marker>
            <c:symbol val="circle"/>
            <c:size val="5"/>
            <c:spPr>
              <a:solidFill>
                <a:schemeClr val="tx1"/>
              </a:solidFill>
              <a:ln w="9525">
                <a:solidFill>
                  <a:schemeClr val="tx1"/>
                </a:solidFill>
              </a:ln>
              <a:effectLst/>
            </c:spPr>
          </c:marker>
          <c:xVal>
            <c:numRef>
              <c:f>'FAOSTAT_data_7-15-2020 (1)'!$R$2:$R$16</c:f>
              <c:numCache>
                <c:formatCode>General</c:formatCode>
                <c:ptCount val="15"/>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numCache>
            </c:numRef>
          </c:xVal>
          <c:yVal>
            <c:numRef>
              <c:f>'FAOSTAT_data_7-15-2020 (1)'!$S$2:$S$16</c:f>
              <c:numCache>
                <c:formatCode>General</c:formatCode>
                <c:ptCount val="15"/>
                <c:pt idx="0">
                  <c:v>277.58369999999996</c:v>
                </c:pt>
                <c:pt idx="1">
                  <c:v>276.0976</c:v>
                </c:pt>
                <c:pt idx="2">
                  <c:v>263.53020000000004</c:v>
                </c:pt>
                <c:pt idx="3">
                  <c:v>256.46000000000004</c:v>
                </c:pt>
                <c:pt idx="4">
                  <c:v>265.8535</c:v>
                </c:pt>
                <c:pt idx="5">
                  <c:v>285.2946</c:v>
                </c:pt>
                <c:pt idx="6">
                  <c:v>295.44400000000002</c:v>
                </c:pt>
                <c:pt idx="7">
                  <c:v>301.17849999999999</c:v>
                </c:pt>
                <c:pt idx="8">
                  <c:v>304.2636</c:v>
                </c:pt>
                <c:pt idx="9">
                  <c:v>302.44589999999999</c:v>
                </c:pt>
                <c:pt idx="10">
                  <c:v>317.44619999999998</c:v>
                </c:pt>
                <c:pt idx="11">
                  <c:v>330.36899999999997</c:v>
                </c:pt>
                <c:pt idx="12">
                  <c:v>362.98660000000001</c:v>
                </c:pt>
                <c:pt idx="13">
                  <c:v>399.0172</c:v>
                </c:pt>
                <c:pt idx="14">
                  <c:v>426.82959999999997</c:v>
                </c:pt>
              </c:numCache>
            </c:numRef>
          </c:yVal>
          <c:smooth val="0"/>
          <c:extLst>
            <c:ext xmlns:c16="http://schemas.microsoft.com/office/drawing/2014/chart" uri="{C3380CC4-5D6E-409C-BE32-E72D297353CC}">
              <c16:uniqueId val="{00000000-FE92-4FDD-ADC1-9A7F10F8C418}"/>
            </c:ext>
          </c:extLst>
        </c:ser>
        <c:dLbls>
          <c:showLegendKey val="0"/>
          <c:showVal val="0"/>
          <c:showCatName val="0"/>
          <c:showSerName val="0"/>
          <c:showPercent val="0"/>
          <c:showBubbleSize val="0"/>
        </c:dLbls>
        <c:axId val="484707464"/>
        <c:axId val="484710416"/>
      </c:scatterChart>
      <c:valAx>
        <c:axId val="484707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710416"/>
        <c:crosses val="autoZero"/>
        <c:crossBetween val="midCat"/>
      </c:valAx>
      <c:valAx>
        <c:axId val="484710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Crop</a:t>
                </a:r>
                <a:r>
                  <a:rPr lang="en-US" baseline="0"/>
                  <a:t> Area (1,000 ha)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707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F054A-A505-4E4A-BB8F-713E3692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10360</TotalTime>
  <Pages>44</Pages>
  <Words>16751</Words>
  <Characters>95481</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ebaldwin</dc:creator>
  <cp:keywords/>
  <dc:description/>
  <cp:lastModifiedBy>ebaldwin</cp:lastModifiedBy>
  <cp:revision>26</cp:revision>
  <dcterms:created xsi:type="dcterms:W3CDTF">2020-07-03T15:15:00Z</dcterms:created>
  <dcterms:modified xsi:type="dcterms:W3CDTF">2020-07-21T16:55:00Z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4e53aa4c-6e40-3d8a-b31a-ad7f38088c2e</vt:lpwstr>
  </property>
  <property fmtid="{D5CDD505-2E9C-101B-9397-08002B2CF9AE}" pid="24" name="Mendeley Citation Style_1">
    <vt:lpwstr>http://www.zotero.org/styles/apa</vt:lpwstr>
  </property>
</Properties>
</file>