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B764" w14:textId="77777777" w:rsidR="003E4256" w:rsidRPr="00FF0D52" w:rsidRDefault="003E4256" w:rsidP="003E4256">
      <w:pPr>
        <w:spacing w:after="120" w:line="360" w:lineRule="auto"/>
        <w:jc w:val="center"/>
        <w:rPr>
          <w:rFonts w:ascii="Times New Roman" w:hAnsi="Times New Roman" w:cs="Times New Roman"/>
          <w:b/>
          <w:bCs/>
        </w:rPr>
      </w:pPr>
      <w:bookmarkStart w:id="0" w:name="_Hlk196507179"/>
      <w:bookmarkEnd w:id="0"/>
      <w:r w:rsidRPr="00FF0D52">
        <w:rPr>
          <w:noProof/>
        </w:rPr>
        <w:drawing>
          <wp:inline distT="0" distB="0" distL="0" distR="0" wp14:anchorId="644B1E4F" wp14:editId="30D6A633">
            <wp:extent cx="1258842" cy="915864"/>
            <wp:effectExtent l="0" t="0" r="0" b="0"/>
            <wp:docPr id="1104205651" name="Imagine 1104205651" descr="O imagine care conține simbol, schiță, emblemă, siglă&#10;&#10;Conținutul generat de inteligența artificială poate fi incorect."/>
            <wp:cNvGraphicFramePr/>
            <a:graphic xmlns:a="http://schemas.openxmlformats.org/drawingml/2006/main">
              <a:graphicData uri="http://schemas.openxmlformats.org/drawingml/2006/picture">
                <pic:pic xmlns:pic="http://schemas.openxmlformats.org/drawingml/2006/picture">
                  <pic:nvPicPr>
                    <pic:cNvPr id="1104205651" name="Imagine 1104205651" descr="O imagine care conține simbol, schiță, emblemă, siglă&#10;&#10;Conținutul generat de inteligența artificială poate fi incorect."/>
                    <pic:cNvPicPr preferRelativeResize="0"/>
                  </pic:nvPicPr>
                  <pic:blipFill>
                    <a:blip r:embed="rId8"/>
                    <a:srcRect/>
                    <a:stretch>
                      <a:fillRect/>
                    </a:stretch>
                  </pic:blipFill>
                  <pic:spPr>
                    <a:xfrm>
                      <a:off x="0" y="0"/>
                      <a:ext cx="1266770" cy="921632"/>
                    </a:xfrm>
                    <a:prstGeom prst="rect">
                      <a:avLst/>
                    </a:prstGeom>
                    <a:ln/>
                  </pic:spPr>
                </pic:pic>
              </a:graphicData>
            </a:graphic>
          </wp:inline>
        </w:drawing>
      </w:r>
      <w:r w:rsidRPr="00FF0D52">
        <w:rPr>
          <w:rFonts w:ascii="Times New Roman" w:hAnsi="Times New Roman" w:cs="Times New Roman"/>
          <w:b/>
          <w:bCs/>
          <w:noProof/>
        </w:rPr>
        <w:drawing>
          <wp:inline distT="0" distB="0" distL="0" distR="0" wp14:anchorId="35B2C2C7" wp14:editId="25E71460">
            <wp:extent cx="2378431" cy="897393"/>
            <wp:effectExtent l="0" t="0" r="3175" b="0"/>
            <wp:docPr id="1" name="Picture 1" descr="O imagine care conține Font, Grafică, siglă, design grafic&#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 imagine care conține Font, Grafică, siglă, design grafic&#10;&#10;Conținutul generat de inteligența artificială poate fi incorect."/>
                    <pic:cNvPicPr/>
                  </pic:nvPicPr>
                  <pic:blipFill>
                    <a:blip r:embed="rId9">
                      <a:extLst>
                        <a:ext uri="{28A0092B-C50C-407E-A947-70E740481C1C}">
                          <a14:useLocalDpi xmlns:a14="http://schemas.microsoft.com/office/drawing/2010/main" val="0"/>
                        </a:ext>
                      </a:extLst>
                    </a:blip>
                    <a:stretch>
                      <a:fillRect/>
                    </a:stretch>
                  </pic:blipFill>
                  <pic:spPr>
                    <a:xfrm>
                      <a:off x="0" y="0"/>
                      <a:ext cx="2438882" cy="920202"/>
                    </a:xfrm>
                    <a:prstGeom prst="rect">
                      <a:avLst/>
                    </a:prstGeom>
                  </pic:spPr>
                </pic:pic>
              </a:graphicData>
            </a:graphic>
          </wp:inline>
        </w:drawing>
      </w:r>
    </w:p>
    <w:p w14:paraId="24B62E41" w14:textId="77777777" w:rsidR="003E4256" w:rsidRPr="00FF0D52" w:rsidRDefault="003E4256" w:rsidP="003E4256">
      <w:pPr>
        <w:spacing w:after="120" w:line="360" w:lineRule="auto"/>
        <w:jc w:val="center"/>
        <w:rPr>
          <w:rFonts w:ascii="Times New Roman" w:hAnsi="Times New Roman" w:cs="Times New Roman"/>
          <w:sz w:val="28"/>
          <w:szCs w:val="28"/>
        </w:rPr>
      </w:pPr>
      <w:r w:rsidRPr="00FF0D52">
        <w:rPr>
          <w:rFonts w:ascii="Times New Roman" w:hAnsi="Times New Roman" w:cs="Times New Roman"/>
          <w:sz w:val="28"/>
          <w:szCs w:val="28"/>
        </w:rPr>
        <w:t>ACADEMIA DE STUDII ECONOMICE DIN BUCUREȘTI</w:t>
      </w:r>
    </w:p>
    <w:p w14:paraId="7C192C8E" w14:textId="77777777" w:rsidR="003E4256" w:rsidRPr="00FF0D52" w:rsidRDefault="003E4256" w:rsidP="003E4256">
      <w:pPr>
        <w:spacing w:after="120" w:line="360" w:lineRule="auto"/>
        <w:jc w:val="center"/>
        <w:rPr>
          <w:rFonts w:ascii="Times New Roman" w:hAnsi="Times New Roman" w:cs="Times New Roman"/>
          <w:sz w:val="28"/>
          <w:szCs w:val="28"/>
        </w:rPr>
      </w:pPr>
      <w:r w:rsidRPr="00FF0D52">
        <w:rPr>
          <w:rFonts w:ascii="Times New Roman" w:hAnsi="Times New Roman" w:cs="Times New Roman"/>
          <w:sz w:val="28"/>
          <w:szCs w:val="28"/>
        </w:rPr>
        <w:t>Facultatea de Relații Economice Internaționale</w:t>
      </w:r>
    </w:p>
    <w:p w14:paraId="6CCF4596" w14:textId="77777777" w:rsidR="003E4256" w:rsidRPr="00FF0D52" w:rsidRDefault="003E4256" w:rsidP="003E4256">
      <w:pPr>
        <w:spacing w:after="120" w:line="360" w:lineRule="auto"/>
        <w:jc w:val="center"/>
        <w:rPr>
          <w:rFonts w:ascii="Times New Roman" w:hAnsi="Times New Roman" w:cs="Times New Roman"/>
        </w:rPr>
      </w:pPr>
    </w:p>
    <w:p w14:paraId="66AD6B06" w14:textId="77777777" w:rsidR="003E4256" w:rsidRPr="00FF0D52" w:rsidRDefault="003E4256" w:rsidP="003E4256">
      <w:pPr>
        <w:spacing w:after="120" w:line="360" w:lineRule="auto"/>
        <w:rPr>
          <w:rFonts w:ascii="Times New Roman" w:hAnsi="Times New Roman" w:cs="Times New Roman"/>
          <w:b/>
          <w:bCs/>
        </w:rPr>
      </w:pPr>
    </w:p>
    <w:p w14:paraId="25EFB5CC" w14:textId="77777777" w:rsidR="003E4256" w:rsidRPr="00FF0D52" w:rsidRDefault="003E4256" w:rsidP="003E4256">
      <w:pPr>
        <w:spacing w:after="120" w:line="360" w:lineRule="auto"/>
        <w:jc w:val="center"/>
        <w:rPr>
          <w:rFonts w:ascii="Times New Roman" w:hAnsi="Times New Roman" w:cs="Times New Roman"/>
          <w:b/>
          <w:bCs/>
          <w:sz w:val="64"/>
          <w:szCs w:val="64"/>
        </w:rPr>
      </w:pPr>
      <w:r w:rsidRPr="00FF0D52">
        <w:rPr>
          <w:rFonts w:ascii="Times New Roman" w:hAnsi="Times New Roman" w:cs="Times New Roman"/>
          <w:b/>
          <w:bCs/>
          <w:sz w:val="64"/>
          <w:szCs w:val="64"/>
        </w:rPr>
        <w:t>LUCRARE DE DISERTAȚIE</w:t>
      </w:r>
    </w:p>
    <w:p w14:paraId="781E2D2C" w14:textId="77777777" w:rsidR="003E4256" w:rsidRPr="00FF0D52" w:rsidRDefault="003E4256" w:rsidP="003E4256">
      <w:pPr>
        <w:spacing w:after="120" w:line="360" w:lineRule="auto"/>
        <w:jc w:val="center"/>
        <w:rPr>
          <w:rFonts w:ascii="Times New Roman" w:hAnsi="Times New Roman" w:cs="Times New Roman"/>
          <w:b/>
          <w:bCs/>
        </w:rPr>
      </w:pPr>
    </w:p>
    <w:p w14:paraId="38B7D790" w14:textId="77777777" w:rsidR="003E4256" w:rsidRPr="00FF0D52" w:rsidRDefault="003E4256" w:rsidP="003E4256">
      <w:pPr>
        <w:spacing w:after="120" w:line="360" w:lineRule="auto"/>
        <w:jc w:val="center"/>
        <w:rPr>
          <w:rFonts w:ascii="Times New Roman" w:hAnsi="Times New Roman" w:cs="Times New Roman"/>
          <w:b/>
          <w:bCs/>
        </w:rPr>
      </w:pPr>
    </w:p>
    <w:p w14:paraId="7FD57C69" w14:textId="77777777" w:rsidR="003E4256" w:rsidRPr="00FF0D52" w:rsidRDefault="003E4256" w:rsidP="003E4256">
      <w:pPr>
        <w:spacing w:after="120" w:line="360" w:lineRule="auto"/>
        <w:rPr>
          <w:rFonts w:ascii="Times New Roman" w:hAnsi="Times New Roman" w:cs="Times New Roman"/>
          <w:b/>
          <w:bCs/>
        </w:rPr>
      </w:pPr>
    </w:p>
    <w:p w14:paraId="3C12C4D3" w14:textId="77777777" w:rsidR="003E4256" w:rsidRPr="00FF0D52" w:rsidRDefault="003E4256" w:rsidP="003E4256">
      <w:pPr>
        <w:spacing w:after="120" w:line="360" w:lineRule="auto"/>
        <w:rPr>
          <w:rFonts w:ascii="Times New Roman" w:hAnsi="Times New Roman" w:cs="Times New Roman"/>
          <w:b/>
          <w:bCs/>
          <w:sz w:val="28"/>
          <w:szCs w:val="28"/>
        </w:rPr>
      </w:pPr>
      <w:r w:rsidRPr="00FF0D52">
        <w:rPr>
          <w:rFonts w:ascii="Times New Roman" w:hAnsi="Times New Roman" w:cs="Times New Roman"/>
          <w:b/>
          <w:bCs/>
          <w:sz w:val="28"/>
          <w:szCs w:val="28"/>
        </w:rPr>
        <w:t>Conducător științific :</w:t>
      </w:r>
    </w:p>
    <w:p w14:paraId="3715B615" w14:textId="59B9D65E" w:rsidR="003E4256" w:rsidRPr="00FF0D52" w:rsidRDefault="003E4256" w:rsidP="003E4256">
      <w:pPr>
        <w:spacing w:after="120" w:line="360" w:lineRule="auto"/>
        <w:rPr>
          <w:rFonts w:ascii="Times New Roman" w:hAnsi="Times New Roman" w:cs="Times New Roman"/>
          <w:sz w:val="28"/>
          <w:szCs w:val="28"/>
        </w:rPr>
      </w:pPr>
      <w:r w:rsidRPr="00FF0D52">
        <w:rPr>
          <w:rFonts w:ascii="Times New Roman" w:hAnsi="Times New Roman" w:cs="Times New Roman"/>
          <w:sz w:val="28"/>
          <w:szCs w:val="28"/>
        </w:rPr>
        <w:t xml:space="preserve">Prof. Univ. Dr.  </w:t>
      </w:r>
      <w:r>
        <w:rPr>
          <w:rFonts w:ascii="Times New Roman" w:hAnsi="Times New Roman" w:cs="Times New Roman"/>
          <w:sz w:val="28"/>
          <w:szCs w:val="28"/>
        </w:rPr>
        <w:t>Radu Lupu</w:t>
      </w:r>
    </w:p>
    <w:p w14:paraId="56F71EE4" w14:textId="024BC31C" w:rsidR="003E4256" w:rsidRPr="00FF0D52" w:rsidRDefault="003E4256" w:rsidP="003E4256">
      <w:pPr>
        <w:spacing w:after="120" w:line="360" w:lineRule="auto"/>
        <w:jc w:val="right"/>
        <w:rPr>
          <w:rFonts w:ascii="Times New Roman" w:hAnsi="Times New Roman" w:cs="Times New Roman"/>
          <w:b/>
          <w:bCs/>
          <w:sz w:val="28"/>
          <w:szCs w:val="28"/>
        </w:rPr>
      </w:pPr>
      <w:r w:rsidRPr="00FF0D52">
        <w:rPr>
          <w:rFonts w:ascii="Times New Roman" w:hAnsi="Times New Roman" w:cs="Times New Roman"/>
          <w:b/>
          <w:bCs/>
          <w:sz w:val="28"/>
          <w:szCs w:val="28"/>
        </w:rPr>
        <w:t xml:space="preserve">Absolvent: </w:t>
      </w:r>
    </w:p>
    <w:p w14:paraId="6168F3CF" w14:textId="6A45E086" w:rsidR="003E4256" w:rsidRPr="00FF0D52" w:rsidRDefault="003E4256" w:rsidP="003E4256">
      <w:pPr>
        <w:spacing w:after="120" w:line="360" w:lineRule="auto"/>
        <w:jc w:val="right"/>
        <w:rPr>
          <w:rFonts w:ascii="Times New Roman" w:hAnsi="Times New Roman" w:cs="Times New Roman"/>
          <w:sz w:val="28"/>
          <w:szCs w:val="28"/>
        </w:rPr>
      </w:pPr>
      <w:r>
        <w:rPr>
          <w:rFonts w:ascii="Times New Roman" w:hAnsi="Times New Roman" w:cs="Times New Roman"/>
          <w:sz w:val="28"/>
          <w:szCs w:val="28"/>
        </w:rPr>
        <w:t>Balint Mariam</w:t>
      </w:r>
    </w:p>
    <w:p w14:paraId="125E2405" w14:textId="77777777" w:rsidR="003E4256" w:rsidRPr="00FF0D52" w:rsidRDefault="003E4256" w:rsidP="003E4256">
      <w:pPr>
        <w:spacing w:after="120" w:line="360" w:lineRule="auto"/>
        <w:jc w:val="right"/>
        <w:rPr>
          <w:rFonts w:ascii="Times New Roman" w:hAnsi="Times New Roman" w:cs="Times New Roman"/>
          <w:b/>
          <w:bCs/>
          <w:sz w:val="28"/>
          <w:szCs w:val="28"/>
        </w:rPr>
      </w:pPr>
    </w:p>
    <w:p w14:paraId="409882CC" w14:textId="77777777" w:rsidR="003E4256" w:rsidRPr="00FF0D52" w:rsidRDefault="003E4256" w:rsidP="003E4256">
      <w:pPr>
        <w:spacing w:after="120" w:line="360" w:lineRule="auto"/>
        <w:jc w:val="right"/>
        <w:rPr>
          <w:rFonts w:ascii="Times New Roman" w:hAnsi="Times New Roman" w:cs="Times New Roman"/>
          <w:b/>
          <w:bCs/>
          <w:sz w:val="28"/>
          <w:szCs w:val="28"/>
        </w:rPr>
      </w:pPr>
    </w:p>
    <w:p w14:paraId="35DEA1AE" w14:textId="77777777" w:rsidR="003E4256" w:rsidRPr="00FF0D52" w:rsidRDefault="003E4256" w:rsidP="003E4256">
      <w:pPr>
        <w:spacing w:after="120" w:line="360" w:lineRule="auto"/>
        <w:rPr>
          <w:rFonts w:ascii="Times New Roman" w:hAnsi="Times New Roman" w:cs="Times New Roman"/>
          <w:b/>
          <w:bCs/>
          <w:sz w:val="28"/>
          <w:szCs w:val="28"/>
        </w:rPr>
      </w:pPr>
    </w:p>
    <w:p w14:paraId="38ED5452" w14:textId="77777777" w:rsidR="003E4256" w:rsidRPr="00FF0D52" w:rsidRDefault="003E4256" w:rsidP="003E4256">
      <w:pPr>
        <w:spacing w:after="120" w:line="360" w:lineRule="auto"/>
        <w:jc w:val="right"/>
        <w:rPr>
          <w:rFonts w:ascii="Times New Roman" w:hAnsi="Times New Roman" w:cs="Times New Roman"/>
          <w:b/>
          <w:bCs/>
          <w:sz w:val="28"/>
          <w:szCs w:val="28"/>
        </w:rPr>
      </w:pPr>
    </w:p>
    <w:p w14:paraId="03C8ABE7" w14:textId="77777777" w:rsidR="003E4256" w:rsidRPr="00FF0D52" w:rsidRDefault="003E4256" w:rsidP="003E4256">
      <w:pPr>
        <w:spacing w:after="120" w:line="360" w:lineRule="auto"/>
        <w:jc w:val="center"/>
        <w:rPr>
          <w:rFonts w:ascii="Times New Roman" w:hAnsi="Times New Roman" w:cs="Times New Roman"/>
          <w:b/>
          <w:bCs/>
          <w:sz w:val="28"/>
          <w:szCs w:val="28"/>
        </w:rPr>
      </w:pPr>
    </w:p>
    <w:p w14:paraId="447775CA" w14:textId="77777777" w:rsidR="003E4256" w:rsidRPr="00FF0D52" w:rsidRDefault="003E4256" w:rsidP="003E4256">
      <w:pPr>
        <w:spacing w:after="120" w:line="360" w:lineRule="auto"/>
        <w:jc w:val="center"/>
        <w:rPr>
          <w:rFonts w:ascii="Times New Roman" w:hAnsi="Times New Roman" w:cs="Times New Roman"/>
          <w:b/>
          <w:bCs/>
          <w:sz w:val="28"/>
          <w:szCs w:val="28"/>
        </w:rPr>
      </w:pPr>
    </w:p>
    <w:p w14:paraId="35EE9B0D" w14:textId="77777777" w:rsidR="003E4256" w:rsidRPr="00FF0D52" w:rsidRDefault="003E4256" w:rsidP="003E4256">
      <w:pPr>
        <w:spacing w:after="120" w:line="360" w:lineRule="auto"/>
        <w:jc w:val="center"/>
        <w:rPr>
          <w:rFonts w:ascii="Times New Roman" w:hAnsi="Times New Roman" w:cs="Times New Roman"/>
          <w:b/>
          <w:bCs/>
          <w:sz w:val="28"/>
          <w:szCs w:val="28"/>
        </w:rPr>
      </w:pPr>
      <w:r w:rsidRPr="00FF0D52">
        <w:rPr>
          <w:rFonts w:ascii="Times New Roman" w:hAnsi="Times New Roman" w:cs="Times New Roman"/>
          <w:b/>
          <w:bCs/>
          <w:sz w:val="28"/>
          <w:szCs w:val="28"/>
        </w:rPr>
        <w:t>București</w:t>
      </w:r>
    </w:p>
    <w:p w14:paraId="1DBF254E" w14:textId="2D7A69CE" w:rsidR="003E4256" w:rsidRPr="00FF0D52" w:rsidRDefault="003E4256" w:rsidP="003E4256">
      <w:pPr>
        <w:spacing w:after="120" w:line="360" w:lineRule="auto"/>
        <w:jc w:val="center"/>
        <w:rPr>
          <w:rFonts w:ascii="Times New Roman" w:hAnsi="Times New Roman" w:cs="Times New Roman"/>
          <w:b/>
          <w:bCs/>
          <w:sz w:val="28"/>
          <w:szCs w:val="28"/>
        </w:rPr>
      </w:pPr>
      <w:r w:rsidRPr="00FF0D52">
        <w:rPr>
          <w:rFonts w:ascii="Times New Roman" w:hAnsi="Times New Roman" w:cs="Times New Roman"/>
          <w:b/>
          <w:bCs/>
          <w:sz w:val="28"/>
          <w:szCs w:val="28"/>
        </w:rPr>
        <w:t>202</w:t>
      </w:r>
      <w:r>
        <w:rPr>
          <w:rFonts w:ascii="Times New Roman" w:hAnsi="Times New Roman" w:cs="Times New Roman"/>
          <w:b/>
          <w:bCs/>
          <w:sz w:val="28"/>
          <w:szCs w:val="28"/>
        </w:rPr>
        <w:t>6</w:t>
      </w:r>
    </w:p>
    <w:p w14:paraId="4906E42C" w14:textId="77777777" w:rsidR="003E4256" w:rsidRPr="00FF0D52" w:rsidRDefault="003E4256" w:rsidP="003E4256">
      <w:pPr>
        <w:spacing w:after="120" w:line="360" w:lineRule="auto"/>
        <w:jc w:val="center"/>
        <w:rPr>
          <w:rFonts w:ascii="Times New Roman" w:hAnsi="Times New Roman" w:cs="Times New Roman"/>
          <w:sz w:val="28"/>
          <w:szCs w:val="28"/>
        </w:rPr>
      </w:pPr>
      <w:r w:rsidRPr="00FF0D52">
        <w:rPr>
          <w:rFonts w:ascii="Times New Roman" w:hAnsi="Times New Roman" w:cs="Times New Roman"/>
          <w:sz w:val="28"/>
          <w:szCs w:val="28"/>
        </w:rPr>
        <w:lastRenderedPageBreak/>
        <w:t>ACADEMIA DE STUDII ECONOMICE DIN BUCUREȘTI</w:t>
      </w:r>
    </w:p>
    <w:p w14:paraId="286C46B9" w14:textId="77777777" w:rsidR="003E4256" w:rsidRPr="00FF0D52" w:rsidRDefault="003E4256" w:rsidP="003E4256">
      <w:pPr>
        <w:spacing w:after="120" w:line="360" w:lineRule="auto"/>
        <w:jc w:val="center"/>
        <w:rPr>
          <w:rFonts w:ascii="Times New Roman" w:hAnsi="Times New Roman" w:cs="Times New Roman"/>
          <w:sz w:val="28"/>
          <w:szCs w:val="28"/>
        </w:rPr>
      </w:pPr>
      <w:r w:rsidRPr="00FF0D52">
        <w:rPr>
          <w:rFonts w:ascii="Times New Roman" w:hAnsi="Times New Roman" w:cs="Times New Roman"/>
          <w:sz w:val="28"/>
          <w:szCs w:val="28"/>
        </w:rPr>
        <w:t>Facultatea de Relații Economice Internaționale</w:t>
      </w:r>
    </w:p>
    <w:p w14:paraId="5CE1FFC5" w14:textId="77777777" w:rsidR="003E4256" w:rsidRPr="00FF0D52" w:rsidRDefault="003E4256" w:rsidP="003E4256">
      <w:pPr>
        <w:spacing w:after="120" w:line="360" w:lineRule="auto"/>
        <w:jc w:val="center"/>
        <w:rPr>
          <w:rFonts w:ascii="Times New Roman" w:hAnsi="Times New Roman" w:cs="Times New Roman"/>
        </w:rPr>
      </w:pPr>
    </w:p>
    <w:p w14:paraId="651E1D3A" w14:textId="77777777" w:rsidR="003E4256" w:rsidRPr="00FF0D52" w:rsidRDefault="003E4256" w:rsidP="003E4256">
      <w:pPr>
        <w:spacing w:after="120" w:line="360" w:lineRule="auto"/>
        <w:rPr>
          <w:rFonts w:ascii="Times New Roman" w:hAnsi="Times New Roman" w:cs="Times New Roman"/>
          <w:b/>
          <w:bCs/>
        </w:rPr>
      </w:pPr>
    </w:p>
    <w:p w14:paraId="4F543327" w14:textId="77777777" w:rsidR="003E4256" w:rsidRPr="00FF0D52" w:rsidRDefault="003E4256" w:rsidP="003E4256">
      <w:pPr>
        <w:spacing w:after="120" w:line="360" w:lineRule="auto"/>
        <w:jc w:val="center"/>
        <w:rPr>
          <w:rFonts w:ascii="Times New Roman" w:hAnsi="Times New Roman" w:cs="Times New Roman"/>
          <w:b/>
          <w:bCs/>
          <w:sz w:val="64"/>
          <w:szCs w:val="64"/>
        </w:rPr>
      </w:pPr>
    </w:p>
    <w:p w14:paraId="3A14B039" w14:textId="1B1AB627" w:rsidR="003E4256" w:rsidRPr="003E4256" w:rsidRDefault="003E4256" w:rsidP="003E4256">
      <w:pPr>
        <w:spacing w:after="120" w:line="360" w:lineRule="auto"/>
        <w:jc w:val="center"/>
        <w:rPr>
          <w:rFonts w:ascii="Times New Roman" w:hAnsi="Times New Roman" w:cs="Times New Roman"/>
          <w:b/>
          <w:bCs/>
          <w:sz w:val="44"/>
          <w:szCs w:val="44"/>
        </w:rPr>
      </w:pPr>
      <w:r>
        <w:rPr>
          <w:rFonts w:ascii="Times New Roman" w:hAnsi="Times New Roman" w:cs="Times New Roman"/>
          <w:b/>
          <w:bCs/>
          <w:sz w:val="44"/>
          <w:szCs w:val="44"/>
        </w:rPr>
        <w:t>Managementul unui portofoliu de optiuni. Indicatorii de sensibilitate.</w:t>
      </w:r>
    </w:p>
    <w:p w14:paraId="4D9A1FCB" w14:textId="77777777" w:rsidR="003E4256" w:rsidRDefault="003E4256" w:rsidP="003E4256">
      <w:pPr>
        <w:spacing w:after="120" w:line="360" w:lineRule="auto"/>
        <w:rPr>
          <w:rFonts w:ascii="Times New Roman" w:hAnsi="Times New Roman" w:cs="Times New Roman"/>
          <w:b/>
          <w:bCs/>
          <w:sz w:val="28"/>
          <w:szCs w:val="28"/>
        </w:rPr>
      </w:pPr>
    </w:p>
    <w:p w14:paraId="5E1C2486" w14:textId="77777777" w:rsidR="003E4256" w:rsidRDefault="003E4256" w:rsidP="003E4256">
      <w:pPr>
        <w:spacing w:after="120" w:line="360" w:lineRule="auto"/>
        <w:rPr>
          <w:rFonts w:ascii="Times New Roman" w:hAnsi="Times New Roman" w:cs="Times New Roman"/>
          <w:b/>
          <w:bCs/>
          <w:sz w:val="28"/>
          <w:szCs w:val="28"/>
        </w:rPr>
      </w:pPr>
    </w:p>
    <w:p w14:paraId="1F13DE2C" w14:textId="77777777" w:rsidR="0019051A" w:rsidRPr="00FF0D52" w:rsidRDefault="0019051A" w:rsidP="003E4256">
      <w:pPr>
        <w:spacing w:after="120" w:line="360" w:lineRule="auto"/>
        <w:rPr>
          <w:rFonts w:ascii="Times New Roman" w:hAnsi="Times New Roman" w:cs="Times New Roman"/>
          <w:b/>
          <w:bCs/>
          <w:sz w:val="28"/>
          <w:szCs w:val="28"/>
        </w:rPr>
      </w:pPr>
    </w:p>
    <w:p w14:paraId="2CC27BB3" w14:textId="77777777" w:rsidR="003E4256" w:rsidRPr="00FF0D52" w:rsidRDefault="003E4256" w:rsidP="003E4256">
      <w:pPr>
        <w:spacing w:after="120" w:line="360" w:lineRule="auto"/>
        <w:rPr>
          <w:rFonts w:ascii="Times New Roman" w:hAnsi="Times New Roman" w:cs="Times New Roman"/>
          <w:b/>
          <w:bCs/>
          <w:sz w:val="28"/>
          <w:szCs w:val="28"/>
        </w:rPr>
      </w:pPr>
    </w:p>
    <w:p w14:paraId="3C104A69" w14:textId="77777777" w:rsidR="003E4256" w:rsidRPr="00FF0D52" w:rsidRDefault="003E4256" w:rsidP="003E4256">
      <w:pPr>
        <w:spacing w:after="120" w:line="360" w:lineRule="auto"/>
        <w:rPr>
          <w:rFonts w:ascii="Times New Roman" w:hAnsi="Times New Roman" w:cs="Times New Roman"/>
          <w:b/>
          <w:bCs/>
          <w:sz w:val="28"/>
          <w:szCs w:val="28"/>
        </w:rPr>
      </w:pPr>
      <w:r w:rsidRPr="00FF0D52">
        <w:rPr>
          <w:rFonts w:ascii="Times New Roman" w:hAnsi="Times New Roman" w:cs="Times New Roman"/>
          <w:b/>
          <w:bCs/>
          <w:sz w:val="28"/>
          <w:szCs w:val="28"/>
        </w:rPr>
        <w:t>Conducător științific :</w:t>
      </w:r>
    </w:p>
    <w:p w14:paraId="58036374" w14:textId="51755DAB" w:rsidR="003E4256" w:rsidRPr="00FF0D52" w:rsidRDefault="003E4256" w:rsidP="003E4256">
      <w:pPr>
        <w:spacing w:after="120" w:line="360" w:lineRule="auto"/>
        <w:rPr>
          <w:rFonts w:ascii="Times New Roman" w:hAnsi="Times New Roman" w:cs="Times New Roman"/>
          <w:sz w:val="28"/>
          <w:szCs w:val="28"/>
        </w:rPr>
      </w:pPr>
      <w:r w:rsidRPr="00FF0D52">
        <w:rPr>
          <w:rFonts w:ascii="Times New Roman" w:hAnsi="Times New Roman" w:cs="Times New Roman"/>
          <w:sz w:val="28"/>
          <w:szCs w:val="28"/>
        </w:rPr>
        <w:t xml:space="preserve">Prof. Univ. Dr.  </w:t>
      </w:r>
      <w:r>
        <w:rPr>
          <w:rFonts w:ascii="Times New Roman" w:hAnsi="Times New Roman" w:cs="Times New Roman"/>
          <w:sz w:val="28"/>
          <w:szCs w:val="28"/>
        </w:rPr>
        <w:t>Radu Lupu</w:t>
      </w:r>
    </w:p>
    <w:p w14:paraId="150B33A8" w14:textId="77777777" w:rsidR="003E4256" w:rsidRPr="00FF0D52" w:rsidRDefault="003E4256" w:rsidP="003E4256">
      <w:pPr>
        <w:spacing w:after="120" w:line="360" w:lineRule="auto"/>
        <w:jc w:val="right"/>
        <w:rPr>
          <w:rFonts w:ascii="Times New Roman" w:hAnsi="Times New Roman" w:cs="Times New Roman"/>
          <w:b/>
          <w:bCs/>
          <w:sz w:val="28"/>
          <w:szCs w:val="28"/>
        </w:rPr>
      </w:pPr>
      <w:r w:rsidRPr="00FF0D52">
        <w:rPr>
          <w:rFonts w:ascii="Times New Roman" w:hAnsi="Times New Roman" w:cs="Times New Roman"/>
          <w:b/>
          <w:bCs/>
          <w:sz w:val="28"/>
          <w:szCs w:val="28"/>
        </w:rPr>
        <w:t xml:space="preserve">Absolvent: </w:t>
      </w:r>
    </w:p>
    <w:p w14:paraId="69C977B0" w14:textId="56C9F122" w:rsidR="003E4256" w:rsidRPr="00FF0D52" w:rsidRDefault="003E4256" w:rsidP="003E4256">
      <w:pPr>
        <w:spacing w:after="120" w:line="360" w:lineRule="auto"/>
        <w:jc w:val="right"/>
        <w:rPr>
          <w:rFonts w:ascii="Times New Roman" w:hAnsi="Times New Roman" w:cs="Times New Roman"/>
          <w:sz w:val="28"/>
          <w:szCs w:val="28"/>
        </w:rPr>
      </w:pPr>
      <w:r>
        <w:rPr>
          <w:rFonts w:ascii="Times New Roman" w:hAnsi="Times New Roman" w:cs="Times New Roman"/>
          <w:sz w:val="28"/>
          <w:szCs w:val="28"/>
        </w:rPr>
        <w:t>Balint Mariam</w:t>
      </w:r>
    </w:p>
    <w:p w14:paraId="71019BF6" w14:textId="77777777" w:rsidR="003E4256" w:rsidRPr="00FF0D52" w:rsidRDefault="003E4256" w:rsidP="003E4256">
      <w:pPr>
        <w:spacing w:after="120" w:line="360" w:lineRule="auto"/>
        <w:jc w:val="right"/>
        <w:rPr>
          <w:rFonts w:ascii="Times New Roman" w:hAnsi="Times New Roman" w:cs="Times New Roman"/>
          <w:b/>
          <w:bCs/>
          <w:sz w:val="28"/>
          <w:szCs w:val="28"/>
        </w:rPr>
      </w:pPr>
    </w:p>
    <w:p w14:paraId="65C92453" w14:textId="77777777" w:rsidR="003E4256" w:rsidRPr="00FF0D52" w:rsidRDefault="003E4256" w:rsidP="003E4256">
      <w:pPr>
        <w:spacing w:after="120" w:line="360" w:lineRule="auto"/>
        <w:jc w:val="right"/>
        <w:rPr>
          <w:rFonts w:ascii="Times New Roman" w:hAnsi="Times New Roman" w:cs="Times New Roman"/>
          <w:b/>
          <w:bCs/>
          <w:sz w:val="28"/>
          <w:szCs w:val="28"/>
        </w:rPr>
      </w:pPr>
    </w:p>
    <w:p w14:paraId="70837D02" w14:textId="77777777" w:rsidR="003E4256" w:rsidRPr="00FF0D52" w:rsidRDefault="003E4256" w:rsidP="003E4256">
      <w:pPr>
        <w:spacing w:after="120" w:line="360" w:lineRule="auto"/>
        <w:rPr>
          <w:rFonts w:ascii="Times New Roman" w:hAnsi="Times New Roman" w:cs="Times New Roman"/>
          <w:b/>
          <w:bCs/>
          <w:sz w:val="28"/>
          <w:szCs w:val="28"/>
        </w:rPr>
      </w:pPr>
    </w:p>
    <w:p w14:paraId="7F5FB567" w14:textId="77777777" w:rsidR="003E4256" w:rsidRPr="00FF0D52" w:rsidRDefault="003E4256" w:rsidP="003E4256">
      <w:pPr>
        <w:spacing w:after="120" w:line="360" w:lineRule="auto"/>
        <w:rPr>
          <w:rFonts w:ascii="Times New Roman" w:hAnsi="Times New Roman" w:cs="Times New Roman"/>
          <w:b/>
          <w:bCs/>
          <w:sz w:val="28"/>
          <w:szCs w:val="28"/>
        </w:rPr>
      </w:pPr>
    </w:p>
    <w:p w14:paraId="15BF1E0A" w14:textId="77777777" w:rsidR="003E4256" w:rsidRPr="00FF0D52" w:rsidRDefault="003E4256" w:rsidP="003E4256">
      <w:pPr>
        <w:spacing w:after="120" w:line="360" w:lineRule="auto"/>
        <w:jc w:val="right"/>
        <w:rPr>
          <w:rFonts w:ascii="Times New Roman" w:hAnsi="Times New Roman" w:cs="Times New Roman"/>
          <w:b/>
          <w:bCs/>
          <w:sz w:val="28"/>
          <w:szCs w:val="28"/>
        </w:rPr>
      </w:pPr>
    </w:p>
    <w:p w14:paraId="1D4467B4" w14:textId="5C8A665E" w:rsidR="003E4256" w:rsidRDefault="003E4256" w:rsidP="0019051A">
      <w:pPr>
        <w:spacing w:after="120" w:line="360" w:lineRule="auto"/>
        <w:jc w:val="center"/>
        <w:rPr>
          <w:rFonts w:ascii="Times New Roman" w:hAnsi="Times New Roman" w:cs="Times New Roman"/>
          <w:b/>
          <w:bCs/>
          <w:sz w:val="28"/>
          <w:szCs w:val="28"/>
        </w:rPr>
      </w:pPr>
      <w:r w:rsidRPr="00FF0D52">
        <w:rPr>
          <w:rFonts w:ascii="Times New Roman" w:hAnsi="Times New Roman" w:cs="Times New Roman"/>
          <w:b/>
          <w:bCs/>
          <w:sz w:val="28"/>
          <w:szCs w:val="28"/>
        </w:rPr>
        <w:t>București</w:t>
      </w:r>
    </w:p>
    <w:p w14:paraId="66420317" w14:textId="583F0FCE" w:rsidR="0019051A" w:rsidRPr="0019051A" w:rsidRDefault="0019051A" w:rsidP="0019051A">
      <w:pPr>
        <w:spacing w:after="120" w:line="360" w:lineRule="auto"/>
        <w:jc w:val="center"/>
        <w:rPr>
          <w:rFonts w:ascii="Times New Roman" w:hAnsi="Times New Roman" w:cs="Times New Roman"/>
          <w:b/>
          <w:bCs/>
          <w:sz w:val="28"/>
          <w:szCs w:val="28"/>
        </w:rPr>
      </w:pPr>
      <w:r w:rsidRPr="00FF0D52">
        <w:rPr>
          <w:rFonts w:ascii="Times New Roman" w:hAnsi="Times New Roman" w:cs="Times New Roman"/>
          <w:b/>
          <w:bCs/>
          <w:sz w:val="28"/>
          <w:szCs w:val="28"/>
        </w:rPr>
        <w:t>202</w:t>
      </w:r>
      <w:r>
        <w:rPr>
          <w:rFonts w:ascii="Times New Roman" w:hAnsi="Times New Roman" w:cs="Times New Roman"/>
          <w:b/>
          <w:bCs/>
          <w:sz w:val="28"/>
          <w:szCs w:val="28"/>
        </w:rPr>
        <w:t>6</w:t>
      </w:r>
    </w:p>
    <w:p w14:paraId="323B6BF8" w14:textId="03267538" w:rsidR="003E4256" w:rsidRDefault="003E4256" w:rsidP="003E4256">
      <w:pPr>
        <w:pStyle w:val="NormalWeb"/>
        <w:spacing w:line="360" w:lineRule="auto"/>
        <w:jc w:val="center"/>
        <w:rPr>
          <w:b/>
          <w:bCs/>
          <w:color w:val="000000" w:themeColor="text1"/>
          <w:sz w:val="32"/>
          <w:szCs w:val="32"/>
        </w:rPr>
      </w:pPr>
      <w:r w:rsidRPr="003E4256">
        <w:rPr>
          <w:b/>
          <w:bCs/>
          <w:color w:val="000000" w:themeColor="text1"/>
          <w:sz w:val="32"/>
          <w:szCs w:val="32"/>
        </w:rPr>
        <w:lastRenderedPageBreak/>
        <w:t>CUPRINS</w:t>
      </w:r>
    </w:p>
    <w:sdt>
      <w:sdtPr>
        <w:rPr>
          <w:rFonts w:asciiTheme="minorHAnsi" w:eastAsiaTheme="minorHAnsi" w:hAnsiTheme="minorHAnsi" w:cstheme="minorBidi"/>
          <w:b w:val="0"/>
          <w:bCs w:val="0"/>
          <w:color w:val="auto"/>
          <w:kern w:val="2"/>
          <w:sz w:val="24"/>
          <w:szCs w:val="24"/>
          <w:lang/>
          <w14:ligatures w14:val="standardContextual"/>
        </w:rPr>
        <w:id w:val="-345094212"/>
        <w:docPartObj>
          <w:docPartGallery w:val="Table of Contents"/>
          <w:docPartUnique/>
        </w:docPartObj>
      </w:sdtPr>
      <w:sdtEndPr>
        <w:rPr>
          <w:noProof/>
        </w:rPr>
      </w:sdtEndPr>
      <w:sdtContent>
        <w:p w14:paraId="705725EE" w14:textId="76657AB4" w:rsidR="00D3138A" w:rsidRDefault="00D3138A">
          <w:pPr>
            <w:pStyle w:val="Titlucuprins"/>
          </w:pPr>
        </w:p>
        <w:p w14:paraId="41116CF0" w14:textId="5FF0D289" w:rsidR="0072265C" w:rsidRDefault="00D3138A">
          <w:pPr>
            <w:pStyle w:val="Cuprins1"/>
            <w:tabs>
              <w:tab w:val="left" w:pos="480"/>
              <w:tab w:val="right" w:leader="dot" w:pos="9344"/>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7519536" w:history="1">
            <w:r w:rsidR="0072265C" w:rsidRPr="00DB542B">
              <w:rPr>
                <w:rStyle w:val="Hyperlink"/>
                <w:rFonts w:ascii="Times New Roman" w:hAnsi="Times New Roman" w:cs="Times New Roman"/>
                <w:noProof/>
              </w:rPr>
              <w:t>1.</w:t>
            </w:r>
            <w:r w:rsidR="0072265C">
              <w:rPr>
                <w:rFonts w:eastAsiaTheme="minorEastAsia"/>
                <w:b w:val="0"/>
                <w:bCs w:val="0"/>
                <w:i w:val="0"/>
                <w:iCs w:val="0"/>
                <w:noProof/>
                <w:lang w:eastAsia="en-GB"/>
              </w:rPr>
              <w:tab/>
            </w:r>
            <w:r w:rsidR="0072265C" w:rsidRPr="00DB542B">
              <w:rPr>
                <w:rStyle w:val="Hyperlink"/>
                <w:rFonts w:ascii="Times New Roman" w:hAnsi="Times New Roman" w:cs="Times New Roman"/>
                <w:noProof/>
              </w:rPr>
              <w:t>INTRODUCERE</w:t>
            </w:r>
            <w:r w:rsidR="0072265C">
              <w:rPr>
                <w:noProof/>
                <w:webHidden/>
              </w:rPr>
              <w:tab/>
            </w:r>
            <w:r w:rsidR="0072265C">
              <w:rPr>
                <w:noProof/>
                <w:webHidden/>
              </w:rPr>
              <w:fldChar w:fldCharType="begin"/>
            </w:r>
            <w:r w:rsidR="0072265C">
              <w:rPr>
                <w:noProof/>
                <w:webHidden/>
              </w:rPr>
              <w:instrText xml:space="preserve"> PAGEREF _Toc227519536 \h </w:instrText>
            </w:r>
            <w:r w:rsidR="0072265C">
              <w:rPr>
                <w:noProof/>
                <w:webHidden/>
              </w:rPr>
            </w:r>
            <w:r w:rsidR="0072265C">
              <w:rPr>
                <w:noProof/>
                <w:webHidden/>
              </w:rPr>
              <w:fldChar w:fldCharType="separate"/>
            </w:r>
            <w:r w:rsidR="0072265C">
              <w:rPr>
                <w:noProof/>
                <w:webHidden/>
              </w:rPr>
              <w:t>4</w:t>
            </w:r>
            <w:r w:rsidR="0072265C">
              <w:rPr>
                <w:noProof/>
                <w:webHidden/>
              </w:rPr>
              <w:fldChar w:fldCharType="end"/>
            </w:r>
          </w:hyperlink>
        </w:p>
        <w:p w14:paraId="548D11E5" w14:textId="3A363569" w:rsidR="0072265C" w:rsidRDefault="0072265C">
          <w:pPr>
            <w:pStyle w:val="Cuprins2"/>
            <w:tabs>
              <w:tab w:val="right" w:leader="dot" w:pos="9344"/>
            </w:tabs>
            <w:rPr>
              <w:rFonts w:eastAsiaTheme="minorEastAsia"/>
              <w:b w:val="0"/>
              <w:bCs w:val="0"/>
              <w:noProof/>
              <w:sz w:val="24"/>
              <w:szCs w:val="24"/>
              <w:lang w:eastAsia="en-GB"/>
            </w:rPr>
          </w:pPr>
          <w:hyperlink w:anchor="_Toc227519537" w:history="1">
            <w:r w:rsidRPr="00DB542B">
              <w:rPr>
                <w:rStyle w:val="Hyperlink"/>
                <w:rFonts w:ascii="Times New Roman" w:eastAsia="Times New Roman" w:hAnsi="Times New Roman" w:cs="Times New Roman"/>
                <w:noProof/>
                <w:kern w:val="0"/>
                <w:lang w:eastAsia="en-GB"/>
                <w14:ligatures w14:val="none"/>
              </w:rPr>
              <w:t xml:space="preserve">2. </w:t>
            </w:r>
            <w:r w:rsidRPr="00DB542B">
              <w:rPr>
                <w:rStyle w:val="Hyperlink"/>
                <w:rFonts w:ascii="Times New Roman" w:eastAsiaTheme="majorEastAsia" w:hAnsi="Times New Roman" w:cs="Times New Roman"/>
                <w:noProof/>
              </w:rPr>
              <w:t>RECENZIA LITERATURII</w:t>
            </w:r>
            <w:r>
              <w:rPr>
                <w:noProof/>
                <w:webHidden/>
              </w:rPr>
              <w:tab/>
            </w:r>
            <w:r>
              <w:rPr>
                <w:noProof/>
                <w:webHidden/>
              </w:rPr>
              <w:fldChar w:fldCharType="begin"/>
            </w:r>
            <w:r>
              <w:rPr>
                <w:noProof/>
                <w:webHidden/>
              </w:rPr>
              <w:instrText xml:space="preserve"> PAGEREF _Toc227519537 \h </w:instrText>
            </w:r>
            <w:r>
              <w:rPr>
                <w:noProof/>
                <w:webHidden/>
              </w:rPr>
            </w:r>
            <w:r>
              <w:rPr>
                <w:noProof/>
                <w:webHidden/>
              </w:rPr>
              <w:fldChar w:fldCharType="separate"/>
            </w:r>
            <w:r>
              <w:rPr>
                <w:noProof/>
                <w:webHidden/>
              </w:rPr>
              <w:t>5</w:t>
            </w:r>
            <w:r>
              <w:rPr>
                <w:noProof/>
                <w:webHidden/>
              </w:rPr>
              <w:fldChar w:fldCharType="end"/>
            </w:r>
          </w:hyperlink>
        </w:p>
        <w:p w14:paraId="42F46ECF" w14:textId="76272171" w:rsidR="0072265C" w:rsidRDefault="0072265C">
          <w:pPr>
            <w:pStyle w:val="Cuprins2"/>
            <w:tabs>
              <w:tab w:val="right" w:leader="dot" w:pos="9344"/>
            </w:tabs>
            <w:rPr>
              <w:rFonts w:eastAsiaTheme="minorEastAsia"/>
              <w:b w:val="0"/>
              <w:bCs w:val="0"/>
              <w:noProof/>
              <w:sz w:val="24"/>
              <w:szCs w:val="24"/>
              <w:lang w:eastAsia="en-GB"/>
            </w:rPr>
          </w:pPr>
          <w:hyperlink w:anchor="_Toc227519538" w:history="1">
            <w:r w:rsidRPr="00DB542B">
              <w:rPr>
                <w:rStyle w:val="Hyperlink"/>
                <w:rFonts w:ascii="Times New Roman" w:eastAsia="Times New Roman" w:hAnsi="Times New Roman" w:cs="Times New Roman"/>
                <w:noProof/>
                <w:lang w:eastAsia="en-GB"/>
              </w:rPr>
              <w:t>2.1. Fundamentele evaluării opțiunilor și desprinderea de paradigma cu volatilitate constantă</w:t>
            </w:r>
            <w:r>
              <w:rPr>
                <w:noProof/>
                <w:webHidden/>
              </w:rPr>
              <w:tab/>
            </w:r>
            <w:r>
              <w:rPr>
                <w:noProof/>
                <w:webHidden/>
              </w:rPr>
              <w:fldChar w:fldCharType="begin"/>
            </w:r>
            <w:r>
              <w:rPr>
                <w:noProof/>
                <w:webHidden/>
              </w:rPr>
              <w:instrText xml:space="preserve"> PAGEREF _Toc227519538 \h </w:instrText>
            </w:r>
            <w:r>
              <w:rPr>
                <w:noProof/>
                <w:webHidden/>
              </w:rPr>
            </w:r>
            <w:r>
              <w:rPr>
                <w:noProof/>
                <w:webHidden/>
              </w:rPr>
              <w:fldChar w:fldCharType="separate"/>
            </w:r>
            <w:r>
              <w:rPr>
                <w:noProof/>
                <w:webHidden/>
              </w:rPr>
              <w:t>5</w:t>
            </w:r>
            <w:r>
              <w:rPr>
                <w:noProof/>
                <w:webHidden/>
              </w:rPr>
              <w:fldChar w:fldCharType="end"/>
            </w:r>
          </w:hyperlink>
        </w:p>
        <w:p w14:paraId="364BD544" w14:textId="2C66D84B" w:rsidR="0072265C" w:rsidRDefault="0072265C">
          <w:pPr>
            <w:pStyle w:val="Cuprins2"/>
            <w:tabs>
              <w:tab w:val="right" w:leader="dot" w:pos="9344"/>
            </w:tabs>
            <w:rPr>
              <w:rFonts w:eastAsiaTheme="minorEastAsia"/>
              <w:b w:val="0"/>
              <w:bCs w:val="0"/>
              <w:noProof/>
              <w:sz w:val="24"/>
              <w:szCs w:val="24"/>
              <w:lang w:eastAsia="en-GB"/>
            </w:rPr>
          </w:pPr>
          <w:hyperlink w:anchor="_Toc227519539" w:history="1">
            <w:r w:rsidRPr="00DB542B">
              <w:rPr>
                <w:rStyle w:val="Hyperlink"/>
                <w:rFonts w:ascii="Times New Roman" w:eastAsia="Times New Roman" w:hAnsi="Times New Roman" w:cs="Times New Roman"/>
                <w:noProof/>
                <w:lang w:eastAsia="en-GB"/>
              </w:rPr>
              <w:t>2.2. Conținutul informațional al volatilității implicite și dezbaterea privind volatilitatea realizată</w:t>
            </w:r>
            <w:r>
              <w:rPr>
                <w:noProof/>
                <w:webHidden/>
              </w:rPr>
              <w:tab/>
            </w:r>
            <w:r>
              <w:rPr>
                <w:noProof/>
                <w:webHidden/>
              </w:rPr>
              <w:fldChar w:fldCharType="begin"/>
            </w:r>
            <w:r>
              <w:rPr>
                <w:noProof/>
                <w:webHidden/>
              </w:rPr>
              <w:instrText xml:space="preserve"> PAGEREF _Toc227519539 \h </w:instrText>
            </w:r>
            <w:r>
              <w:rPr>
                <w:noProof/>
                <w:webHidden/>
              </w:rPr>
            </w:r>
            <w:r>
              <w:rPr>
                <w:noProof/>
                <w:webHidden/>
              </w:rPr>
              <w:fldChar w:fldCharType="separate"/>
            </w:r>
            <w:r>
              <w:rPr>
                <w:noProof/>
                <w:webHidden/>
              </w:rPr>
              <w:t>6</w:t>
            </w:r>
            <w:r>
              <w:rPr>
                <w:noProof/>
                <w:webHidden/>
              </w:rPr>
              <w:fldChar w:fldCharType="end"/>
            </w:r>
          </w:hyperlink>
        </w:p>
        <w:p w14:paraId="164151EB" w14:textId="77F0B67B" w:rsidR="0072265C" w:rsidRDefault="0072265C">
          <w:pPr>
            <w:pStyle w:val="Cuprins2"/>
            <w:tabs>
              <w:tab w:val="right" w:leader="dot" w:pos="9344"/>
            </w:tabs>
            <w:rPr>
              <w:rFonts w:eastAsiaTheme="minorEastAsia"/>
              <w:b w:val="0"/>
              <w:bCs w:val="0"/>
              <w:noProof/>
              <w:sz w:val="24"/>
              <w:szCs w:val="24"/>
              <w:lang w:eastAsia="en-GB"/>
            </w:rPr>
          </w:pPr>
          <w:hyperlink w:anchor="_Toc227519540" w:history="1">
            <w:r w:rsidRPr="00DB542B">
              <w:rPr>
                <w:rStyle w:val="Hyperlink"/>
                <w:rFonts w:ascii="Times New Roman" w:eastAsia="Times New Roman" w:hAnsi="Times New Roman" w:cs="Times New Roman"/>
                <w:noProof/>
                <w:lang w:eastAsia="en-GB"/>
              </w:rPr>
              <w:t>2.3. Suprafața volatilității implicite ca proces dinamic: factori, deformări și reducere dimensională</w:t>
            </w:r>
            <w:r>
              <w:rPr>
                <w:noProof/>
                <w:webHidden/>
              </w:rPr>
              <w:tab/>
            </w:r>
            <w:r>
              <w:rPr>
                <w:noProof/>
                <w:webHidden/>
              </w:rPr>
              <w:fldChar w:fldCharType="begin"/>
            </w:r>
            <w:r>
              <w:rPr>
                <w:noProof/>
                <w:webHidden/>
              </w:rPr>
              <w:instrText xml:space="preserve"> PAGEREF _Toc227519540 \h </w:instrText>
            </w:r>
            <w:r>
              <w:rPr>
                <w:noProof/>
                <w:webHidden/>
              </w:rPr>
            </w:r>
            <w:r>
              <w:rPr>
                <w:noProof/>
                <w:webHidden/>
              </w:rPr>
              <w:fldChar w:fldCharType="separate"/>
            </w:r>
            <w:r>
              <w:rPr>
                <w:noProof/>
                <w:webHidden/>
              </w:rPr>
              <w:t>8</w:t>
            </w:r>
            <w:r>
              <w:rPr>
                <w:noProof/>
                <w:webHidden/>
              </w:rPr>
              <w:fldChar w:fldCharType="end"/>
            </w:r>
          </w:hyperlink>
        </w:p>
        <w:p w14:paraId="62F07165" w14:textId="4B452972" w:rsidR="0072265C" w:rsidRDefault="0072265C">
          <w:pPr>
            <w:pStyle w:val="Cuprins2"/>
            <w:tabs>
              <w:tab w:val="right" w:leader="dot" w:pos="9344"/>
            </w:tabs>
            <w:rPr>
              <w:rFonts w:eastAsiaTheme="minorEastAsia"/>
              <w:b w:val="0"/>
              <w:bCs w:val="0"/>
              <w:noProof/>
              <w:sz w:val="24"/>
              <w:szCs w:val="24"/>
              <w:lang w:eastAsia="en-GB"/>
            </w:rPr>
          </w:pPr>
          <w:hyperlink w:anchor="_Toc227519541" w:history="1">
            <w:r w:rsidRPr="00DB542B">
              <w:rPr>
                <w:rStyle w:val="Hyperlink"/>
                <w:rFonts w:ascii="Times New Roman" w:eastAsia="Times New Roman" w:hAnsi="Times New Roman" w:cs="Times New Roman"/>
                <w:noProof/>
                <w:lang w:eastAsia="en-GB"/>
              </w:rPr>
              <w:t>2.4. Determinanții economici ai formei suprafeței: crash risk, order flow și asimetrii de piață</w:t>
            </w:r>
            <w:r>
              <w:rPr>
                <w:noProof/>
                <w:webHidden/>
              </w:rPr>
              <w:tab/>
            </w:r>
            <w:r>
              <w:rPr>
                <w:noProof/>
                <w:webHidden/>
              </w:rPr>
              <w:fldChar w:fldCharType="begin"/>
            </w:r>
            <w:r>
              <w:rPr>
                <w:noProof/>
                <w:webHidden/>
              </w:rPr>
              <w:instrText xml:space="preserve"> PAGEREF _Toc227519541 \h </w:instrText>
            </w:r>
            <w:r>
              <w:rPr>
                <w:noProof/>
                <w:webHidden/>
              </w:rPr>
            </w:r>
            <w:r>
              <w:rPr>
                <w:noProof/>
                <w:webHidden/>
              </w:rPr>
              <w:fldChar w:fldCharType="separate"/>
            </w:r>
            <w:r>
              <w:rPr>
                <w:noProof/>
                <w:webHidden/>
              </w:rPr>
              <w:t>9</w:t>
            </w:r>
            <w:r>
              <w:rPr>
                <w:noProof/>
                <w:webHidden/>
              </w:rPr>
              <w:fldChar w:fldCharType="end"/>
            </w:r>
          </w:hyperlink>
        </w:p>
        <w:p w14:paraId="3D3B2567" w14:textId="247E84BF" w:rsidR="0072265C" w:rsidRDefault="0072265C">
          <w:pPr>
            <w:pStyle w:val="Cuprins2"/>
            <w:tabs>
              <w:tab w:val="right" w:leader="dot" w:pos="9344"/>
            </w:tabs>
            <w:rPr>
              <w:rFonts w:eastAsiaTheme="minorEastAsia"/>
              <w:b w:val="0"/>
              <w:bCs w:val="0"/>
              <w:noProof/>
              <w:sz w:val="24"/>
              <w:szCs w:val="24"/>
              <w:lang w:eastAsia="en-GB"/>
            </w:rPr>
          </w:pPr>
          <w:hyperlink w:anchor="_Toc227519542" w:history="1">
            <w:r w:rsidRPr="00DB542B">
              <w:rPr>
                <w:rStyle w:val="Hyperlink"/>
                <w:rFonts w:ascii="Times New Roman" w:eastAsia="Times New Roman" w:hAnsi="Times New Roman" w:cs="Times New Roman"/>
                <w:noProof/>
                <w:lang w:eastAsia="en-GB"/>
              </w:rPr>
              <w:t>2.5. Forecast-ul implied volatility surface: de la modele factoriale la cadre semi-parametrice și machine learning</w:t>
            </w:r>
            <w:r>
              <w:rPr>
                <w:noProof/>
                <w:webHidden/>
              </w:rPr>
              <w:tab/>
            </w:r>
            <w:r>
              <w:rPr>
                <w:noProof/>
                <w:webHidden/>
              </w:rPr>
              <w:fldChar w:fldCharType="begin"/>
            </w:r>
            <w:r>
              <w:rPr>
                <w:noProof/>
                <w:webHidden/>
              </w:rPr>
              <w:instrText xml:space="preserve"> PAGEREF _Toc227519542 \h </w:instrText>
            </w:r>
            <w:r>
              <w:rPr>
                <w:noProof/>
                <w:webHidden/>
              </w:rPr>
            </w:r>
            <w:r>
              <w:rPr>
                <w:noProof/>
                <w:webHidden/>
              </w:rPr>
              <w:fldChar w:fldCharType="separate"/>
            </w:r>
            <w:r>
              <w:rPr>
                <w:noProof/>
                <w:webHidden/>
              </w:rPr>
              <w:t>10</w:t>
            </w:r>
            <w:r>
              <w:rPr>
                <w:noProof/>
                <w:webHidden/>
              </w:rPr>
              <w:fldChar w:fldCharType="end"/>
            </w:r>
          </w:hyperlink>
        </w:p>
        <w:p w14:paraId="2116C7F9" w14:textId="28F7DD7F" w:rsidR="0072265C" w:rsidRDefault="0072265C">
          <w:pPr>
            <w:pStyle w:val="Cuprins2"/>
            <w:tabs>
              <w:tab w:val="right" w:leader="dot" w:pos="9344"/>
            </w:tabs>
            <w:rPr>
              <w:rFonts w:eastAsiaTheme="minorEastAsia"/>
              <w:b w:val="0"/>
              <w:bCs w:val="0"/>
              <w:noProof/>
              <w:sz w:val="24"/>
              <w:szCs w:val="24"/>
              <w:lang w:eastAsia="en-GB"/>
            </w:rPr>
          </w:pPr>
          <w:hyperlink w:anchor="_Toc227519543" w:history="1">
            <w:r w:rsidRPr="00DB542B">
              <w:rPr>
                <w:rStyle w:val="Hyperlink"/>
                <w:rFonts w:ascii="Times New Roman" w:eastAsia="Times New Roman" w:hAnsi="Times New Roman" w:cs="Times New Roman"/>
                <w:noProof/>
                <w:lang w:eastAsia="en-GB"/>
              </w:rPr>
              <w:t>2.6. Greeks și hedgingul dinamic al portofoliilor de opțiuni</w:t>
            </w:r>
            <w:r>
              <w:rPr>
                <w:noProof/>
                <w:webHidden/>
              </w:rPr>
              <w:tab/>
            </w:r>
            <w:r>
              <w:rPr>
                <w:noProof/>
                <w:webHidden/>
              </w:rPr>
              <w:fldChar w:fldCharType="begin"/>
            </w:r>
            <w:r>
              <w:rPr>
                <w:noProof/>
                <w:webHidden/>
              </w:rPr>
              <w:instrText xml:space="preserve"> PAGEREF _Toc227519543 \h </w:instrText>
            </w:r>
            <w:r>
              <w:rPr>
                <w:noProof/>
                <w:webHidden/>
              </w:rPr>
            </w:r>
            <w:r>
              <w:rPr>
                <w:noProof/>
                <w:webHidden/>
              </w:rPr>
              <w:fldChar w:fldCharType="separate"/>
            </w:r>
            <w:r>
              <w:rPr>
                <w:noProof/>
                <w:webHidden/>
              </w:rPr>
              <w:t>11</w:t>
            </w:r>
            <w:r>
              <w:rPr>
                <w:noProof/>
                <w:webHidden/>
              </w:rPr>
              <w:fldChar w:fldCharType="end"/>
            </w:r>
          </w:hyperlink>
        </w:p>
        <w:p w14:paraId="02024FFC" w14:textId="3D17E8D0" w:rsidR="0072265C" w:rsidRDefault="0072265C">
          <w:pPr>
            <w:pStyle w:val="Cuprins2"/>
            <w:tabs>
              <w:tab w:val="right" w:leader="dot" w:pos="9344"/>
            </w:tabs>
            <w:rPr>
              <w:rFonts w:eastAsiaTheme="minorEastAsia"/>
              <w:b w:val="0"/>
              <w:bCs w:val="0"/>
              <w:noProof/>
              <w:sz w:val="24"/>
              <w:szCs w:val="24"/>
              <w:lang w:eastAsia="en-GB"/>
            </w:rPr>
          </w:pPr>
          <w:hyperlink w:anchor="_Toc227519544" w:history="1">
            <w:r w:rsidRPr="00DB542B">
              <w:rPr>
                <w:rStyle w:val="Hyperlink"/>
                <w:rFonts w:ascii="Times New Roman" w:eastAsia="Times New Roman" w:hAnsi="Times New Roman" w:cs="Times New Roman"/>
                <w:noProof/>
                <w:lang w:eastAsia="en-GB"/>
              </w:rPr>
              <w:t>2.7. Valoarea economică a forecast-ului: criteriul final de validare</w:t>
            </w:r>
            <w:r>
              <w:rPr>
                <w:noProof/>
                <w:webHidden/>
              </w:rPr>
              <w:tab/>
            </w:r>
            <w:r>
              <w:rPr>
                <w:noProof/>
                <w:webHidden/>
              </w:rPr>
              <w:fldChar w:fldCharType="begin"/>
            </w:r>
            <w:r>
              <w:rPr>
                <w:noProof/>
                <w:webHidden/>
              </w:rPr>
              <w:instrText xml:space="preserve"> PAGEREF _Toc227519544 \h </w:instrText>
            </w:r>
            <w:r>
              <w:rPr>
                <w:noProof/>
                <w:webHidden/>
              </w:rPr>
            </w:r>
            <w:r>
              <w:rPr>
                <w:noProof/>
                <w:webHidden/>
              </w:rPr>
              <w:fldChar w:fldCharType="separate"/>
            </w:r>
            <w:r>
              <w:rPr>
                <w:noProof/>
                <w:webHidden/>
              </w:rPr>
              <w:t>12</w:t>
            </w:r>
            <w:r>
              <w:rPr>
                <w:noProof/>
                <w:webHidden/>
              </w:rPr>
              <w:fldChar w:fldCharType="end"/>
            </w:r>
          </w:hyperlink>
        </w:p>
        <w:p w14:paraId="2DC336B0" w14:textId="368C751F" w:rsidR="0072265C" w:rsidRDefault="0072265C">
          <w:pPr>
            <w:pStyle w:val="Cuprins2"/>
            <w:tabs>
              <w:tab w:val="right" w:leader="dot" w:pos="9344"/>
            </w:tabs>
            <w:rPr>
              <w:rFonts w:eastAsiaTheme="minorEastAsia"/>
              <w:b w:val="0"/>
              <w:bCs w:val="0"/>
              <w:noProof/>
              <w:sz w:val="24"/>
              <w:szCs w:val="24"/>
              <w:lang w:eastAsia="en-GB"/>
            </w:rPr>
          </w:pPr>
          <w:hyperlink w:anchor="_Toc227519545" w:history="1">
            <w:r w:rsidRPr="00DB542B">
              <w:rPr>
                <w:rStyle w:val="Hyperlink"/>
                <w:rFonts w:ascii="Times New Roman" w:eastAsia="Times New Roman" w:hAnsi="Times New Roman" w:cs="Times New Roman"/>
                <w:noProof/>
                <w:lang w:eastAsia="en-GB"/>
              </w:rPr>
              <w:t>2.8. Sinteză critică și gap-ul din literatură</w:t>
            </w:r>
            <w:r>
              <w:rPr>
                <w:noProof/>
                <w:webHidden/>
              </w:rPr>
              <w:tab/>
            </w:r>
            <w:r>
              <w:rPr>
                <w:noProof/>
                <w:webHidden/>
              </w:rPr>
              <w:fldChar w:fldCharType="begin"/>
            </w:r>
            <w:r>
              <w:rPr>
                <w:noProof/>
                <w:webHidden/>
              </w:rPr>
              <w:instrText xml:space="preserve"> PAGEREF _Toc227519545 \h </w:instrText>
            </w:r>
            <w:r>
              <w:rPr>
                <w:noProof/>
                <w:webHidden/>
              </w:rPr>
            </w:r>
            <w:r>
              <w:rPr>
                <w:noProof/>
                <w:webHidden/>
              </w:rPr>
              <w:fldChar w:fldCharType="separate"/>
            </w:r>
            <w:r>
              <w:rPr>
                <w:noProof/>
                <w:webHidden/>
              </w:rPr>
              <w:t>13</w:t>
            </w:r>
            <w:r>
              <w:rPr>
                <w:noProof/>
                <w:webHidden/>
              </w:rPr>
              <w:fldChar w:fldCharType="end"/>
            </w:r>
          </w:hyperlink>
        </w:p>
        <w:p w14:paraId="3515C400" w14:textId="57B5BC3C" w:rsidR="0072265C" w:rsidRDefault="0072265C">
          <w:pPr>
            <w:pStyle w:val="Cuprins1"/>
            <w:tabs>
              <w:tab w:val="right" w:leader="dot" w:pos="9344"/>
            </w:tabs>
            <w:rPr>
              <w:rFonts w:eastAsiaTheme="minorEastAsia"/>
              <w:b w:val="0"/>
              <w:bCs w:val="0"/>
              <w:i w:val="0"/>
              <w:iCs w:val="0"/>
              <w:noProof/>
              <w:lang w:eastAsia="en-GB"/>
            </w:rPr>
          </w:pPr>
          <w:hyperlink w:anchor="_Toc227519546" w:history="1">
            <w:r w:rsidRPr="00DB542B">
              <w:rPr>
                <w:rStyle w:val="Hyperlink"/>
                <w:rFonts w:ascii="Times New Roman" w:eastAsia="Times New Roman" w:hAnsi="Times New Roman" w:cs="Times New Roman"/>
                <w:noProof/>
                <w:lang w:eastAsia="en-GB"/>
              </w:rPr>
              <w:t>3. FUNDAMENT TEORETIC SI IPOTEZE</w:t>
            </w:r>
            <w:r>
              <w:rPr>
                <w:noProof/>
                <w:webHidden/>
              </w:rPr>
              <w:tab/>
            </w:r>
            <w:r>
              <w:rPr>
                <w:noProof/>
                <w:webHidden/>
              </w:rPr>
              <w:fldChar w:fldCharType="begin"/>
            </w:r>
            <w:r>
              <w:rPr>
                <w:noProof/>
                <w:webHidden/>
              </w:rPr>
              <w:instrText xml:space="preserve"> PAGEREF _Toc227519546 \h </w:instrText>
            </w:r>
            <w:r>
              <w:rPr>
                <w:noProof/>
                <w:webHidden/>
              </w:rPr>
            </w:r>
            <w:r>
              <w:rPr>
                <w:noProof/>
                <w:webHidden/>
              </w:rPr>
              <w:fldChar w:fldCharType="separate"/>
            </w:r>
            <w:r>
              <w:rPr>
                <w:noProof/>
                <w:webHidden/>
              </w:rPr>
              <w:t>14</w:t>
            </w:r>
            <w:r>
              <w:rPr>
                <w:noProof/>
                <w:webHidden/>
              </w:rPr>
              <w:fldChar w:fldCharType="end"/>
            </w:r>
          </w:hyperlink>
        </w:p>
        <w:p w14:paraId="1F0CF81D" w14:textId="7C6FA1E9" w:rsidR="0072265C" w:rsidRDefault="0072265C">
          <w:pPr>
            <w:pStyle w:val="Cuprins2"/>
            <w:tabs>
              <w:tab w:val="right" w:leader="dot" w:pos="9344"/>
            </w:tabs>
            <w:rPr>
              <w:rFonts w:eastAsiaTheme="minorEastAsia"/>
              <w:b w:val="0"/>
              <w:bCs w:val="0"/>
              <w:noProof/>
              <w:sz w:val="24"/>
              <w:szCs w:val="24"/>
              <w:lang w:eastAsia="en-GB"/>
            </w:rPr>
          </w:pPr>
          <w:hyperlink w:anchor="_Toc227519547" w:history="1">
            <w:r w:rsidRPr="00DB542B">
              <w:rPr>
                <w:rStyle w:val="Hyperlink"/>
                <w:rFonts w:ascii="Times New Roman" w:eastAsia="Times New Roman" w:hAnsi="Times New Roman" w:cs="Times New Roman"/>
                <w:noProof/>
                <w:lang w:eastAsia="en-GB"/>
              </w:rPr>
              <w:t>3.1. Evaluarea opțiunilor și semnificația economică a volatilității implicite</w:t>
            </w:r>
            <w:r>
              <w:rPr>
                <w:noProof/>
                <w:webHidden/>
              </w:rPr>
              <w:tab/>
            </w:r>
            <w:r>
              <w:rPr>
                <w:noProof/>
                <w:webHidden/>
              </w:rPr>
              <w:fldChar w:fldCharType="begin"/>
            </w:r>
            <w:r>
              <w:rPr>
                <w:noProof/>
                <w:webHidden/>
              </w:rPr>
              <w:instrText xml:space="preserve"> PAGEREF _Toc227519547 \h </w:instrText>
            </w:r>
            <w:r>
              <w:rPr>
                <w:noProof/>
                <w:webHidden/>
              </w:rPr>
            </w:r>
            <w:r>
              <w:rPr>
                <w:noProof/>
                <w:webHidden/>
              </w:rPr>
              <w:fldChar w:fldCharType="separate"/>
            </w:r>
            <w:r>
              <w:rPr>
                <w:noProof/>
                <w:webHidden/>
              </w:rPr>
              <w:t>14</w:t>
            </w:r>
            <w:r>
              <w:rPr>
                <w:noProof/>
                <w:webHidden/>
              </w:rPr>
              <w:fldChar w:fldCharType="end"/>
            </w:r>
          </w:hyperlink>
        </w:p>
        <w:p w14:paraId="4F972848" w14:textId="54B702DF" w:rsidR="0072265C" w:rsidRDefault="0072265C">
          <w:pPr>
            <w:pStyle w:val="Cuprins2"/>
            <w:tabs>
              <w:tab w:val="right" w:leader="dot" w:pos="9344"/>
            </w:tabs>
            <w:rPr>
              <w:rFonts w:eastAsiaTheme="minorEastAsia"/>
              <w:b w:val="0"/>
              <w:bCs w:val="0"/>
              <w:noProof/>
              <w:sz w:val="24"/>
              <w:szCs w:val="24"/>
              <w:lang w:eastAsia="en-GB"/>
            </w:rPr>
          </w:pPr>
          <w:hyperlink w:anchor="_Toc227519548" w:history="1">
            <w:r w:rsidRPr="00DB542B">
              <w:rPr>
                <w:rStyle w:val="Hyperlink"/>
                <w:rFonts w:ascii="Times New Roman" w:eastAsia="Times New Roman" w:hAnsi="Times New Roman" w:cs="Times New Roman"/>
                <w:noProof/>
                <w:lang w:eastAsia="en-GB"/>
              </w:rPr>
              <w:t>3.2. Suprafața volatilității implicite ca variabilă de stare pentru managementul portofoliului de opțiuni</w:t>
            </w:r>
            <w:r>
              <w:rPr>
                <w:noProof/>
                <w:webHidden/>
              </w:rPr>
              <w:tab/>
            </w:r>
            <w:r>
              <w:rPr>
                <w:noProof/>
                <w:webHidden/>
              </w:rPr>
              <w:fldChar w:fldCharType="begin"/>
            </w:r>
            <w:r>
              <w:rPr>
                <w:noProof/>
                <w:webHidden/>
              </w:rPr>
              <w:instrText xml:space="preserve"> PAGEREF _Toc227519548 \h </w:instrText>
            </w:r>
            <w:r>
              <w:rPr>
                <w:noProof/>
                <w:webHidden/>
              </w:rPr>
            </w:r>
            <w:r>
              <w:rPr>
                <w:noProof/>
                <w:webHidden/>
              </w:rPr>
              <w:fldChar w:fldCharType="separate"/>
            </w:r>
            <w:r>
              <w:rPr>
                <w:noProof/>
                <w:webHidden/>
              </w:rPr>
              <w:t>15</w:t>
            </w:r>
            <w:r>
              <w:rPr>
                <w:noProof/>
                <w:webHidden/>
              </w:rPr>
              <w:fldChar w:fldCharType="end"/>
            </w:r>
          </w:hyperlink>
        </w:p>
        <w:p w14:paraId="74F13163" w14:textId="78A612B3" w:rsidR="0072265C" w:rsidRDefault="0072265C">
          <w:pPr>
            <w:pStyle w:val="Cuprins2"/>
            <w:tabs>
              <w:tab w:val="right" w:leader="dot" w:pos="9344"/>
            </w:tabs>
            <w:rPr>
              <w:rFonts w:eastAsiaTheme="minorEastAsia"/>
              <w:b w:val="0"/>
              <w:bCs w:val="0"/>
              <w:noProof/>
              <w:sz w:val="24"/>
              <w:szCs w:val="24"/>
              <w:lang w:eastAsia="en-GB"/>
            </w:rPr>
          </w:pPr>
          <w:hyperlink w:anchor="_Toc227519549" w:history="1">
            <w:r w:rsidRPr="00DB542B">
              <w:rPr>
                <w:rStyle w:val="Hyperlink"/>
                <w:rFonts w:ascii="Times New Roman" w:eastAsia="Times New Roman" w:hAnsi="Times New Roman" w:cs="Times New Roman"/>
                <w:noProof/>
                <w:lang w:eastAsia="en-GB"/>
              </w:rPr>
              <w:t>3.3. Indicatorii de sensibilitate și arhitectura riscului unui portofoliu de opțiuni</w:t>
            </w:r>
            <w:r>
              <w:rPr>
                <w:noProof/>
                <w:webHidden/>
              </w:rPr>
              <w:tab/>
            </w:r>
            <w:r>
              <w:rPr>
                <w:noProof/>
                <w:webHidden/>
              </w:rPr>
              <w:fldChar w:fldCharType="begin"/>
            </w:r>
            <w:r>
              <w:rPr>
                <w:noProof/>
                <w:webHidden/>
              </w:rPr>
              <w:instrText xml:space="preserve"> PAGEREF _Toc227519549 \h </w:instrText>
            </w:r>
            <w:r>
              <w:rPr>
                <w:noProof/>
                <w:webHidden/>
              </w:rPr>
            </w:r>
            <w:r>
              <w:rPr>
                <w:noProof/>
                <w:webHidden/>
              </w:rPr>
              <w:fldChar w:fldCharType="separate"/>
            </w:r>
            <w:r>
              <w:rPr>
                <w:noProof/>
                <w:webHidden/>
              </w:rPr>
              <w:t>16</w:t>
            </w:r>
            <w:r>
              <w:rPr>
                <w:noProof/>
                <w:webHidden/>
              </w:rPr>
              <w:fldChar w:fldCharType="end"/>
            </w:r>
          </w:hyperlink>
        </w:p>
        <w:p w14:paraId="64009DFF" w14:textId="2306AF35" w:rsidR="0072265C" w:rsidRDefault="0072265C">
          <w:pPr>
            <w:pStyle w:val="Cuprins2"/>
            <w:tabs>
              <w:tab w:val="right" w:leader="dot" w:pos="9344"/>
            </w:tabs>
            <w:rPr>
              <w:rFonts w:eastAsiaTheme="minorEastAsia"/>
              <w:b w:val="0"/>
              <w:bCs w:val="0"/>
              <w:noProof/>
              <w:sz w:val="24"/>
              <w:szCs w:val="24"/>
              <w:lang w:eastAsia="en-GB"/>
            </w:rPr>
          </w:pPr>
          <w:hyperlink w:anchor="_Toc227519550" w:history="1">
            <w:r w:rsidRPr="00DB542B">
              <w:rPr>
                <w:rStyle w:val="Hyperlink"/>
                <w:rFonts w:ascii="Times New Roman" w:eastAsia="Times New Roman" w:hAnsi="Times New Roman" w:cs="Times New Roman"/>
                <w:noProof/>
                <w:lang w:eastAsia="en-GB"/>
              </w:rPr>
              <w:t>3.4. Acoperirea delta-gamma și izolarea expunerii la volatilitate</w:t>
            </w:r>
            <w:r>
              <w:rPr>
                <w:noProof/>
                <w:webHidden/>
              </w:rPr>
              <w:tab/>
            </w:r>
            <w:r>
              <w:rPr>
                <w:noProof/>
                <w:webHidden/>
              </w:rPr>
              <w:fldChar w:fldCharType="begin"/>
            </w:r>
            <w:r>
              <w:rPr>
                <w:noProof/>
                <w:webHidden/>
              </w:rPr>
              <w:instrText xml:space="preserve"> PAGEREF _Toc227519550 \h </w:instrText>
            </w:r>
            <w:r>
              <w:rPr>
                <w:noProof/>
                <w:webHidden/>
              </w:rPr>
            </w:r>
            <w:r>
              <w:rPr>
                <w:noProof/>
                <w:webHidden/>
              </w:rPr>
              <w:fldChar w:fldCharType="separate"/>
            </w:r>
            <w:r>
              <w:rPr>
                <w:noProof/>
                <w:webHidden/>
              </w:rPr>
              <w:t>17</w:t>
            </w:r>
            <w:r>
              <w:rPr>
                <w:noProof/>
                <w:webHidden/>
              </w:rPr>
              <w:fldChar w:fldCharType="end"/>
            </w:r>
          </w:hyperlink>
        </w:p>
        <w:p w14:paraId="06BA2338" w14:textId="035BA822" w:rsidR="0072265C" w:rsidRDefault="0072265C">
          <w:pPr>
            <w:pStyle w:val="Cuprins2"/>
            <w:tabs>
              <w:tab w:val="right" w:leader="dot" w:pos="9344"/>
            </w:tabs>
            <w:rPr>
              <w:rFonts w:eastAsiaTheme="minorEastAsia"/>
              <w:b w:val="0"/>
              <w:bCs w:val="0"/>
              <w:noProof/>
              <w:sz w:val="24"/>
              <w:szCs w:val="24"/>
              <w:lang w:eastAsia="en-GB"/>
            </w:rPr>
          </w:pPr>
          <w:hyperlink w:anchor="_Toc227519551" w:history="1">
            <w:r w:rsidRPr="00DB542B">
              <w:rPr>
                <w:rStyle w:val="Hyperlink"/>
                <w:rFonts w:ascii="Times New Roman" w:eastAsia="Times New Roman" w:hAnsi="Times New Roman" w:cs="Times New Roman"/>
                <w:noProof/>
                <w:lang w:eastAsia="en-GB"/>
              </w:rPr>
              <w:t>3.5. De la forecast-ul suprafeței la valoarea economică a informației</w:t>
            </w:r>
            <w:r>
              <w:rPr>
                <w:noProof/>
                <w:webHidden/>
              </w:rPr>
              <w:tab/>
            </w:r>
            <w:r>
              <w:rPr>
                <w:noProof/>
                <w:webHidden/>
              </w:rPr>
              <w:fldChar w:fldCharType="begin"/>
            </w:r>
            <w:r>
              <w:rPr>
                <w:noProof/>
                <w:webHidden/>
              </w:rPr>
              <w:instrText xml:space="preserve"> PAGEREF _Toc227519551 \h </w:instrText>
            </w:r>
            <w:r>
              <w:rPr>
                <w:noProof/>
                <w:webHidden/>
              </w:rPr>
            </w:r>
            <w:r>
              <w:rPr>
                <w:noProof/>
                <w:webHidden/>
              </w:rPr>
              <w:fldChar w:fldCharType="separate"/>
            </w:r>
            <w:r>
              <w:rPr>
                <w:noProof/>
                <w:webHidden/>
              </w:rPr>
              <w:t>18</w:t>
            </w:r>
            <w:r>
              <w:rPr>
                <w:noProof/>
                <w:webHidden/>
              </w:rPr>
              <w:fldChar w:fldCharType="end"/>
            </w:r>
          </w:hyperlink>
        </w:p>
        <w:p w14:paraId="2DE5DE2E" w14:textId="3C6ACAAD" w:rsidR="0072265C" w:rsidRDefault="0072265C">
          <w:pPr>
            <w:pStyle w:val="Cuprins2"/>
            <w:tabs>
              <w:tab w:val="right" w:leader="dot" w:pos="9344"/>
            </w:tabs>
            <w:rPr>
              <w:rFonts w:eastAsiaTheme="minorEastAsia"/>
              <w:b w:val="0"/>
              <w:bCs w:val="0"/>
              <w:noProof/>
              <w:sz w:val="24"/>
              <w:szCs w:val="24"/>
              <w:lang w:eastAsia="en-GB"/>
            </w:rPr>
          </w:pPr>
          <w:hyperlink w:anchor="_Toc227519552" w:history="1">
            <w:r w:rsidRPr="00DB542B">
              <w:rPr>
                <w:rStyle w:val="Hyperlink"/>
                <w:rFonts w:ascii="Times New Roman" w:eastAsia="Times New Roman" w:hAnsi="Times New Roman" w:cs="Times New Roman"/>
                <w:noProof/>
                <w:lang w:eastAsia="en-GB"/>
              </w:rPr>
              <w:t>3.6. Ipoteze</w:t>
            </w:r>
            <w:r>
              <w:rPr>
                <w:noProof/>
                <w:webHidden/>
              </w:rPr>
              <w:tab/>
            </w:r>
            <w:r>
              <w:rPr>
                <w:noProof/>
                <w:webHidden/>
              </w:rPr>
              <w:fldChar w:fldCharType="begin"/>
            </w:r>
            <w:r>
              <w:rPr>
                <w:noProof/>
                <w:webHidden/>
              </w:rPr>
              <w:instrText xml:space="preserve"> PAGEREF _Toc227519552 \h </w:instrText>
            </w:r>
            <w:r>
              <w:rPr>
                <w:noProof/>
                <w:webHidden/>
              </w:rPr>
            </w:r>
            <w:r>
              <w:rPr>
                <w:noProof/>
                <w:webHidden/>
              </w:rPr>
              <w:fldChar w:fldCharType="separate"/>
            </w:r>
            <w:r>
              <w:rPr>
                <w:noProof/>
                <w:webHidden/>
              </w:rPr>
              <w:t>19</w:t>
            </w:r>
            <w:r>
              <w:rPr>
                <w:noProof/>
                <w:webHidden/>
              </w:rPr>
              <w:fldChar w:fldCharType="end"/>
            </w:r>
          </w:hyperlink>
        </w:p>
        <w:p w14:paraId="66896572" w14:textId="37C0EC6B" w:rsidR="0072265C" w:rsidRDefault="0072265C">
          <w:pPr>
            <w:pStyle w:val="Cuprins2"/>
            <w:tabs>
              <w:tab w:val="right" w:leader="dot" w:pos="9344"/>
            </w:tabs>
            <w:rPr>
              <w:rFonts w:eastAsiaTheme="minorEastAsia"/>
              <w:b w:val="0"/>
              <w:bCs w:val="0"/>
              <w:noProof/>
              <w:sz w:val="24"/>
              <w:szCs w:val="24"/>
              <w:lang w:eastAsia="en-GB"/>
            </w:rPr>
          </w:pPr>
          <w:hyperlink w:anchor="_Toc227519553" w:history="1">
            <w:r w:rsidRPr="00DB542B">
              <w:rPr>
                <w:rStyle w:val="Hyperlink"/>
                <w:rFonts w:ascii="Times New Roman" w:eastAsia="Times New Roman" w:hAnsi="Times New Roman" w:cs="Times New Roman"/>
                <w:noProof/>
                <w:kern w:val="0"/>
                <w:lang w:eastAsia="en-GB"/>
                <w14:ligatures w14:val="none"/>
              </w:rPr>
              <w:t>BBLIOGRAFIE</w:t>
            </w:r>
            <w:r>
              <w:rPr>
                <w:noProof/>
                <w:webHidden/>
              </w:rPr>
              <w:tab/>
            </w:r>
            <w:r>
              <w:rPr>
                <w:noProof/>
                <w:webHidden/>
              </w:rPr>
              <w:fldChar w:fldCharType="begin"/>
            </w:r>
            <w:r>
              <w:rPr>
                <w:noProof/>
                <w:webHidden/>
              </w:rPr>
              <w:instrText xml:space="preserve"> PAGEREF _Toc227519553 \h </w:instrText>
            </w:r>
            <w:r>
              <w:rPr>
                <w:noProof/>
                <w:webHidden/>
              </w:rPr>
            </w:r>
            <w:r>
              <w:rPr>
                <w:noProof/>
                <w:webHidden/>
              </w:rPr>
              <w:fldChar w:fldCharType="separate"/>
            </w:r>
            <w:r>
              <w:rPr>
                <w:noProof/>
                <w:webHidden/>
              </w:rPr>
              <w:t>21</w:t>
            </w:r>
            <w:r>
              <w:rPr>
                <w:noProof/>
                <w:webHidden/>
              </w:rPr>
              <w:fldChar w:fldCharType="end"/>
            </w:r>
          </w:hyperlink>
        </w:p>
        <w:p w14:paraId="5A571B83" w14:textId="4005C558" w:rsidR="00D3138A" w:rsidRDefault="00D3138A">
          <w:r>
            <w:rPr>
              <w:b/>
              <w:bCs/>
              <w:noProof/>
            </w:rPr>
            <w:fldChar w:fldCharType="end"/>
          </w:r>
        </w:p>
      </w:sdtContent>
    </w:sdt>
    <w:p w14:paraId="7B7469EC" w14:textId="77777777" w:rsidR="003E4256" w:rsidRPr="003E4256" w:rsidRDefault="003E4256" w:rsidP="003E4256">
      <w:pPr>
        <w:pStyle w:val="NormalWeb"/>
        <w:spacing w:line="360" w:lineRule="auto"/>
        <w:rPr>
          <w:b/>
          <w:bCs/>
          <w:color w:val="000000" w:themeColor="text1"/>
          <w:sz w:val="32"/>
          <w:szCs w:val="32"/>
        </w:rPr>
      </w:pPr>
    </w:p>
    <w:p w14:paraId="0A8272DF" w14:textId="77777777" w:rsidR="003E4256" w:rsidRDefault="003E4256" w:rsidP="00F871E1">
      <w:pPr>
        <w:pStyle w:val="NormalWeb"/>
        <w:spacing w:line="360" w:lineRule="auto"/>
        <w:jc w:val="both"/>
        <w:rPr>
          <w:color w:val="000000" w:themeColor="text1"/>
        </w:rPr>
      </w:pPr>
    </w:p>
    <w:p w14:paraId="05D3C3AF" w14:textId="77777777" w:rsidR="003E4256" w:rsidRDefault="003E4256" w:rsidP="00F871E1">
      <w:pPr>
        <w:pStyle w:val="NormalWeb"/>
        <w:spacing w:line="360" w:lineRule="auto"/>
        <w:jc w:val="both"/>
        <w:rPr>
          <w:color w:val="000000" w:themeColor="text1"/>
        </w:rPr>
      </w:pPr>
    </w:p>
    <w:p w14:paraId="3AB5D9EE" w14:textId="655EEDC0" w:rsidR="0083152E" w:rsidRPr="009667B6" w:rsidRDefault="0083152E" w:rsidP="00C554A4">
      <w:pPr>
        <w:pStyle w:val="Titlu1"/>
        <w:numPr>
          <w:ilvl w:val="0"/>
          <w:numId w:val="4"/>
        </w:numPr>
        <w:spacing w:line="360" w:lineRule="auto"/>
        <w:rPr>
          <w:rFonts w:ascii="Times New Roman" w:hAnsi="Times New Roman" w:cs="Times New Roman"/>
          <w:b/>
          <w:bCs/>
          <w:color w:val="000000" w:themeColor="text1"/>
          <w:sz w:val="32"/>
          <w:szCs w:val="32"/>
        </w:rPr>
      </w:pPr>
      <w:bookmarkStart w:id="1" w:name="_Toc227519536"/>
      <w:r w:rsidRPr="009667B6">
        <w:rPr>
          <w:rFonts w:ascii="Times New Roman" w:hAnsi="Times New Roman" w:cs="Times New Roman"/>
          <w:b/>
          <w:bCs/>
          <w:color w:val="000000" w:themeColor="text1"/>
          <w:sz w:val="32"/>
          <w:szCs w:val="32"/>
        </w:rPr>
        <w:lastRenderedPageBreak/>
        <w:t>INTRODUCERE</w:t>
      </w:r>
      <w:bookmarkEnd w:id="1"/>
    </w:p>
    <w:p w14:paraId="519EDBD8" w14:textId="77777777" w:rsidR="0083152E" w:rsidRPr="00DE24DD" w:rsidRDefault="0083152E" w:rsidP="00C554A4">
      <w:pPr>
        <w:pStyle w:val="NormalWeb"/>
        <w:spacing w:before="0" w:beforeAutospacing="0" w:after="240" w:afterAutospacing="0" w:line="360" w:lineRule="auto"/>
        <w:ind w:firstLine="720"/>
        <w:jc w:val="both"/>
        <w:rPr>
          <w:color w:val="000000" w:themeColor="text1"/>
        </w:rPr>
      </w:pPr>
      <w:r w:rsidRPr="00DE24DD">
        <w:rPr>
          <w:color w:val="000000" w:themeColor="text1"/>
        </w:rPr>
        <w:t>Piața opțiunilor ocupă un loc central în managementul modern al riscului financiar, oferind investitorilor și administratorilor de portofoliu posibilitatea de a transfera, redistribui și gestiona expuneri complexe la risc. Spre deosebire de ipoteza simplificatoare a modelelor clasice de evaluare, conform căreia volatilitatea este constantă, evidența empirică arată că volatilitatea implicită diferă în funcție de prețul de exercitare și de maturitate, generând ceea ce literatura de specialitate definește drept suprafața volatilității implicite. Dinamica acestei suprafețe reflectă modificarea continuă a așteptărilor participanților la piață și are implicații directe atât asupra evaluării opțiunilor, cât și asupra managementului riscului în portofoliile care conțin astfel de instrumente.</w:t>
      </w:r>
    </w:p>
    <w:p w14:paraId="5664C3A3" w14:textId="77777777" w:rsidR="0083152E" w:rsidRPr="00DE24DD" w:rsidRDefault="0083152E" w:rsidP="00C554A4">
      <w:pPr>
        <w:pStyle w:val="NormalWeb"/>
        <w:spacing w:before="240" w:beforeAutospacing="0" w:after="240" w:afterAutospacing="0" w:line="360" w:lineRule="auto"/>
        <w:ind w:firstLine="720"/>
        <w:jc w:val="both"/>
        <w:rPr>
          <w:color w:val="000000" w:themeColor="text1"/>
        </w:rPr>
      </w:pPr>
      <w:r w:rsidRPr="00DE24DD">
        <w:rPr>
          <w:color w:val="000000" w:themeColor="text1"/>
        </w:rPr>
        <w:t>În acest cadru, indicatorii de sensibilitate ai opțiunilor, cunoscuți în practică drept „Greeks”, devin esențiali pentru înțelegerea și controlul riscului. Delta și gamma surprind sensibilitatea valorii portofoliului la variațiile activului suport, în timp ce vega reflectă expunerea la modificările volatilității implicite. Prin urmare, administrarea eficientă a unui portofoliu de opțiuni presupune nu doar evaluarea corectă a instrumentelor, ci și monitorizarea permanentă a acestor sensibilități, în special într-un context în care volatilitatea implicită are o structură dinamică și potențial predictibilă.</w:t>
      </w:r>
    </w:p>
    <w:p w14:paraId="72B219B5" w14:textId="77777777" w:rsidR="0083152E" w:rsidRPr="00DE24DD" w:rsidRDefault="0083152E" w:rsidP="00170855">
      <w:pPr>
        <w:pStyle w:val="NormalWeb"/>
        <w:spacing w:line="360" w:lineRule="auto"/>
        <w:ind w:firstLine="720"/>
        <w:jc w:val="both"/>
        <w:rPr>
          <w:color w:val="000000" w:themeColor="text1"/>
        </w:rPr>
      </w:pPr>
      <w:r w:rsidRPr="00DE24DD">
        <w:rPr>
          <w:color w:val="000000" w:themeColor="text1"/>
        </w:rPr>
        <w:t>Interesul pentru prognoza suprafeței volatilității implicite a crescut considerabil în literatura financiară, pe fondul ideii că anticiparea modificărilor acesteia poate oferi atât beneficii în evaluarea riscului, cât și oportunități economice în strategiile de tranzacționare. Cu toate acestea, relația dintre acuratețea statistică a forecast-ului și utilitatea sa economică efectivă rămâne o problemă deschisă. Cu alte cuvinte, faptul că o suprafață poate fi prognozată relativ bine din punct de vedere cantitativ nu implică automat că această informație poate fi transformată într-o strategie profitabilă, mai ales în prezența costurilor de tranzacționare și a necesității unui hedging dinamic.</w:t>
      </w:r>
    </w:p>
    <w:p w14:paraId="35911842" w14:textId="77777777" w:rsidR="0083152E" w:rsidRPr="00DE24DD" w:rsidRDefault="0083152E" w:rsidP="00170855">
      <w:pPr>
        <w:pStyle w:val="NormalWeb"/>
        <w:spacing w:line="360" w:lineRule="auto"/>
        <w:ind w:firstLine="720"/>
        <w:jc w:val="both"/>
        <w:rPr>
          <w:color w:val="000000" w:themeColor="text1"/>
        </w:rPr>
      </w:pPr>
      <w:r w:rsidRPr="00DE24DD">
        <w:rPr>
          <w:color w:val="000000" w:themeColor="text1"/>
        </w:rPr>
        <w:t xml:space="preserve">Pornind de la aceste considerente, prezenta lucrare își propune să analizeze rolul prognozei suprafeței volatilității implicite în managementul unui portofoliu de opțiuni și să evalueze dacă această informație poate genera valoare economică într-un cadru practic de tranzacționare. Aplicat pe opțiuni având ca activ suport indicele S&amp;P 500, demersul urmărește, pe de o parte, modelarea și prognoza implied volatility surface, iar pe de altă parte, utilizarea acestor previziuni în construirea unei strategii de poziționare pe volatilitate. În acest scop, portofoliul este administrat printr-un mecanism de hedging delta-gamma, astfel încât expunerea la variațiile activului suport </w:t>
      </w:r>
      <w:r w:rsidRPr="00DE24DD">
        <w:rPr>
          <w:color w:val="000000" w:themeColor="text1"/>
        </w:rPr>
        <w:lastRenderedPageBreak/>
        <w:t>să fie redusă, iar analiza să evidențieze mai clar contribuția anticipării volatilității implicite la performanța portofoliului.</w:t>
      </w:r>
    </w:p>
    <w:p w14:paraId="1A5C7E36" w14:textId="77777777" w:rsidR="0083152E" w:rsidRPr="00DE24DD" w:rsidRDefault="0083152E" w:rsidP="00170855">
      <w:pPr>
        <w:pStyle w:val="NormalWeb"/>
        <w:spacing w:line="360" w:lineRule="auto"/>
        <w:ind w:firstLine="720"/>
        <w:jc w:val="both"/>
        <w:rPr>
          <w:color w:val="000000" w:themeColor="text1"/>
        </w:rPr>
      </w:pPr>
      <w:r w:rsidRPr="00DE24DD">
        <w:rPr>
          <w:color w:val="000000" w:themeColor="text1"/>
        </w:rPr>
        <w:t>Relevanța temei este dublă. Din punct de vedere teoretic, aceasta se înscrie în literatura privind dinamica suprafeței volatilității implicite și utilizarea informației conținute de aceasta în evaluarea și managementul instrumentelor derivate. Din punct de vedere practic, lucrarea propune un cadru aplicat în care forecast-ul, indicatorii de sensibilitate și hedgingul dinamic sunt integrate într-o singură abordare, apropiată de problemele reale întâlnite în administrarea portofoliilor de opțiuni.</w:t>
      </w:r>
    </w:p>
    <w:p w14:paraId="78623796" w14:textId="13E9C2AB" w:rsidR="00DE24DD" w:rsidRPr="00F54632" w:rsidRDefault="00DE24DD" w:rsidP="00170855">
      <w:pPr>
        <w:spacing w:before="100" w:beforeAutospacing="1" w:after="0" w:line="360" w:lineRule="auto"/>
        <w:jc w:val="both"/>
        <w:outlineLvl w:val="1"/>
        <w:rPr>
          <w:rFonts w:ascii="Times New Roman" w:eastAsia="Times New Roman" w:hAnsi="Times New Roman" w:cs="Times New Roman"/>
          <w:b/>
          <w:bCs/>
          <w:color w:val="000000" w:themeColor="text1"/>
          <w:kern w:val="0"/>
          <w:sz w:val="28"/>
          <w:szCs w:val="28"/>
          <w:lang w:eastAsia="en-GB"/>
          <w14:ligatures w14:val="none"/>
        </w:rPr>
      </w:pPr>
      <w:bookmarkStart w:id="2" w:name="_Toc227519537"/>
      <w:r w:rsidRPr="00F54632">
        <w:rPr>
          <w:rFonts w:ascii="Times New Roman" w:eastAsia="Times New Roman" w:hAnsi="Times New Roman" w:cs="Times New Roman"/>
          <w:b/>
          <w:bCs/>
          <w:color w:val="000000" w:themeColor="text1"/>
          <w:kern w:val="0"/>
          <w:sz w:val="28"/>
          <w:szCs w:val="28"/>
          <w:lang w:eastAsia="en-GB"/>
          <w14:ligatures w14:val="none"/>
        </w:rPr>
        <w:t xml:space="preserve">2. </w:t>
      </w:r>
      <w:r w:rsidR="00D3138A">
        <w:rPr>
          <w:rStyle w:val="Titlu1Caracter"/>
          <w:rFonts w:ascii="Times New Roman" w:hAnsi="Times New Roman" w:cs="Times New Roman"/>
          <w:b/>
          <w:bCs/>
          <w:color w:val="000000" w:themeColor="text1"/>
          <w:sz w:val="32"/>
          <w:szCs w:val="32"/>
        </w:rPr>
        <w:t>RECENZIA LITERATURII</w:t>
      </w:r>
      <w:bookmarkEnd w:id="2"/>
    </w:p>
    <w:p w14:paraId="6AFB650F" w14:textId="77777777" w:rsidR="00DE24DD" w:rsidRPr="009667B6" w:rsidRDefault="00DE24DD"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3" w:name="_Toc227519538"/>
      <w:r w:rsidRPr="009667B6">
        <w:rPr>
          <w:rFonts w:ascii="Times New Roman" w:eastAsia="Times New Roman" w:hAnsi="Times New Roman" w:cs="Times New Roman"/>
          <w:b/>
          <w:bCs/>
          <w:color w:val="000000" w:themeColor="text1"/>
          <w:sz w:val="28"/>
          <w:szCs w:val="28"/>
          <w:lang w:eastAsia="en-GB"/>
        </w:rPr>
        <w:t>2.1. Fundamentele evaluării opțiunilor și desprinderea de paradigma cu volatilitate constantă</w:t>
      </w:r>
      <w:bookmarkEnd w:id="3"/>
    </w:p>
    <w:p w14:paraId="4960DC1F"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Literatura modernă privind opțiunile este construită pe dubla fundație oferită de Black și Scholes (1973) și Merton (1973), care au formulat pentru prima dată, într-un cadru de absență a arbitrajului, o relație coerentă între evaluare și hedging dinamic. Contribuția lor nu a constat doar în obținerea unei formule de preț, ci și în formalizarea ideii că expunerea unei opțiuni poate fi replicată printr-o poziție adecvată în activul suport și în activul fără risc. Această idee a devenit nucleul practicii moderne de management al riscului pentru instrumente derivate. Cu toate acestea, ipoteza de volatilitate constantă, indispensabilă pentru forma închisă a modelului, a intrat rapid în conflict cu datele de piață, unde prețurile opțiunilor implică volatilități diferite pentru strike-uri și maturități diferite. </w:t>
      </w:r>
    </w:p>
    <w:p w14:paraId="23E96BDA"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 xml:space="preserve">Această tensiune a deschis calea unei mutații conceptuale esențiale: de la „volatilitatea” ca parametru unic al modelului la „volatilitatea implicită” ca obiect extras din piață, iar apoi la </w:t>
      </w:r>
      <w:r w:rsidRPr="008D2F71">
        <w:rPr>
          <w:rFonts w:ascii="Times New Roman" w:eastAsia="Times New Roman" w:hAnsi="Times New Roman" w:cs="Times New Roman"/>
          <w:color w:val="000000" w:themeColor="text1"/>
          <w:kern w:val="0"/>
          <w:lang w:eastAsia="en-GB"/>
          <w14:ligatures w14:val="none"/>
        </w:rPr>
        <w:t>întreaga suprafață a volatilității implicite,</w:t>
      </w:r>
      <w:r w:rsidRPr="00DE24DD">
        <w:rPr>
          <w:rFonts w:ascii="Times New Roman" w:eastAsia="Times New Roman" w:hAnsi="Times New Roman" w:cs="Times New Roman"/>
          <w:color w:val="000000" w:themeColor="text1"/>
          <w:kern w:val="0"/>
          <w:lang w:eastAsia="en-GB"/>
          <w14:ligatures w14:val="none"/>
        </w:rPr>
        <w:t xml:space="preserve"> definită pe dimensiunile moneyness și maturitate. În această tranziție, lucrările lui Breeden și Litzenberger (1978), Rubinstein (1994), Dupire (1994) și Derman și Kani (1998) au avut un rol fondator. Prima a arătat că prețurile opțiunilor pot fi folosite pentru a recupera prețuri ale stărilor contingente și, implicit, informație despre distribuțiile neutre la risc; celelalte au construit instrumente prin care smile-ul și term-structure-ul volatilității pot fi încorporate în cadre de evaluare compatibile cu observațiile de piață. Rezultatul a fost deplasarea accentului de pe o volatilitate scalară pe o structură bidimensională, mult mai apropiată de modul în care piețele prețuiesc efectiv riscul. </w:t>
      </w:r>
    </w:p>
    <w:p w14:paraId="4CDB54D3"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lastRenderedPageBreak/>
        <w:t>În paralel, literatura stochastic-volatility a arătat că smile-ul nu este un simplu defect de calibrare al modelului Black–Scholes, ci expresia unei dinamici mai bogate a riscului. Hull și White (1987), Stein și Stein (1991) și Heston (1993) au propus modele în care volatilitatea evoluează ea însăși stocastic, iar corelația dintre randamentele activului suport și volatilitate poate genera asimetrii empirice observate frecvent în date. Jackwerth și Rubinstein (1996), precum și Britten-Jones și Neuberger (2000), au completat această direcție prin accentul pus pe distribuțiile implicite și pe faptul că structura prețurilor opțiunilor conține informație despre procesele de preț compatibile cu piața. Din această perspectivă, implied volatility surface devine nu doar o unealtă de descriere, ci un rezumat sintetic al credințelor, primelor de risc și constrângerilor de piață. </w:t>
      </w:r>
    </w:p>
    <w:p w14:paraId="1551F933"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Consecința pentru cercetarea contemporană este clară: evaluarea opțiunilor, forecast-ul suprafeței și managementul sensibilităților portofoliului nu pot fi tratate ca domenii independente. Odată ce volatilitatea relevantă diferă între strike-uri și maturități, chiar noțiunea de expunere la risc a unei poziții în opțiuni trebuie rescrisă în raport cu geometria și dinamica suprafeței implicite. De aici pornește, în mod natural, interesul pentru forecast-ul implied volatility surface și pentru integrarea lui în decizii de hedging și trading. </w:t>
      </w:r>
    </w:p>
    <w:p w14:paraId="04D1C524" w14:textId="77777777" w:rsidR="00DE24DD" w:rsidRPr="008D2F71" w:rsidRDefault="00DE24DD"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4" w:name="_Toc227519539"/>
      <w:r w:rsidRPr="008D2F71">
        <w:rPr>
          <w:rFonts w:ascii="Times New Roman" w:eastAsia="Times New Roman" w:hAnsi="Times New Roman" w:cs="Times New Roman"/>
          <w:b/>
          <w:bCs/>
          <w:color w:val="000000" w:themeColor="text1"/>
          <w:sz w:val="28"/>
          <w:szCs w:val="28"/>
          <w:lang w:eastAsia="en-GB"/>
        </w:rPr>
        <w:t>2.2. Conținutul informațional al volatilității implicite și dezbaterea privind volatilitatea realizată</w:t>
      </w:r>
      <w:bookmarkEnd w:id="4"/>
    </w:p>
    <w:p w14:paraId="7E849E9C"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O ramură majoră a literaturii s-a concentrat asupra întrebării dacă volatilitatea implicită este un predictor credibil al volatilității realizate ulterioare. Studiile timpurii au fost marcate de rezultate conflictuale. Canina și Figlewski (1993) au susținut că implied volatility, cel puțin pentru opțiunile pe S&amp;P 100, are o putere de predicție surprinzător de slabă și nu încorporează în mod satisfăcător informația conținută în volatilitatea istorică recentă. În contrast, Christensen și Prabhala (1998) au arătat că, odată tratate adecvat problemele de suprapunere, maturitate și design al eșantionului, implied volatility poate domina volatilitatea istorică și chiar îi poate subsuma informația în unele specificații. Fleming (1998), precum și Fleming, Ostdiek și Whaley (1995), respectiv Jorion (1995), au ajuns la concluzii apropiate: implied volatility este adesea părtinitoare, dar rămâne informativă și utilă ca proxy al volatilității condiționale. </w:t>
      </w:r>
    </w:p>
    <w:p w14:paraId="40C5D124"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 xml:space="preserve">Această dezbatere a avut două efecte importante. În primul rând, a consacrat ideea că volatilitatea implicită trebuie tratată ca variabilă informațională de sine stătătoare, nu doar ca rezultat mecanic al inversării unei formule de pricing. În al doilea rând, a arătat că performanța predictivă depinde critic de modul în care este construită și evaluată măsura de volatilitate </w:t>
      </w:r>
      <w:r w:rsidRPr="00DE24DD">
        <w:rPr>
          <w:rFonts w:ascii="Times New Roman" w:eastAsia="Times New Roman" w:hAnsi="Times New Roman" w:cs="Times New Roman"/>
          <w:color w:val="000000" w:themeColor="text1"/>
          <w:kern w:val="0"/>
          <w:lang w:eastAsia="en-GB"/>
          <w14:ligatures w14:val="none"/>
        </w:rPr>
        <w:lastRenderedPageBreak/>
        <w:t>implicită. În acest punct intervine literatura model-free. Jiang și Tian (2005) arată că măsura model-free de implied volatility extrage informație din întreaga structură a prețurilor opțiunilor și poate subsuma atât implied volatility de tip Black–Scholes, cât și volatilitatea realizată trecută. Taylor, Yadav și Zhang (2010) adaugă că implied volatility și model-free volatility expectations conțin informație distinctă pentru opțiuni pe acțiuni individuale, în timp ce Seo și Kim (2015) arată că puterea predictivă a informației option-implied depinde și de sentimentul investitorilor, sugerând că informația extrasă din opțiuni este condiționată de regimul de piață. </w:t>
      </w:r>
    </w:p>
    <w:p w14:paraId="7FF51F53"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În această etapă, literatura încetează să mai pună exclusiv întrebarea „prezice sau nu prezice IV?”, și o înlocuiește cu o întrebare mai sofisticată: „ce anume din prețurile opțiunilor merită prevăzut și cum trebuie evaluată utilitatea acelei previziuni?”. Pentru cercetarea asupra suprafeței implicite, răspunsul este că o singură măsură agregată a volatilității nu poate surprinde suficientă informație atunci când decizia economică privește un portofoliu cu strike-uri și maturități multiple. Cu alte cuvinte, chiar dacă o serie scalară de tip VIX sau model-free implied volatility este utilă, problema de interes pentru administrarea unui portofoliu de opțiuni rămâne structural bidimensională. </w:t>
      </w:r>
    </w:p>
    <w:p w14:paraId="79BFBDC4"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Literatura privind variance risk premium complică și mai mult această relație. Carr și Wu (2009), respectiv Bollerslev, Tauchen și Zhou (2009), au arătat că diferența dintre volatilitatea implicită și cea realizată viitoare nu poate fi citită simplu drept eroare de forecast, deoarece ea reflectă și o primă de risc asociată expunerii la variația viitoare a volatilității. Implicația este substanțială: succesul unei strategii construite pe forecast-ul implied volatility surface poate proveni atât din acuratețea predictivă, cât și din captarea unei compensații pentru asumarea riscului de volatilitate. Din punct de vedere metodologic, acest fapt cere o interpretare mai atentă a rezultatelor economice și distincția între „predictabilitate statistică” și „monetizare a unei prime de risc”. </w:t>
      </w:r>
    </w:p>
    <w:p w14:paraId="4BE009C1" w14:textId="77777777" w:rsidR="00DE24DD" w:rsidRPr="008D2F71" w:rsidRDefault="00DE24DD"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5" w:name="_Toc227519540"/>
      <w:r w:rsidRPr="008D2F71">
        <w:rPr>
          <w:rFonts w:ascii="Times New Roman" w:eastAsia="Times New Roman" w:hAnsi="Times New Roman" w:cs="Times New Roman"/>
          <w:b/>
          <w:bCs/>
          <w:color w:val="000000" w:themeColor="text1"/>
          <w:sz w:val="28"/>
          <w:szCs w:val="28"/>
          <w:lang w:eastAsia="en-GB"/>
        </w:rPr>
        <w:t>2.3. Suprafața volatilității implicite ca proces dinamic: factori, deformări și reducere dimensională</w:t>
      </w:r>
      <w:bookmarkEnd w:id="5"/>
    </w:p>
    <w:p w14:paraId="6CE30D33"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 xml:space="preserve">Odată stabilit că implied volatility conține informație relevantă, literatura s-a mutat de la analiza nivelului sau a unor strike-uri izolate la studiul întregii suprafețe. Dumas, Fleming și Whaley (1998) au furnizat una dintre primele demonstrații sistematice că funcțiile deterministe de implied volatility, deși convenabile pentru calibrare, au performanță limitată în testele out-of-sample și în aplicațiile de hedging. Această concluzie a fost importantă deoarece a semnalat că </w:t>
      </w:r>
      <w:r w:rsidRPr="00DE24DD">
        <w:rPr>
          <w:rFonts w:ascii="Times New Roman" w:eastAsia="Times New Roman" w:hAnsi="Times New Roman" w:cs="Times New Roman"/>
          <w:color w:val="000000" w:themeColor="text1"/>
          <w:kern w:val="0"/>
          <w:lang w:eastAsia="en-GB"/>
          <w14:ligatures w14:val="none"/>
        </w:rPr>
        <w:lastRenderedPageBreak/>
        <w:t>problema principală nu este doar forma statică a suprafeței, ci și modul în care aceasta se deplasează și se deformează în timp. Daglish, Hull și Suo (2007) au întărit aceeași idee, arătând că multe dintre regulile empirice utilizate de traderi pentru gestionarea suprafeței trebuie judecate în raport cu condiții de no-arbitrage și cu factorii care guvernează mișcarea întregii suprafețe. </w:t>
      </w:r>
    </w:p>
    <w:p w14:paraId="5D7E406E"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Cont și da Fonseca (2002) reprezintă aici un punct de referință. Ei tratează implied volatility surface ca proces dinamic și arată că variațiile acesteia sunt suficient de structurate încât să poată fi rezumate printr-un număr redus de factori comuni. Într-un sens mai larg, lucrarea lor mută problema de la „cum estimăm suprafața de azi?” la „cum modelăm dinamica suprafeței de mâine?”. Fengler, Härdle și Villa (2003) merg în aceeași direcție printr-o abordare bazată pe common principal components, sugerând că schimbările suprafeței pot fi interpretate drept șocuri de nivel, pantă și curbură. Această literatură a fost importantă nu doar pentru forecast, ci și pentru managementul riscului, deoarece a făcut posibilă o gândire mai structurată despre sursele de vega risk și despre reducerea dimensionalității problemei. </w:t>
      </w:r>
    </w:p>
    <w:p w14:paraId="4F7AB32C"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Bedendo și Hodges (2009) au adus o contribuție suplimentară prin utilizarea filtrului Kalman pentru a modela dinamica skew-ului, arătând că state-space models pot surprinde într-o manieră eficientă relația dintre forma instantanee a suprafeței și mișcarea ei în timp. Gonçalves și Guidolin (2006) au documentat, la rândul lor, patternuri predictibile în implied volatility surface a opțiunilor pe S&amp;P 500, ceea ce întărește ideea că suprafața prezintă regularități exploatabile. Împreună, aceste lucrări sugerează că forecast-ul implied volatility surface nu este un simplu exercițiu de interpolare, ci o problemă econometrică bine fundamentată, în care structura latentă a suprafeței joacă un rol central. </w:t>
      </w:r>
    </w:p>
    <w:p w14:paraId="31387873"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Un aspect devenit tot mai important în literatura recentă este coerența financiară a suprafeței estimate sau prognozate. Gatheral și Jacquier (2014) arată că parametrizarea SVI poate fi calibrată astfel încât să garanteze absența arbitrajului static, iar acest rezultat a devenit un standard practic pentru reprezentarea suprafețelor implicite. Ulrich, Zimmer și Merbecks (2023), într-o analiză de foarte mare amploare, arată că alegerea metodei de construcție a suprafeței și calitatea filtrării datelor au efecte importante asupra estimării și utilizării informației option-implied. În aceeași logică, Zhang, Li și Zhang (2023) insistă că forecast-ul suprafeței trebuie să fie nu doar precis, ci și compatibil cu restricțiile de no-arbitrage, altfel performanța statistică poate fi înșelătoare din punct de vedere economic. </w:t>
      </w:r>
    </w:p>
    <w:p w14:paraId="5E71A8F8" w14:textId="77777777" w:rsidR="00DE24DD" w:rsidRPr="008D2F71" w:rsidRDefault="00DE24DD"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6" w:name="_Toc227519541"/>
      <w:r w:rsidRPr="008D2F71">
        <w:rPr>
          <w:rFonts w:ascii="Times New Roman" w:eastAsia="Times New Roman" w:hAnsi="Times New Roman" w:cs="Times New Roman"/>
          <w:b/>
          <w:bCs/>
          <w:color w:val="000000" w:themeColor="text1"/>
          <w:sz w:val="28"/>
          <w:szCs w:val="28"/>
          <w:lang w:eastAsia="en-GB"/>
        </w:rPr>
        <w:lastRenderedPageBreak/>
        <w:t>2.4. Determinanții economici ai formei suprafeței: crash risk, order flow și asimetrii de piață</w:t>
      </w:r>
      <w:bookmarkEnd w:id="6"/>
    </w:p>
    <w:p w14:paraId="496C2017"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Forma suprafeței implicite nu poate fi explicată doar prin proprietăți tehnice ale modelelor de pricing. Bates (2000) interpretează skew-ul negativ persistent al opțiunilor pe S&amp;P 500 prin prisma crash risk-ului și a cererii pentru protecție în fața unor mișcări extreme ale pieței. Această interpretare este semnificativă deoarece sugerează că suprafața implică nu doar o distribuție anticipată a randamentelor, ci și o evaluare a evenimentelor de coadă și a costului asigurării împotriva acestora. Bollen și Whaley (2004) completează această perspectivă arătând că net buying pressure influențează direct forma implied volatility function, ceea ce introduce în analiza suprafeței o dimensiune clară de microstructură și dezechilibru între cerere și ofertă. Bakshi, Kapadia și Madan (2003) merg mai departe și arată că diferențele dintre opțiunile pe indice și cele pe acțiuni individuale se leagă de skewness-ul anticipat și de modul în care piața prețuiește downside risk-ul. </w:t>
      </w:r>
    </w:p>
    <w:p w14:paraId="5417DEB5"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Dennis, Mayhew și Stivers (2006) arată că inovațiile din implied volatility sunt strâns legate de randamentele activului suport și de asimetria relației randament–volatilitate. Această relație este esențială într-un context de hedging, deoarece o parte din riscul care pare inițial direcțional reapare sub forma unei deformări a suprafeței implicite atunci când piața intră într-un regim de stres. În plus, sinteza oferită de Bernales, Verousis, Voukelatos și Zhang (2020) asupra opțiunilor pe acțiuni individuale sugerează că diferențele de lichiditate, structură a cererii și caracteristici ale activului suport afectează puternic proprietățile empirice ale suprafeței. Din acest motiv, literatura pe opțiuni pe indice, în special pe S&amp;P 500, oferă un teren mai stabil pentru o analiză în care forecast-ul și hedgingul trebuie evaluate împreună. </w:t>
      </w:r>
    </w:p>
    <w:p w14:paraId="32C7A31E"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În termeni conceptuali, această literatură mută analiza implied volatility surface din zona „descrierii statistice” în zona „economiei pieței de opțiuni”. Forecast-ul suprafeței nu anticipează doar modificări de volatilitate, ci și schimbări ale primei de protecție, ale sentimentului de piață și ale intensității cererii pentru hedging. Această caracteristică explică de ce forecast-ul suprafeței poate avea valoare economică chiar și atunci când nu este perfect în termeni de eroare medie de predicție: el poate surprinde re-prețuiri ale riscului pe care măsurile agregate de volatilitate le estompează. </w:t>
      </w:r>
    </w:p>
    <w:p w14:paraId="2FC975D0" w14:textId="77777777" w:rsidR="00DE24DD" w:rsidRPr="008D2F71" w:rsidRDefault="00DE24DD"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7" w:name="_Toc227519542"/>
      <w:r w:rsidRPr="008D2F71">
        <w:rPr>
          <w:rFonts w:ascii="Times New Roman" w:eastAsia="Times New Roman" w:hAnsi="Times New Roman" w:cs="Times New Roman"/>
          <w:b/>
          <w:bCs/>
          <w:color w:val="000000" w:themeColor="text1"/>
          <w:sz w:val="28"/>
          <w:szCs w:val="28"/>
          <w:lang w:eastAsia="en-GB"/>
        </w:rPr>
        <w:lastRenderedPageBreak/>
        <w:t>2.5. Forecast-ul implied volatility surface: de la modele factoriale la cadre semi-parametrice și machine learning</w:t>
      </w:r>
      <w:bookmarkEnd w:id="7"/>
    </w:p>
    <w:p w14:paraId="5EB98414"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Literatura privind forecast-ul suprafeței s-a dezvoltat pe trei axe principale. Prima este cea factorială sau parametrică, unde suprafața este reprezentată printr-un număr redus de coeficienți sau factori, iar dinamica acestora este modelată explicit. Avantajul acestui tip de abordare este interpretabilitatea: modificările suprafeței pot fi citite în termeni de deplasări ale nivelului general, ale skew-ului sau ale curburii. Chen, Zhou și Dong (2016), de exemplu, folosesc o funcție parametrică neliniară pentru a reprezenta suprafața și un filtru Kalman nescentat pentru a urmări dinamica parametrilor, propunând un cadru dinamic de estimare și forecast. În această familie se înscriu, într-un sens mai larg, și abordările derivate din Cont și da Fonseca, Fengler et al. și Bedendo și Hodges. </w:t>
      </w:r>
    </w:p>
    <w:p w14:paraId="0E0CD31A"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A doua axă este cea semi-parametrică. Audrino și Colangelo (2010) propun un model semi-parametric bazat pe regression-tree boosting pentru forecast-ul suprafeței, tocmai pentru a depăși rigiditatea excesivă a unor reprezentări parametrice standard. Le și Zurbruegg (2014), lucrând asupra dinamicii smile-ului, arată că introducerea unor variabile suplimentare, precum volumul de tranzacționare, poate îmbunătăți forecast-ul și surprinde mai bine schimbările locale ale suprafeței. Această literatură este importantă pentru că sugerează că între modelele complet structurale și cele complet data-driven există o zonă fertilă de metode hibride, capabile să combine flexibilitatea locală cu o anumită disciplină economică. </w:t>
      </w:r>
    </w:p>
    <w:p w14:paraId="1D0B4C23"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A treia axă este cea machine learning și deep learning. Literatura recentă documentează un interes crescut pentru modele capabile să învețe direct reprezentări nelineare ale suprafeței și ale dinamicii sale. Totuși, rezultatele nu susțin neapărat ideea că modele mai complexe sunt automat superioare. Wen, Zhai, Wang și Cao (2024) arată că implied volatility este, într-o proporție remarcabilă, „aproape past-dependent”, iar modele liniare regularizate pot explica o parte foarte mare din variație, în unele cazuri comparabilă sau chiar superioară unor metode neliniare. Acest rezultat este metodologic relevant deoarece sugerează că frontiera cercetării nu constă exclusiv în sofisticarea algoritmică, ci în alegerea unei reprezentări a suprafeței care să fie, simultan, predictivă, robustă și interpretabilă. </w:t>
      </w:r>
    </w:p>
    <w:p w14:paraId="55749D53"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 xml:space="preserve">În acest peisaj, lucrările lui Bernales și Guidolin ocupă un loc aparte. Articolul din 2014 documentează explicit predictibilitatea dinamicii implied volatility surface pentru opțiuni pe acțiuni individuale și arată că mișcările suprafeței opțiunilor pe S&amp;P 500 pot ajuta la forecast-ul </w:t>
      </w:r>
      <w:r w:rsidRPr="00DE24DD">
        <w:rPr>
          <w:rFonts w:ascii="Times New Roman" w:eastAsia="Times New Roman" w:hAnsi="Times New Roman" w:cs="Times New Roman"/>
          <w:color w:val="000000" w:themeColor="text1"/>
          <w:kern w:val="0"/>
          <w:lang w:eastAsia="en-GB"/>
          <w14:ligatures w14:val="none"/>
        </w:rPr>
        <w:lastRenderedPageBreak/>
        <w:t>suprafețelor opțiunilor individuale. Articolul din 2015 oferă și o interpretare teoretică, printr-un mecanism de învățare rațională, sugerând că patternurile de predictibilitate nu sunt neapărat incompatibile cu eficiența pieței, ci pot reflecta actualizarea graduală a credințelor investitorilor. Împreună, aceste contribuții sunt importante deoarece leagă forecast-ul suprafeței de o explicație economică a dinamicii sale. </w:t>
      </w:r>
    </w:p>
    <w:p w14:paraId="75C46559"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În literatura recentă, accentul se deplasează tot mai mult către forecast-uri care respectă explicit no-arbitrage și către evaluări în afara eșantionului care folosesc date masive și filtre stricte de calitate. Din această perspectivă, modelele de forecast nu mai sunt judecate doar după RMSE, ci și după cât de coerentă și implementabilă este suprafața prognozată. Această schimbare apropie tot mai mult literatura de forecast de literatura de hedging și de administrare de portofoliu. </w:t>
      </w:r>
    </w:p>
    <w:p w14:paraId="0A70EC44" w14:textId="77777777" w:rsidR="00DE24DD" w:rsidRPr="008D2F71" w:rsidRDefault="00DE24DD" w:rsidP="00170855">
      <w:pPr>
        <w:pStyle w:val="Titlu2"/>
        <w:spacing w:line="360" w:lineRule="auto"/>
        <w:rPr>
          <w:rFonts w:ascii="Times New Roman" w:eastAsia="Times New Roman" w:hAnsi="Times New Roman" w:cs="Times New Roman"/>
          <w:b/>
          <w:bCs/>
          <w:sz w:val="28"/>
          <w:szCs w:val="28"/>
          <w:lang w:eastAsia="en-GB"/>
        </w:rPr>
      </w:pPr>
      <w:bookmarkStart w:id="8" w:name="_Toc227519543"/>
      <w:r w:rsidRPr="008D2F71">
        <w:rPr>
          <w:rFonts w:ascii="Times New Roman" w:eastAsia="Times New Roman" w:hAnsi="Times New Roman" w:cs="Times New Roman"/>
          <w:b/>
          <w:bCs/>
          <w:color w:val="000000" w:themeColor="text1"/>
          <w:sz w:val="28"/>
          <w:szCs w:val="28"/>
          <w:lang w:eastAsia="en-GB"/>
        </w:rPr>
        <w:t>2.6. Greeks și hedgingul dinamic al portofoliilor de opțiuni</w:t>
      </w:r>
      <w:bookmarkEnd w:id="8"/>
    </w:p>
    <w:p w14:paraId="29249398"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În tradiția clasică, hedgingul unei opțiuni este asociat mai ales cu neutralizarea deltei. Totuși, literatura arată clar că această viziune este insuficientă în medii în care volatilitatea este variabilă, iar suprafața implică skew și efecte de regim. Crépey (2004) arată explicit limitele delta-hedgingului în prezența riscului de volatilitate, iar Hull și White (2017) demonstrează că delta standard nu coincide întotdeauna cu delta de minimă varianță. Cu alte cuvinte, o poziție aparent protejată direcțional poate rămâne semnificativ expusă la schimbări ale volatilității implicite și la relația dintre variația spotului și variația IV. </w:t>
      </w:r>
    </w:p>
    <w:p w14:paraId="7B3EEC1B"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Din această perspectivă, grecii trebuie înțeleși ca un sistem integrat. Delta controlează expunerea de ordinul întâi la mișcarea suportului, gamma surprinde convexitatea și rolul rebalansării discrete, iar vega conectează direct portofoliul la dinamica suprafeței implicite. Literatura care tratează hedgingul în prezența smile-ului și a volatilității stocastice arată că tocmai această expunere vega devine decisivă atunci când poziția economică urmărită este una pe volatilitate, nu pe direcția suportului. Astfel, controlul deltei și al gammei nu reprezintă scopul final, ci mecanismul prin care poate fi izolată mai curat componenta de PnL asociată opiniei asupra volatilității. </w:t>
      </w:r>
    </w:p>
    <w:p w14:paraId="37F4C95C"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 xml:space="preserve">François și Stentoft (2021) duc această idee la un nivel mai aplicat, arătând că strategiile smile-implied delta și delta-gamma nu sunt suficiente pentru un hedging de minimă varianță atunci când există corelație între preț și volatilitate; în schimb, strategiile delta-gamma-vega pot performa mai bine decât benchmarkuri tradiționale. Han, Chang, Kuo și Yu (2015) ajung la concluzii </w:t>
      </w:r>
      <w:r w:rsidRPr="00DE24DD">
        <w:rPr>
          <w:rFonts w:ascii="Times New Roman" w:eastAsia="Times New Roman" w:hAnsi="Times New Roman" w:cs="Times New Roman"/>
          <w:color w:val="000000" w:themeColor="text1"/>
          <w:kern w:val="0"/>
          <w:lang w:eastAsia="en-GB"/>
          <w14:ligatures w14:val="none"/>
        </w:rPr>
        <w:lastRenderedPageBreak/>
        <w:t>convergente privind importanța tratării robuste a riscului de volatilitate, inclusiv în prezența costurilor de tranzacționare. Literatura foarte recentă despre deep hedging extinde și mai mult această direcție: François, Gauthier, Godin și Pérez-Mendoza (2024, 2025) arată că integrarea informației din întreaga implied volatility surface în deciziile de rebalansare poate îmbunătăți semnificativ performanța hedgingului în simulări și backtesting. </w:t>
      </w:r>
    </w:p>
    <w:p w14:paraId="44DDAA82"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În ansamblu, această literatură arată că problema hedgingului nu poate fi separată de problema forecast-ului suprafeței. O poziție construită pentru a exploata informație predictivă despre IV surface trebuie gestionată printr-un set de sensibilități compatibil cu această teză economică; altfel, rezultatul empiric poate fi dominat de expuneri nedorite la spot sau la deformări necontrolate ale suprafeței. De aici rezultă și relevanța unui design în care forecast-ul, Greeks și hedgingul sunt evaluate împreună. </w:t>
      </w:r>
    </w:p>
    <w:p w14:paraId="06E32023" w14:textId="77777777" w:rsidR="00DE24DD" w:rsidRPr="008D2F71" w:rsidRDefault="00DE24DD"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9" w:name="_Toc227519544"/>
      <w:r w:rsidRPr="008D2F71">
        <w:rPr>
          <w:rFonts w:ascii="Times New Roman" w:eastAsia="Times New Roman" w:hAnsi="Times New Roman" w:cs="Times New Roman"/>
          <w:b/>
          <w:bCs/>
          <w:color w:val="000000" w:themeColor="text1"/>
          <w:sz w:val="28"/>
          <w:szCs w:val="28"/>
          <w:lang w:eastAsia="en-GB"/>
        </w:rPr>
        <w:t>2.7. Valoarea economică a forecast-ului: criteriul final de validare</w:t>
      </w:r>
      <w:bookmarkEnd w:id="9"/>
    </w:p>
    <w:p w14:paraId="52548933"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Un punct central al literaturii recente este distincția dintre performanța statistică și performanța economică. Christoffersen și Jacobs (2004) arată că alegerea funcției de pierdere este esențială în evaluarea modelelor de opțiuni: un model poate părea superior din perspectiva erorii de pricing sau a erorii în implied volatility și totuși să fie inferior pentru hedging sau pentru decizii de tranzacționare. Această observație schimbă standardul de validare al cercetării aplicate asupra suprafeței implicite. Nu este suficient să se demonstreze că un model prezice bine; este necesar să se arate și că această predicție poate fi convertită într-o regulă economică relevantă. </w:t>
      </w:r>
    </w:p>
    <w:p w14:paraId="102042FF"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 xml:space="preserve">Bernales și Guidolin (2014) rămân una dintre cele mai importante referințe în această direcție, deoarece merg explicit de la predictibilitatea IVS </w:t>
      </w:r>
      <w:r w:rsidRPr="008D2F71">
        <w:rPr>
          <w:rFonts w:ascii="Times New Roman" w:eastAsia="Times New Roman" w:hAnsi="Times New Roman" w:cs="Times New Roman"/>
          <w:color w:val="000000" w:themeColor="text1"/>
          <w:kern w:val="0"/>
          <w:lang w:eastAsia="en-GB"/>
          <w14:ligatures w14:val="none"/>
        </w:rPr>
        <w:t>la economic value tests. Ei</w:t>
      </w:r>
      <w:r w:rsidRPr="00DE24DD">
        <w:rPr>
          <w:rFonts w:ascii="Times New Roman" w:eastAsia="Times New Roman" w:hAnsi="Times New Roman" w:cs="Times New Roman"/>
          <w:color w:val="000000" w:themeColor="text1"/>
          <w:kern w:val="0"/>
          <w:lang w:eastAsia="en-GB"/>
          <w14:ligatures w14:val="none"/>
        </w:rPr>
        <w:t xml:space="preserve"> arată că patternurile exploatabile din dinamica suprafeței pot genera abnormal risk-adjusted returns înainte de costuri de tranzacționare, folosind straddle-uri și portofolii delta-hedged. Liu, Liang, Zhang, Lung și Ullah (2021) continuă ideea într-un alt cadru, raportând că forecast-urile mai bune ale implied volatility pot susține strategii de trading pe opțiuni, deși eficiența diferă în funcție de modul de implementare. Guidolin și Wang (2023) extind discuția la portofolii optime conduse de forecast-ul suprafeței, găsind îmbunătățiri ale performanței out-of-sample pentru portofolii minimum-variance. </w:t>
      </w:r>
    </w:p>
    <w:p w14:paraId="40B6DF78"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 xml:space="preserve">Totuși, literatura rămâne prudentă. Beneficiile economice ale forecast-ului tind să se erodeze atunci când sunt introduse costurile de tranzacționare, limitele de implementare, latența și </w:t>
      </w:r>
      <w:r w:rsidRPr="00DE24DD">
        <w:rPr>
          <w:rFonts w:ascii="Times New Roman" w:eastAsia="Times New Roman" w:hAnsi="Times New Roman" w:cs="Times New Roman"/>
          <w:color w:val="000000" w:themeColor="text1"/>
          <w:kern w:val="0"/>
          <w:lang w:eastAsia="en-GB"/>
          <w14:ligatures w14:val="none"/>
        </w:rPr>
        <w:lastRenderedPageBreak/>
        <w:t>frecvențe realiste de rebalansare. În acest sens, contribuțiile recente din zona deep hedging sunt valoroase tocmai pentru că încearcă să evalueze performanța într-un mediu mai apropiat de piața reală, unde există costuri și decizii de no-trade. Rezultă astfel că valoarea economică a forecast-ului nu este o consecință automată a unei erori mici de predicție, ci un rezultat empiric separat, care trebuie demonstrat în mod explicit într-un cadru de portofoliu și risk management. </w:t>
      </w:r>
    </w:p>
    <w:p w14:paraId="42A7C63A" w14:textId="77777777" w:rsidR="00DE24DD" w:rsidRPr="008D2F71" w:rsidRDefault="00DE24DD"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10" w:name="_Toc227519545"/>
      <w:r w:rsidRPr="008D2F71">
        <w:rPr>
          <w:rFonts w:ascii="Times New Roman" w:eastAsia="Times New Roman" w:hAnsi="Times New Roman" w:cs="Times New Roman"/>
          <w:b/>
          <w:bCs/>
          <w:color w:val="000000" w:themeColor="text1"/>
          <w:sz w:val="28"/>
          <w:szCs w:val="28"/>
          <w:lang w:eastAsia="en-GB"/>
        </w:rPr>
        <w:t>2.8. Sinteză critică și gap-ul din literatură</w:t>
      </w:r>
      <w:bookmarkEnd w:id="10"/>
    </w:p>
    <w:p w14:paraId="396C6B6C"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Privită în ansamblu, literatura permite formularea a trei concluzii robuste. În primul rând, implied volatility surface este un obiect informațional bogat, care reflectă simultan anticipații privind volatilitatea, evaluarea downside risk-ului, dezechilibre de piață și prime de risc. În al doilea rând, suprafața prezintă suficientă regularitate structurală pentru a justifica forecast-ul, iar această regularitate poate fi surprinsă prin factori, parametri sau metode flexibile. În al treilea rând, hedgingul portofoliilor de opțiuni nu poate fi redus la neutralizarea deltei; într-un cadru în care obiectivul economic privește volatilitatea, controlul gamma și expunerea vega devin la fel de relevante ca expunerea la spot. </w:t>
      </w:r>
    </w:p>
    <w:p w14:paraId="0F61EB99" w14:textId="77777777" w:rsidR="00DE24DD" w:rsidRP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În același timp, literatura rămâne fragmentată. O parte importantă a studiilor se oprește la modelarea sau forecast-ul suprafeței fără a integra explicit problema sensibilităților portofoliului și a hedgingului. O altă parte tratează hedgingul ca problemă de replicare sau minimizare a varianței, fără a-l conecta sistematic la un forecast structural al implied volatility surface. Există și contribuții care ajung la evaluarea valorii economice, dar acestea folosesc adesea reguli de trading relativ simple ori cadre în care costurile de tranzacționare și frecvența realistă a rebalansării nu sunt tratate exhaustiv. Tocmai această separare între forecast, Greeks și evaluarea economică explică de ce literatura nu oferă încă un consens solid asupra modului optim de integrare a acestor componente într-un singur design empiric. </w:t>
      </w:r>
    </w:p>
    <w:p w14:paraId="3A980C7F" w14:textId="77777777" w:rsidR="00DE24DD" w:rsidRDefault="00DE24DD"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 xml:space="preserve">De aici rezultă un gap de cercetare bine conturat: nevoia unui cadru integrat care să unească prognoza suprafeței volatilității implicite, transformarea forecast-ului într-o poziție economică pe volatilitate și administrarea portofoliului printr-un mecanism explicit de control al sensibilităților. Cu alte cuvinte, literatura oferă piese importante ale problemei, dar mai rar le reunește riguros într-o arhitectură aplicată în care forecast-ul IV surface, controlul deltei și gammei și evaluarea valorii economice să fie testate împreună, pe un activ suport lichid și într-un cadru empiric realist. Această intersecție între literaturile privind dinamica suprafeței, hedgingul cu smile și utilitatea economică </w:t>
      </w:r>
      <w:r w:rsidRPr="00DE24DD">
        <w:rPr>
          <w:rFonts w:ascii="Times New Roman" w:eastAsia="Times New Roman" w:hAnsi="Times New Roman" w:cs="Times New Roman"/>
          <w:color w:val="000000" w:themeColor="text1"/>
          <w:kern w:val="0"/>
          <w:lang w:eastAsia="en-GB"/>
          <w14:ligatures w14:val="none"/>
        </w:rPr>
        <w:lastRenderedPageBreak/>
        <w:t>a forecast-ului rămâne, în prezent, una dintre zonele cele mai fertile pentru cercetarea aplicată asupra portofoliilor de opțiuni.</w:t>
      </w:r>
    </w:p>
    <w:p w14:paraId="13A56861" w14:textId="6B42EF10" w:rsidR="00374FF3" w:rsidRPr="008D2F71" w:rsidRDefault="00374FF3" w:rsidP="00170855">
      <w:pPr>
        <w:pStyle w:val="Titlu1"/>
        <w:spacing w:line="360" w:lineRule="auto"/>
        <w:rPr>
          <w:rFonts w:ascii="Times New Roman" w:eastAsia="Times New Roman" w:hAnsi="Times New Roman" w:cs="Times New Roman"/>
          <w:b/>
          <w:bCs/>
          <w:color w:val="000000" w:themeColor="text1"/>
          <w:sz w:val="32"/>
          <w:szCs w:val="32"/>
          <w:lang w:eastAsia="en-GB"/>
        </w:rPr>
      </w:pPr>
      <w:bookmarkStart w:id="11" w:name="_Toc227519546"/>
      <w:r w:rsidRPr="008D2F71">
        <w:rPr>
          <w:rFonts w:ascii="Times New Roman" w:eastAsia="Times New Roman" w:hAnsi="Times New Roman" w:cs="Times New Roman"/>
          <w:b/>
          <w:bCs/>
          <w:color w:val="000000" w:themeColor="text1"/>
          <w:sz w:val="32"/>
          <w:szCs w:val="32"/>
          <w:lang w:eastAsia="en-GB"/>
        </w:rPr>
        <w:t>3. F</w:t>
      </w:r>
      <w:r w:rsidR="00D3138A">
        <w:rPr>
          <w:rFonts w:ascii="Times New Roman" w:eastAsia="Times New Roman" w:hAnsi="Times New Roman" w:cs="Times New Roman"/>
          <w:b/>
          <w:bCs/>
          <w:color w:val="000000" w:themeColor="text1"/>
          <w:sz w:val="32"/>
          <w:szCs w:val="32"/>
          <w:lang w:eastAsia="en-GB"/>
        </w:rPr>
        <w:t>UNDAMENT TEORETIC SI IPOTEZE</w:t>
      </w:r>
      <w:bookmarkEnd w:id="11"/>
    </w:p>
    <w:p w14:paraId="4BA21B58" w14:textId="77777777" w:rsidR="00374FF3" w:rsidRPr="008D2F71" w:rsidRDefault="00374FF3"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12" w:name="_Toc227519547"/>
      <w:r w:rsidRPr="008D2F71">
        <w:rPr>
          <w:rFonts w:ascii="Times New Roman" w:eastAsia="Times New Roman" w:hAnsi="Times New Roman" w:cs="Times New Roman"/>
          <w:b/>
          <w:bCs/>
          <w:color w:val="000000" w:themeColor="text1"/>
          <w:sz w:val="28"/>
          <w:szCs w:val="28"/>
          <w:lang w:eastAsia="en-GB"/>
        </w:rPr>
        <w:t>3.1. Evaluarea opțiunilor și semnificația economică a volatilității implicite</w:t>
      </w:r>
      <w:bookmarkEnd w:id="12"/>
    </w:p>
    <w:p w14:paraId="24FFCB19"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Punctul de plecare al oricărei analize riguroase asupra opțiunilor îl reprezintă paradigma de evaluare formulată de Black și Scholes și dezvoltată de Merton. Importanța acestui cadru nu constă doar în faptul că oferă o formulă de preț, ci și în faptul că stabilește legătura fundamentală dintre evaluare și acoperirea riscului. În viziunea clasică, valoarea unei opțiuni poate fi înțeleasă prin construirea unui portofoliu care replică local payoff-ul și neutralizează riscul generat de mișcarea activului suport. Astfel, teoria modernă a opțiunilor este, încă de la origine, simultan o teorie a prețului și o teorie a sensibilităților. </w:t>
      </w:r>
    </w:p>
    <w:p w14:paraId="041F468B"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Cu toate acestea, aplicarea empirică a modelului clasic a arătat rapid că ipoteza unei volatilități constante este prea restrictivă pentru realitatea piețelor. Prețurile observate ale opțiunilor implică niveluri diferite ale volatilității pentru strike-uri și maturități diferite, iar această abatere sistematică față de modelul standard a dus la apariția conceptelor de smile, skew și, în final, de suprafață a volatilității implicite. În acest sens, volatilitatea implicită nu trebuie privită ca un simplu parametru tehnic extras dintr-o formulă, ci ca un obiect economic sintetizat de piață, care reflectă simultan anticipații privind volatilitatea viitoare, prețuirea riscului de coadă și preferințele pentru protecție în raport cu diferite orizonturi și regiuni ale distribuției randamentelor. </w:t>
      </w:r>
    </w:p>
    <w:p w14:paraId="3EE1E869"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Extensiile cu volatilitate stocastică au consolidat această schimbare de perspectivă. Literatura inițiată de Hull și White, Stein și Stein și dusă mai departe de Heston a arătat că formele empirice observate ale suprafeței volatilității implicite sunt mult mai ușor de înțeles într-un cadru în care volatilitatea are propria dinamică și poate fi corelată cu randamentele activului suport. Din punct de vedere teoretic, acest lucru este important pentru că deplasează analiza de la o lume în care riscul poate fi comprimat într-un singur parametru la o lume în care structura volatilității este ea însăși o variabilă de stare relevantă pentru evaluare și pentru managementul riscului. </w:t>
      </w:r>
    </w:p>
    <w:p w14:paraId="7B9DDA89"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 xml:space="preserve">În consecință, pentru o cercetare axată pe managementul unui portofoliu de opțiuni, volatilitatea implicită nu mai poate fi tratată ca un simplu input scalar. Obiectul teoretic relevant </w:t>
      </w:r>
      <w:r w:rsidRPr="00374FF3">
        <w:rPr>
          <w:rFonts w:ascii="Times New Roman" w:eastAsia="Times New Roman" w:hAnsi="Times New Roman" w:cs="Times New Roman"/>
          <w:color w:val="000000" w:themeColor="text1"/>
          <w:kern w:val="0"/>
          <w:lang w:eastAsia="en-GB"/>
          <w14:ligatures w14:val="none"/>
        </w:rPr>
        <w:lastRenderedPageBreak/>
        <w:t>devine suprafața volatilității implicite, deoarece tocmai această structură concentrează informația pe care piața o încorporează despre risc, maturitate și distribuția posibilă a rezultatelor viitoare. Această trecere de la volatilitatea scalară la o structură bidimensională reprezintă baza conceptuală a întregului demers ulterior privind forecast-ul, hedgingul și evaluarea valorii economice a unei strategii pe volatilitate. </w:t>
      </w:r>
    </w:p>
    <w:p w14:paraId="71D5A42A" w14:textId="77777777" w:rsidR="00374FF3" w:rsidRPr="008D2F71" w:rsidRDefault="00374FF3"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13" w:name="_Toc227519548"/>
      <w:r w:rsidRPr="008D2F71">
        <w:rPr>
          <w:rFonts w:ascii="Times New Roman" w:eastAsia="Times New Roman" w:hAnsi="Times New Roman" w:cs="Times New Roman"/>
          <w:b/>
          <w:bCs/>
          <w:color w:val="000000" w:themeColor="text1"/>
          <w:sz w:val="28"/>
          <w:szCs w:val="28"/>
          <w:lang w:eastAsia="en-GB"/>
        </w:rPr>
        <w:t>3.2. Suprafața volatilității implicite ca variabilă de stare pentru managementul portofoliului de opțiuni</w:t>
      </w:r>
      <w:bookmarkEnd w:id="13"/>
    </w:p>
    <w:p w14:paraId="2C07DCC4"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Odată acceptată ideea că piața prețuiește opțiunile printr-o structură de volatilitate dependentă de strike și maturitate, suprafața volatilității implicite devine mai mult decât o reprezentare descriptivă. Ea capătă statutul de variabilă de stare pentru portofoliile de opțiuni, deoarece orice modificare a formei ei afectează simultan evaluarea contractelor, sensibilitățile agregate ale portofoliului și, în final, performanța economică a poziției. Literatura asupra dinamicii suprafeței a arătat în mod explicit că implied volatility surface nu este statică și că modificările sale în timp generează un risc distinct, care nu poate fi redus la simpla mișcare a activului suport. Cont și da Fonseca formulează foarte clar această idee atunci când arată că dinamica suprafeței generează vega risk în portofoliile de opțiuni și că această dinamică nu este tratată adecvat de abordările pur statice. </w:t>
      </w:r>
    </w:p>
    <w:p w14:paraId="44AD0845"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Această observație are o consecință teoretică directă. Dacă un portofoliu este compus din opțiuni cu maturități și strike-uri diferite, atunci riscul său nu mai poate fi înțeles numai prin prisma unei expuneri direcționale la activul suport. Deplasările paralele ale suprafeței, modificările skew-ului, schimbările de curbură sau diferențele de reacție între maturități pot altera semnificativ valoarea portofoliului chiar și în absența unei mișcări spot mari. În acest sens, suprafața volatilității implicite nu este un element auxiliar al analizei, ci chiar mediul în care se organizează riscul portofoliului. </w:t>
      </w:r>
    </w:p>
    <w:p w14:paraId="3D231A54"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Literatura care propune reprezentări factoriale ale suprafeței întărește această concluzie. Chiar dacă suprafața este un obiect bidimensional complex, mișcările ei par să poată fi rezumate printr-un număr redus de factori latenți, ceea ce sugerează că dinamica ei este suficient de structurată pentru a fi modelată și, într-o anumită măsură, prevăzută. Acest punct este esențial deoarece fundamentează teoretic interesul pentru forecast-ul suprafeței: el nu pornește de la presupunerea nerealistă că piața este mecanic predictibilă, ci de la observația că forma și deplasările suprafeței prezintă regularități economice și statistice care pot fi exploatate analitic. </w:t>
      </w:r>
    </w:p>
    <w:p w14:paraId="06B5EB80"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lastRenderedPageBreak/>
        <w:t>În literatura mai recentă, un accent tot mai puternic este pus pe coerența financiară a suprafeței. Gatheral și Jacquier arată că parametrizarea SVI poate fi calibrată astfel încât să garanteze absența arbitrajului static, ceea ce sugerează că o suprafață relevantă pentru forecast și decizie economică nu trebuie să fie doar flexibilă statistic, ci și compatibilă cu restricțiile fundamentale ale pieței. Din perspectivă teoretică, această idee este importantă deoarece implică faptul că un forecast util nu este orice aproximare a suprafeței viitoare, ci o aproximație care rămâne admisibilă financiar. </w:t>
      </w:r>
    </w:p>
    <w:p w14:paraId="0C183EF5" w14:textId="77777777" w:rsidR="00374FF3" w:rsidRPr="008D2F71" w:rsidRDefault="00374FF3"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14" w:name="_Toc227519549"/>
      <w:r w:rsidRPr="008D2F71">
        <w:rPr>
          <w:rFonts w:ascii="Times New Roman" w:eastAsia="Times New Roman" w:hAnsi="Times New Roman" w:cs="Times New Roman"/>
          <w:b/>
          <w:bCs/>
          <w:color w:val="000000" w:themeColor="text1"/>
          <w:sz w:val="28"/>
          <w:szCs w:val="28"/>
          <w:lang w:eastAsia="en-GB"/>
        </w:rPr>
        <w:t>3.3. Indicatorii de sensibilitate și arhitectura riscului unui portofoliu de opțiuni</w:t>
      </w:r>
      <w:bookmarkEnd w:id="14"/>
    </w:p>
    <w:p w14:paraId="1933EBFD"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Dacă suprafața volatilității implicite descrie geometria pieței opțiunilor, indicatorii de sensibilitate descriu modul în care această geometrie este transmisă în valoarea portofoliului. În sens teoretic, indicatorii de sensibilitate nu sunt simple convenții de piață, ci expresia locală a relației dintre prețul opțiunii și factorii fundamentali de risc. Ei permit descompunerea variației valorii portofoliului în componente asociate mișcării activului suport, modificării volatilității, trecerii timpului și, într-o măsură mai mică, variației ratelor de dobândă. Din această perspectivă, grecii reprezintă puntea operațională dintre teoria evaluării și managementul efectiv al riscului. </w:t>
      </w:r>
    </w:p>
    <w:p w14:paraId="77F0F81D"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În cadrul portofoliilor de opțiuni, delta rămâne sensibilitatea centrală, deoarece măsoară expunerea de ordinul întâi la mișcarea activului suport și stă la baza hedgingului direcțional. Totuși, tocmai natura neliniară a payoff-urilor face ca această măsură să fie insuficientă în practică. Gamma devine esențială deoarece surprinde curbura relației dintre valoarea portofoliului și prețul activului suport și explică de ce un portofoliu aparent bine acoperit prin delta poate genera totuși deviații importante atunci când mișcările pieței sunt ample sau când rebalansarea este discretă. Astfel, înțelegerea riscului unui portofoliu de opțiuni presupune în mod necesar depășirea unei perspective strict liniare asupra expunerii. </w:t>
      </w:r>
    </w:p>
    <w:p w14:paraId="726B5B01"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 xml:space="preserve">Într-o analiză centrată pe volatilitatea implicită, vega capătă însă un statut special. În măsura în care suprafața IV este tratată ca variabilă de stare, expunerea portofoliului la modificările suprafeței devine o componentă economică de prim ordin. Literatura de hedging cu volatilitate arată explicit că un portofoliu poate fi relativ bine protejat față de mișcarea activului suport și totuși puternic vulnerabil la reconfigurarea suprafeței implicite. Prin urmare, un portofoliu de opțiuni trebuie înțeles mai degrabă ca un vector de sensibilități agregate decât ca o simplă sumă de </w:t>
      </w:r>
      <w:r w:rsidRPr="00374FF3">
        <w:rPr>
          <w:rFonts w:ascii="Times New Roman" w:eastAsia="Times New Roman" w:hAnsi="Times New Roman" w:cs="Times New Roman"/>
          <w:color w:val="000000" w:themeColor="text1"/>
          <w:kern w:val="0"/>
          <w:lang w:eastAsia="en-GB"/>
          <w14:ligatures w14:val="none"/>
        </w:rPr>
        <w:lastRenderedPageBreak/>
        <w:t>contracte. Ceea ce contează economic nu este doar ce opțiuni sunt deținute, ci profilul combinat al deltei, gammei și vegăi pe care acestea îl generează. </w:t>
      </w:r>
    </w:p>
    <w:p w14:paraId="1B8F39EA"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Această perspectivă este deosebit de importantă pentru strategiile care urmăresc să monetizeze informația din suprafața volatilității implicite. În astfel de cazuri, obiectivul nu este doar obținerea unei evaluări corecte a opțiunilor, ci și proiectarea unui portofoliu în care componenta de performanță asociată volatilității să poată fi separată cât mai clar de expunerile direcționale sau de convexitate. În consecință, teoria sensibilităților nu apare aici ca anexă tehnică a metodologiei, ci ca element central al mecanismului prin care forecast-ul poate deveni economic relevant. </w:t>
      </w:r>
    </w:p>
    <w:p w14:paraId="60AD85EC" w14:textId="77777777" w:rsidR="00374FF3" w:rsidRPr="008D2F71" w:rsidRDefault="00374FF3"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15" w:name="_Toc227519550"/>
      <w:r w:rsidRPr="008D2F71">
        <w:rPr>
          <w:rFonts w:ascii="Times New Roman" w:eastAsia="Times New Roman" w:hAnsi="Times New Roman" w:cs="Times New Roman"/>
          <w:b/>
          <w:bCs/>
          <w:color w:val="000000" w:themeColor="text1"/>
          <w:sz w:val="28"/>
          <w:szCs w:val="28"/>
          <w:lang w:eastAsia="en-GB"/>
        </w:rPr>
        <w:t>3.4. Acoperirea delta-gamma și izolarea expunerii la volatilitate</w:t>
      </w:r>
      <w:bookmarkEnd w:id="15"/>
    </w:p>
    <w:p w14:paraId="7BF7863F"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Din punct de vedere teoretic, acoperirea delta-gamma poate fi înțeleasă drept un mecanism de purificare parțială a expunerii portofoliului. Neutralizarea deltei reduce sensibilitatea locală de ordinul întâi la mișcarea activului suport, iar neutralizarea gammei reduce efectele convexității locale și, implicit, parte din eroarea generată de rebalansarea discretă. În contextul unui portofoliu construit pentru a exprima o opinie asupra volatilității implicite, rolul unei astfel de acoperiri este clar: diminuarea componentei de performanță generate de mișcările spotului, astfel încât componenta asociată volatilității să poată fi observată și evaluată mai distinct. </w:t>
      </w:r>
    </w:p>
    <w:p w14:paraId="61E62515"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Totuși, literatura arată la fel de clar că acoperirea delta-gamma nu rezolvă integral problema riscului. François și Stentoft arată că strategiile bazate doar pe smile-implied delta și delta-gamma nu ating, în general, un hedging de minimă varianță atunci când există corelație între preț și volatilitate. Cu alte cuvinte, chiar și după reducerea expunerii la mișcarea suportului, portofoliul rămâne vulnerabil la dinamica suprafeței implicite și, în special, la dimensiunea sa vega. Această concluzie este importantă deoarece arată că acoperirea delta-gamma nu trebuie interpretată ca eliminare completă a riscului, ci ca un pas necesar pentru a face mai transparentă sursa de PnL pe care se bazează strategia. </w:t>
      </w:r>
    </w:p>
    <w:p w14:paraId="55297CC1"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 xml:space="preserve">Aceeași idee este amplificată în literatura foarte recentă privind deep hedging. Lucrările lui François, Gauthier, Godin și Pérez-Mendoza sugerează că folosirea explicită a informației din suprafața volatilității implicite în deciziile de rebalansare poate îmbunătăți performanța hedgingului în raport cu benchmarkuri convenționale. Importanța teoretică a acestor contribuții nu constă doar în sofisticarea tehnică, ci în faptul că întăresc ideea că forecast-ul suprafeței și </w:t>
      </w:r>
      <w:r w:rsidRPr="00374FF3">
        <w:rPr>
          <w:rFonts w:ascii="Times New Roman" w:eastAsia="Times New Roman" w:hAnsi="Times New Roman" w:cs="Times New Roman"/>
          <w:color w:val="000000" w:themeColor="text1"/>
          <w:kern w:val="0"/>
          <w:lang w:eastAsia="en-GB"/>
          <w14:ligatures w14:val="none"/>
        </w:rPr>
        <w:lastRenderedPageBreak/>
        <w:t>mecanismul de hedging nu sunt domenii separate, ci două părți ale aceleiași probleme de administrare a riscului. </w:t>
      </w:r>
    </w:p>
    <w:p w14:paraId="33A3E80F"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Prin urmare, într-un cadru orientat spre managementul unui portofoliu de opțiuni, acoperirea delta-gamma trebuie înțeleasă ca o tehnică de izolare relativă a expunerii la volatilitate, nu ca scop final. Ea creează condițiile teoretice pentru evaluarea mai curată a unei strategii bazate pe forecast-ul suprafeței IV, tocmai pentru că reduce, fără a elimina complet, influența altor surse de risc asupra performanței portofoliului. </w:t>
      </w:r>
    </w:p>
    <w:p w14:paraId="320A492A" w14:textId="77777777" w:rsidR="00374FF3" w:rsidRPr="008D2F71" w:rsidRDefault="00374FF3"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16" w:name="_Toc227519551"/>
      <w:r w:rsidRPr="008D2F71">
        <w:rPr>
          <w:rFonts w:ascii="Times New Roman" w:eastAsia="Times New Roman" w:hAnsi="Times New Roman" w:cs="Times New Roman"/>
          <w:b/>
          <w:bCs/>
          <w:color w:val="000000" w:themeColor="text1"/>
          <w:sz w:val="28"/>
          <w:szCs w:val="28"/>
          <w:lang w:eastAsia="en-GB"/>
        </w:rPr>
        <w:t>3.5. De la forecast-ul suprafeței la valoarea economică a informației</w:t>
      </w:r>
      <w:bookmarkEnd w:id="16"/>
    </w:p>
    <w:p w14:paraId="4FA58F32"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Dacă suprafața volatilității implicite este o variabilă de stare relevantă, iar dinamica ei este suficient de structurată pentru a fi modelată, atunci forecast-ul suprafeței poate fi interpretat ca sursă potențială de semnal economic. În termeni conceptuali, diferența dintre suprafața prognozată și cea observată poate fi citită ca o abatere între prețuirea curentă a volatilității și valoarea ei condiționată de informația disponibilă. Această abatere poate susține selecția pozițiilor pe volatilitate și, implicit, proiectarea unui portofoliu care încearcă să monetizeze informația conținută în forecast. Literatura lui Bernales și Guidolin merge exact în această direcție, arătând că dinamica suprafeței implicite conține patternuri exploatabile și că acestea pot avea valoare economică, nu doar interes statistic. </w:t>
      </w:r>
    </w:p>
    <w:p w14:paraId="1D73612F"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Totuși, literatura asupra evaluării modelelor de opțiuni avertizează în mod repetat că performanța statistică și performanța economică nu coincid automat. Christoffersen și Jacobs arată că modelele trebuie judecate în raport cu funcția de pierdere relevantă scopului utilizatorului și că un model superior în termeni de eroare de pricing sau eroare de volatilitate implicită poate fi inferior într-un context de hedging sau trading. Această observație schimbă standardul teoretic de validare al unui forecast: nu este suficient ca el să reducă eroarea medie de predicție; trebuie să poată susține și o decizie economică coerentă. </w:t>
      </w:r>
    </w:p>
    <w:p w14:paraId="6E6410C1"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 xml:space="preserve">Literatura mai recentă întărește această perspectivă din două direcții. Pe de o parte, cercetări precum cea a lui Guidolin și Wang arată că forecast-urile suprafeței implicite pot îmbunătăți performanța unor portofolii out-of-sample, sugerând că informația din IVS are valoare pentru managementul portofoliului. Pe de altă parte, lucrări recente precum cea a lui Wen și coautorii arată că implied volatility este profund dependentă de trecut și că modele relativ simple </w:t>
      </w:r>
      <w:r w:rsidRPr="00374FF3">
        <w:rPr>
          <w:rFonts w:ascii="Times New Roman" w:eastAsia="Times New Roman" w:hAnsi="Times New Roman" w:cs="Times New Roman"/>
          <w:color w:val="000000" w:themeColor="text1"/>
          <w:kern w:val="0"/>
          <w:lang w:eastAsia="en-GB"/>
          <w14:ligatures w14:val="none"/>
        </w:rPr>
        <w:lastRenderedPageBreak/>
        <w:t>pot rămâne foarte competitive, ceea ce înseamnă că valoarea economică a forecast-ului nu depinde neapărat de complexitatea algoritmică, ci de robustețea și relevanța lui decizională. </w:t>
      </w:r>
    </w:p>
    <w:p w14:paraId="0FE39D4C"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În consecință, fundamentul teoretic al unei strategii bazate pe forecast-ul suprafeței implicite nu constă doar în ideea că piața poate fi prezisă parțial, ci în ideea mai puternică potrivit căreia această predictibilitate poate fi convertită într-o poziție economică evaluabilă într-un cadru de portofoliu. Aici apare legătura directă dintre forecast, sensibilități și valoarea economică a informației: suprafața trebuie reprezentată adecvat, semnalul trebuie transpus în poziții, iar portofoliul trebuie gestionat printr-un mecanism de acoperire suficient de riguros încât performanța sa să reflecte într-adevăr informația pe care forecast-ul o conține. </w:t>
      </w:r>
    </w:p>
    <w:p w14:paraId="2A1636B7" w14:textId="77777777" w:rsidR="00374FF3" w:rsidRPr="008D2F71" w:rsidRDefault="00374FF3" w:rsidP="00170855">
      <w:pPr>
        <w:pStyle w:val="Titlu2"/>
        <w:spacing w:line="360" w:lineRule="auto"/>
        <w:rPr>
          <w:rFonts w:ascii="Times New Roman" w:eastAsia="Times New Roman" w:hAnsi="Times New Roman" w:cs="Times New Roman"/>
          <w:b/>
          <w:bCs/>
          <w:color w:val="000000" w:themeColor="text1"/>
          <w:sz w:val="28"/>
          <w:szCs w:val="28"/>
          <w:lang w:eastAsia="en-GB"/>
        </w:rPr>
      </w:pPr>
      <w:bookmarkStart w:id="17" w:name="_Toc227519552"/>
      <w:r w:rsidRPr="008D2F71">
        <w:rPr>
          <w:rFonts w:ascii="Times New Roman" w:eastAsia="Times New Roman" w:hAnsi="Times New Roman" w:cs="Times New Roman"/>
          <w:b/>
          <w:bCs/>
          <w:color w:val="000000" w:themeColor="text1"/>
          <w:sz w:val="28"/>
          <w:szCs w:val="28"/>
          <w:lang w:eastAsia="en-GB"/>
        </w:rPr>
        <w:t>3.6. Ipoteze</w:t>
      </w:r>
      <w:bookmarkEnd w:id="17"/>
    </w:p>
    <w:p w14:paraId="313DD69C"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Pornind de la cadrul teoretic dezvoltat mai sus, pot fi formulate următoarele ipoteze de cercetare.</w:t>
      </w:r>
    </w:p>
    <w:p w14:paraId="2C5EE721" w14:textId="35E9884D" w:rsidR="00374FF3" w:rsidRPr="00374FF3" w:rsidRDefault="009F6D0C" w:rsidP="00170855">
      <w:p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b/>
          <w:bCs/>
          <w:color w:val="000000" w:themeColor="text1"/>
          <w:kern w:val="0"/>
          <w:lang w:eastAsia="en-GB"/>
          <w14:ligatures w14:val="none"/>
        </w:rPr>
        <w:t>I</w:t>
      </w:r>
      <w:r w:rsidR="00374FF3" w:rsidRPr="00374FF3">
        <w:rPr>
          <w:rFonts w:ascii="Times New Roman" w:eastAsia="Times New Roman" w:hAnsi="Times New Roman" w:cs="Times New Roman"/>
          <w:b/>
          <w:bCs/>
          <w:color w:val="000000" w:themeColor="text1"/>
          <w:kern w:val="0"/>
          <w:lang w:eastAsia="en-GB"/>
          <w14:ligatures w14:val="none"/>
        </w:rPr>
        <w:t>1. Suprafața volatilității implicite a opțiunilor pe S&amp;P 500 prezintă suficientă persistență și structură pentru a permite prognoze relevante în afara eșantionului.</w:t>
      </w:r>
    </w:p>
    <w:p w14:paraId="4FD5A944"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Această ipoteză derivă din literatura care tratează suprafața IV ca proces dinamic cu regularități persistente și cu factori latenți interpretabili. Ea nu presupune predictibilitate perfectă, ci doar existența unei structuri suficient de stabile pentru ca forecast-ul să fie informativ din punct de vedere economic. </w:t>
      </w:r>
    </w:p>
    <w:p w14:paraId="52CB6C18" w14:textId="4347CCBB" w:rsidR="00374FF3" w:rsidRPr="00374FF3" w:rsidRDefault="009F6D0C" w:rsidP="00170855">
      <w:p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b/>
          <w:bCs/>
          <w:color w:val="000000" w:themeColor="text1"/>
          <w:kern w:val="0"/>
          <w:lang w:eastAsia="en-GB"/>
          <w14:ligatures w14:val="none"/>
        </w:rPr>
        <w:t>I</w:t>
      </w:r>
      <w:r w:rsidR="00374FF3" w:rsidRPr="00374FF3">
        <w:rPr>
          <w:rFonts w:ascii="Times New Roman" w:eastAsia="Times New Roman" w:hAnsi="Times New Roman" w:cs="Times New Roman"/>
          <w:b/>
          <w:bCs/>
          <w:color w:val="000000" w:themeColor="text1"/>
          <w:kern w:val="0"/>
          <w:lang w:eastAsia="en-GB"/>
          <w14:ligatures w14:val="none"/>
        </w:rPr>
        <w:t>2. Abaterile dintre suprafața volatilității implicite prognozată și cea observată conțin informație economică relevantă pentru construirea unor poziții pe volatilitate.</w:t>
      </w:r>
    </w:p>
    <w:p w14:paraId="60FEBF1E"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Această ipoteză transpune predictibilitatea statistică în limbaj economic. Dacă forecast-ul este relevant, atunci eroarea lui nu trebuie interpretată doar ca abatere tehnică, ci și ca posibil semnal privind sub- sau supraevaluarea relativă a unor regiuni ale suprafeței implicite. </w:t>
      </w:r>
    </w:p>
    <w:p w14:paraId="27F6B90B" w14:textId="14A83AA1" w:rsidR="00374FF3" w:rsidRPr="00374FF3" w:rsidRDefault="009F6D0C" w:rsidP="00170855">
      <w:p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b/>
          <w:bCs/>
          <w:color w:val="000000" w:themeColor="text1"/>
          <w:kern w:val="0"/>
          <w:lang w:eastAsia="en-GB"/>
          <w14:ligatures w14:val="none"/>
        </w:rPr>
        <w:t>I</w:t>
      </w:r>
      <w:r w:rsidR="00374FF3" w:rsidRPr="00374FF3">
        <w:rPr>
          <w:rFonts w:ascii="Times New Roman" w:eastAsia="Times New Roman" w:hAnsi="Times New Roman" w:cs="Times New Roman"/>
          <w:b/>
          <w:bCs/>
          <w:color w:val="000000" w:themeColor="text1"/>
          <w:kern w:val="0"/>
          <w:lang w:eastAsia="en-GB"/>
          <w14:ligatures w14:val="none"/>
        </w:rPr>
        <w:t>3. Un portofoliu de opțiuni acoperit delta-gamma pe baza forecast-ului suprafeței IV permite izolarea mai eficientă a performanței asociate volatilității decât un portofoliu neacoperit.</w:t>
      </w:r>
    </w:p>
    <w:p w14:paraId="3F2597FD"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lastRenderedPageBreak/>
        <w:t>Această ipoteză se întemeiază pe teoria sensibilităților și pe literatura privind hedgingul cu volatilitate. Prin reducerea expunerii la mișcarea activului suport și la convexitatea locală, acoperirea delta-gamma ar trebui să facă mai vizibilă componenta de performanță legată de volatilitatea implicită. </w:t>
      </w:r>
    </w:p>
    <w:p w14:paraId="20449935" w14:textId="201F62A7" w:rsidR="00374FF3" w:rsidRPr="00374FF3" w:rsidRDefault="009F6D0C" w:rsidP="00170855">
      <w:p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b/>
          <w:bCs/>
          <w:color w:val="000000" w:themeColor="text1"/>
          <w:kern w:val="0"/>
          <w:lang w:eastAsia="en-GB"/>
          <w14:ligatures w14:val="none"/>
        </w:rPr>
        <w:t>I</w:t>
      </w:r>
      <w:r w:rsidR="00374FF3" w:rsidRPr="00374FF3">
        <w:rPr>
          <w:rFonts w:ascii="Times New Roman" w:eastAsia="Times New Roman" w:hAnsi="Times New Roman" w:cs="Times New Roman"/>
          <w:b/>
          <w:bCs/>
          <w:color w:val="000000" w:themeColor="text1"/>
          <w:kern w:val="0"/>
          <w:lang w:eastAsia="en-GB"/>
          <w14:ligatures w14:val="none"/>
        </w:rPr>
        <w:t>4. Valoarea forecast-ului suprafeței volatilității implicite trebuie să fie observabilă în performanța ajustată la risc a portofoliului, nu doar în indicatorii statistici ai erorii de predicție.</w:t>
      </w:r>
    </w:p>
    <w:p w14:paraId="02B646FF"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Această ipoteză sintetizează criteriul final de validare. Dacă forecast-ul suprafeței este cu adevărat relevant pentru managementul portofoliului, atunci utilitatea sa trebuie să apară atât la nivel statistic, cât și la nivel economic, prin performanța unei strategii implementabile și evaluate ajustat la risc. </w:t>
      </w:r>
    </w:p>
    <w:p w14:paraId="25CE55B7" w14:textId="77777777" w:rsidR="00374FF3" w:rsidRPr="00374FF3" w:rsidRDefault="00374FF3" w:rsidP="00170855">
      <w:pPr>
        <w:spacing w:before="100" w:beforeAutospacing="1" w:after="100" w:afterAutospacing="1" w:line="360" w:lineRule="auto"/>
        <w:ind w:firstLine="720"/>
        <w:jc w:val="both"/>
        <w:rPr>
          <w:rFonts w:ascii="Times New Roman" w:eastAsia="Times New Roman" w:hAnsi="Times New Roman" w:cs="Times New Roman"/>
          <w:color w:val="000000" w:themeColor="text1"/>
          <w:kern w:val="0"/>
          <w:lang w:eastAsia="en-GB"/>
          <w14:ligatures w14:val="none"/>
        </w:rPr>
      </w:pPr>
      <w:r w:rsidRPr="00374FF3">
        <w:rPr>
          <w:rFonts w:ascii="Times New Roman" w:eastAsia="Times New Roman" w:hAnsi="Times New Roman" w:cs="Times New Roman"/>
          <w:color w:val="000000" w:themeColor="text1"/>
          <w:kern w:val="0"/>
          <w:lang w:eastAsia="en-GB"/>
          <w14:ligatures w14:val="none"/>
        </w:rPr>
        <w:t>În ansamblu, aceste ipoteze traduc literatura într-o succesiune logică coerentă. Mai întâi, suprafața volatilității implicite este tratată ca obiect predictibil în sens economic. Apoi, această predictibilitate este interpretată ca sursă potențială de semnal pentru poziționare. În continuare, acoperirea delta-gamma este introdusă ca mecanism de separare relativă a expunerii la volatilitate de expunerile direcționale. În fine, relevanța finală a forecast-ului este judecată nu doar după acuratețea sa statistică, ci după valoarea economică pe care o poate genera într-un portofoliu de opțiuni administrat riguros. </w:t>
      </w:r>
    </w:p>
    <w:p w14:paraId="26AA2A96" w14:textId="6BD05790" w:rsidR="00374FF3" w:rsidRDefault="003F0EA3"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US" w:eastAsia="en-GB"/>
          <w14:ligatures w14:val="none"/>
        </w:rPr>
      </w:pPr>
      <w:r w:rsidRPr="003F0EA3">
        <w:rPr>
          <w:rFonts w:ascii="Times New Roman" w:eastAsia="Times New Roman" w:hAnsi="Times New Roman" w:cs="Times New Roman"/>
          <w:color w:val="000000" w:themeColor="text1"/>
          <w:kern w:val="0"/>
          <w:lang w:eastAsia="en-GB"/>
          <w14:ligatures w14:val="none"/>
        </w:rPr>
        <w:t>4. METODOLOGIE</w:t>
      </w:r>
    </w:p>
    <w:p w14:paraId="0D9AD1EA" w14:textId="3E9A6FEC" w:rsidR="003F0EA3" w:rsidRPr="003F0EA3" w:rsidRDefault="003F0EA3" w:rsidP="003F0EA3">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Pr>
          <w:rFonts w:ascii="Times New Roman" w:eastAsia="Times New Roman" w:hAnsi="Times New Roman" w:cs="Times New Roman"/>
          <w:color w:val="000000" w:themeColor="text1"/>
          <w:kern w:val="0"/>
          <w:lang w:val="en-150" w:eastAsia="en-GB"/>
          <w14:ligatures w14:val="none"/>
        </w:rPr>
        <w:t>Aceasta</w:t>
      </w:r>
      <w:r w:rsidRPr="003F0EA3">
        <w:rPr>
          <w:rFonts w:ascii="Times New Roman" w:eastAsia="Times New Roman" w:hAnsi="Times New Roman" w:cs="Times New Roman"/>
          <w:color w:val="000000" w:themeColor="text1"/>
          <w:kern w:val="0"/>
          <w:lang w:val="en-150" w:eastAsia="en-GB"/>
          <w14:ligatures w14:val="none"/>
        </w:rPr>
        <w:t xml:space="preserve"> secțiune descrie metodologia utilizată pentru construirea, prognozarea și evaluarea economică a suprafeței volatilității implicite aferente opțiunilor pe indicele S&amp;P 500. Demersul empiric este structurat în mai multe etape succesive: prelucrarea și filtrarea datelor de opțiuni, calculul volatilității implicite, standardizarea suprafeței pe o grilă fixă de moneyness și maturitate, estimarea modelelor de prognoză, transformarea forecast-ului într-un semnal economic, construirea portofoliului de opțiuni și evaluarea performanței acestuia înainte și după aplicarea strategiilor de hedging.</w:t>
      </w:r>
    </w:p>
    <w:p w14:paraId="0773A56D" w14:textId="77777777" w:rsidR="003F0EA3" w:rsidRDefault="003F0EA3" w:rsidP="003F0EA3">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3F0EA3">
        <w:rPr>
          <w:rFonts w:ascii="Times New Roman" w:eastAsia="Times New Roman" w:hAnsi="Times New Roman" w:cs="Times New Roman"/>
          <w:color w:val="000000" w:themeColor="text1"/>
          <w:kern w:val="0"/>
          <w:lang w:val="en-150" w:eastAsia="en-GB"/>
          <w14:ligatures w14:val="none"/>
        </w:rPr>
        <w:t xml:space="preserve">Abordarea metodologică urmărește să conecteze componenta statistică a prognozei cu dimensiunea economică a managementului portofoliului. Astfel, performanța modelelor nu este evaluată exclusiv prin indicatori statistici ai erorii de predicție, precum RMSE și MAE, ci și prin </w:t>
      </w:r>
      <w:r w:rsidRPr="003F0EA3">
        <w:rPr>
          <w:rFonts w:ascii="Times New Roman" w:eastAsia="Times New Roman" w:hAnsi="Times New Roman" w:cs="Times New Roman"/>
          <w:color w:val="000000" w:themeColor="text1"/>
          <w:kern w:val="0"/>
          <w:lang w:val="en-150" w:eastAsia="en-GB"/>
          <w14:ligatures w14:val="none"/>
        </w:rPr>
        <w:lastRenderedPageBreak/>
        <w:t>capacitatea forecast-ului de a genera valoare economică într-un cadru de backtesting. În plus, prin calculul indicatorilor de sensibilitate și prin aplicarea hedgingului delta și delta-gamma, analiza permite separarea parțială a expunerii la mișcarea activului suport de expunerea asociată volatilității implicite.</w:t>
      </w:r>
    </w:p>
    <w:p w14:paraId="72547E06" w14:textId="26E69661" w:rsidR="003F0EA3" w:rsidRPr="003F0EA3" w:rsidRDefault="003F0EA3" w:rsidP="003F0EA3">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3F0EA3">
        <w:rPr>
          <w:rFonts w:ascii="Times New Roman" w:eastAsia="Times New Roman" w:hAnsi="Times New Roman" w:cs="Times New Roman"/>
          <w:color w:val="000000" w:themeColor="text1"/>
          <w:kern w:val="0"/>
          <w:lang w:eastAsia="en-GB"/>
          <w14:ligatures w14:val="none"/>
        </w:rPr>
        <w:t>Figura 4.1. Fluxul metodologic al analizei empirice</w:t>
      </w:r>
    </w:p>
    <w:p w14:paraId="66964F29" w14:textId="6177AB72" w:rsidR="003F0EA3" w:rsidRPr="003F0EA3" w:rsidRDefault="003F0EA3" w:rsidP="003F0EA3">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3F0EA3">
        <w:rPr>
          <w:rFonts w:ascii="Times New Roman" w:eastAsia="Times New Roman" w:hAnsi="Times New Roman" w:cs="Times New Roman"/>
          <w:color w:val="000000" w:themeColor="text1"/>
          <w:kern w:val="0"/>
          <w:lang w:val="en-150" w:eastAsia="en-GB"/>
          <w14:ligatures w14:val="none"/>
        </w:rPr>
        <w:drawing>
          <wp:inline distT="0" distB="0" distL="0" distR="0" wp14:anchorId="49128572" wp14:editId="5A22F4F2">
            <wp:extent cx="6057900" cy="3923665"/>
            <wp:effectExtent l="0" t="0" r="0" b="635"/>
            <wp:docPr id="1948298005"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81188" cy="3938748"/>
                    </a:xfrm>
                    <a:prstGeom prst="rect">
                      <a:avLst/>
                    </a:prstGeom>
                    <a:noFill/>
                    <a:ln>
                      <a:noFill/>
                    </a:ln>
                  </pic:spPr>
                </pic:pic>
              </a:graphicData>
            </a:graphic>
          </wp:inline>
        </w:drawing>
      </w:r>
    </w:p>
    <w:p w14:paraId="28397AED" w14:textId="1C887627" w:rsidR="003F0EA3" w:rsidRDefault="003F0EA3"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US" w:eastAsia="en-GB"/>
          <w14:ligatures w14:val="none"/>
        </w:rPr>
      </w:pPr>
      <w:r w:rsidRPr="003F0EA3">
        <w:rPr>
          <w:rFonts w:ascii="Times New Roman" w:eastAsia="Times New Roman" w:hAnsi="Times New Roman" w:cs="Times New Roman"/>
          <w:color w:val="000000" w:themeColor="text1"/>
          <w:kern w:val="0"/>
          <w:lang w:eastAsia="en-GB"/>
          <w14:ligatures w14:val="none"/>
        </w:rPr>
        <w:t>Figura 4.1 sintetizează fluxul metodologic al analizei, de la construcția bazei de date și a suprafeței volatilității implicite până la evaluarea performanței portofoliului și testarea eficienței strategiilor de hedging. Această structură permite urmărirea clară a legăturii dintre forecast-ul implied volatility surface, construirea semnalelor de tranzacționare și managementul riscului prin indicatorii de sensibilitate.</w:t>
      </w:r>
    </w:p>
    <w:p w14:paraId="71CC6D25" w14:textId="0150EFA9" w:rsidR="003F0EA3" w:rsidRDefault="003F0EA3"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US" w:eastAsia="en-GB"/>
          <w14:ligatures w14:val="none"/>
        </w:rPr>
      </w:pPr>
      <w:r w:rsidRPr="003F0EA3">
        <w:rPr>
          <w:rFonts w:ascii="Times New Roman" w:eastAsia="Times New Roman" w:hAnsi="Times New Roman" w:cs="Times New Roman"/>
          <w:color w:val="000000" w:themeColor="text1"/>
          <w:kern w:val="0"/>
          <w:lang w:eastAsia="en-GB"/>
          <w14:ligatures w14:val="none"/>
        </w:rPr>
        <w:t>4.1. Datele utilizate și construcția eșantionului</w:t>
      </w:r>
    </w:p>
    <w:p w14:paraId="01852098"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 xml:space="preserve">Baza de date utilizată în analiza empirică este alcătuită din observații zilnice pentru opțiuni având ca activ suport indicele S&amp;P 500. Setul de date conține informații specifice contractelor de opțiuni, precum data cotației, data scadenței, prețul de exercitare, tipul opțiunii, prețurile bid/ask sau prețul mediu, maturitatea, nivelul activului suport și variabilele necesare pentru calculul volatilității </w:t>
      </w:r>
      <w:r w:rsidRPr="00DC40C8">
        <w:rPr>
          <w:rFonts w:ascii="Times New Roman" w:eastAsia="Times New Roman" w:hAnsi="Times New Roman" w:cs="Times New Roman"/>
          <w:color w:val="000000" w:themeColor="text1"/>
          <w:kern w:val="0"/>
          <w:lang w:val="en-150" w:eastAsia="en-GB"/>
          <w14:ligatures w14:val="none"/>
        </w:rPr>
        <w:lastRenderedPageBreak/>
        <w:t>implicite. Alegerea opțiunilor pe S&amp;P 500 este justificată de lichiditatea ridicată a pieței, de disponibilitatea unui număr mare de strike-uri și maturități și de rolul central al indicelui în literatura privind opțiunile pe indici și suprafața volatilității implicite (Bates, 2000; Dumas et al., 1998; Gonçalves &amp; Guidolin, 2006).</w:t>
      </w:r>
    </w:p>
    <w:p w14:paraId="6B400749"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Întrucât calitatea datelor este esențială pentru estimarea corectă a volatilității implicite, prima etapă a metodologiei a constat în filtrarea observațiilor nevalide sau insuficient de informative. Au fost eliminate observațiile cu prețuri lipsă sau inconsistente, contractele cu maturități necorespunzătoare, valorile care nu permiteau calculul robust al volatilității implicite și observațiile care puteau distorsiona ulterior construcția suprafeței. Această etapă este importantă deoarece literatura arată că estimarea și utilizarea suprafeței implied volatility depind critic de calitatea filtrării prețurilor opțiunilor și de modul în care sunt tratate observațiile extreme sau slab lichide (Dumas et al., 1998; Ulrich et al., 2023).</w:t>
      </w:r>
    </w:p>
    <w:p w14:paraId="126471D6"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Opțiunile brute nu formează automat un eșantion omogen. Contractele diferă prin scadență, strike, lichiditate, tipul opțiunii și proximitatea față de prețul activului suport. În plus, anumite zone ale suprafeței, precum opțiunile foarte îndepărtate de bani sau cele cu maturități foarte scurte, pot fi mai sensibile la erori de cotație, spread-uri ridicate și discontinuități de tranzacționare. Din acest motiv, construcția unui eșantion curat reprezintă o condiție necesară înainte de orice estimare a suprafeței volatilității implicite, mai ales atunci când rezultatele sunt utilizate ulterior în prognoză și backtesting.</w:t>
      </w:r>
    </w:p>
    <w:p w14:paraId="326FD691"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După curățarea datelor, pentru fiecare contract valid a fost calculată volatilitatea implicită. Aceasta a fost extrasă prin inversarea relației de evaluare a opțiunilor, utilizând informațiile disponibile privind prețul opțiunii, prețul activului suport, prețul de exercitare, maturitatea, rata fără risc și randamentul dividendului, acolo unde acesta a fost disponibil. Din punct de vedere conceptual, această abordare este derivată din cadrul clasic de evaluare a opțiunilor, în care volatilitatea este parametrul care face legătura dintre prețul observat și prețul teoretic al contractului (Black &amp; Scholes, 1973; Merton, 1973). Observațiile pentru care procedura de calcul nu a condus la o valoare validă a volatilității implicite au fost eliminate din eșantionul final.</w:t>
      </w:r>
    </w:p>
    <w:p w14:paraId="07873885"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 xml:space="preserve">Procesul de filtrare nu trebuie interpretat ca o simplă operațiune tehnică, ci ca o etapă metodologică importantă. În analiza opțiunilor, erorile de preț, lipsa lichidității sau observațiile extreme pot afecta semnificativ forma suprafeței volatilității implicite și, implicit, rezultatele forecast-ului. În plus, literatura recentă subliniază că analiza suprafețelor IV pe baze mari de date necesită proceduri </w:t>
      </w:r>
      <w:r w:rsidRPr="00DC40C8">
        <w:rPr>
          <w:rFonts w:ascii="Times New Roman" w:eastAsia="Times New Roman" w:hAnsi="Times New Roman" w:cs="Times New Roman"/>
          <w:color w:val="000000" w:themeColor="text1"/>
          <w:kern w:val="0"/>
          <w:lang w:val="en-150" w:eastAsia="en-GB"/>
          <w14:ligatures w14:val="none"/>
        </w:rPr>
        <w:lastRenderedPageBreak/>
        <w:t>riguroase de selecție și curățare, deoarece rezultatele privind forma, dinamica și utilizarea informației option-implied pot fi influențate de alegerile de construcție a eșantionului (Ulrich et al., 2023). Prin urmare, construcția unui eșantion curat reprezintă o condiție necesară pentru obținerea unor rezultate robuste atât din punct de vedere statistic, cât și economic.</w:t>
      </w:r>
    </w:p>
    <w:p w14:paraId="17C814B7" w14:textId="6BF8B62B" w:rsidR="003F0EA3" w:rsidRPr="003F0EA3" w:rsidRDefault="003F0EA3" w:rsidP="003F0EA3">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3F0EA3">
        <w:rPr>
          <w:rFonts w:ascii="Times New Roman" w:eastAsia="Times New Roman" w:hAnsi="Times New Roman" w:cs="Times New Roman"/>
          <w:color w:val="000000" w:themeColor="text1"/>
          <w:kern w:val="0"/>
          <w:lang w:eastAsia="en-GB"/>
          <w14:ligatures w14:val="none"/>
        </w:rPr>
        <w:t>Tabelul 4.1. Sinteza procesului de curățare a datelor și construcție a eșantionului</w:t>
      </w:r>
    </w:p>
    <w:p w14:paraId="69FB57D6" w14:textId="43662DE6" w:rsidR="003F0EA3" w:rsidRDefault="00513259"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13259">
        <w:drawing>
          <wp:inline distT="0" distB="0" distL="0" distR="0" wp14:anchorId="6C00C9FF" wp14:editId="0B512787">
            <wp:extent cx="3764280" cy="2019300"/>
            <wp:effectExtent l="0" t="0" r="7620" b="0"/>
            <wp:docPr id="1994791488"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4280" cy="2019300"/>
                    </a:xfrm>
                    <a:prstGeom prst="rect">
                      <a:avLst/>
                    </a:prstGeom>
                    <a:noFill/>
                    <a:ln>
                      <a:noFill/>
                    </a:ln>
                  </pic:spPr>
                </pic:pic>
              </a:graphicData>
            </a:graphic>
          </wp:inline>
        </w:drawing>
      </w:r>
    </w:p>
    <w:p w14:paraId="3EF6563F" w14:textId="3B670228" w:rsidR="003F0EA3" w:rsidRDefault="003F0EA3"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US" w:eastAsia="en-GB"/>
          <w14:ligatures w14:val="none"/>
        </w:rPr>
      </w:pPr>
      <w:r w:rsidRPr="003F0EA3">
        <w:rPr>
          <w:rFonts w:ascii="Times New Roman" w:eastAsia="Times New Roman" w:hAnsi="Times New Roman" w:cs="Times New Roman"/>
          <w:color w:val="000000" w:themeColor="text1"/>
          <w:kern w:val="0"/>
          <w:lang w:eastAsia="en-GB"/>
          <w14:ligatures w14:val="none"/>
        </w:rPr>
        <w:t>Tabelul 4.1 prezintă principalele etape ale procesului de construcție a eșantionului, de la datele inițiale până la setul de observații utilizat în etapele ulterioare ale analizei. Acest tabel permite evaluarea gradului de retenție a datelor și evidențiază impactul procedurilor de filtrare asupra bazei finale utilizate pentru calculul și prognoza suprafeței volatilității implicite.</w:t>
      </w:r>
    </w:p>
    <w:p w14:paraId="231F9A65" w14:textId="60C15395" w:rsidR="003F0EA3" w:rsidRPr="003F0EA3" w:rsidRDefault="003F0EA3"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US" w:eastAsia="en-GB"/>
          <w14:ligatures w14:val="none"/>
        </w:rPr>
      </w:pPr>
      <w:r w:rsidRPr="003F0EA3">
        <w:rPr>
          <w:rFonts w:ascii="Times New Roman" w:eastAsia="Times New Roman" w:hAnsi="Times New Roman" w:cs="Times New Roman"/>
          <w:color w:val="000000" w:themeColor="text1"/>
          <w:kern w:val="0"/>
          <w:lang w:eastAsia="en-GB"/>
          <w14:ligatures w14:val="none"/>
        </w:rPr>
        <w:t>Figura 4.2. Retenția observațiilor în procesul de curățare a datelor</w:t>
      </w:r>
    </w:p>
    <w:p w14:paraId="04DC0C68" w14:textId="3FCEDAE6" w:rsidR="003F0EA3" w:rsidRPr="003F0EA3" w:rsidRDefault="003F0EA3" w:rsidP="003F0EA3">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3F0EA3">
        <w:rPr>
          <w:rFonts w:ascii="Times New Roman" w:eastAsia="Times New Roman" w:hAnsi="Times New Roman" w:cs="Times New Roman"/>
          <w:color w:val="000000" w:themeColor="text1"/>
          <w:kern w:val="0"/>
          <w:lang w:val="en-150" w:eastAsia="en-GB"/>
          <w14:ligatures w14:val="none"/>
        </w:rPr>
        <w:lastRenderedPageBreak/>
        <w:drawing>
          <wp:inline distT="0" distB="0" distL="0" distR="0" wp14:anchorId="0D4400B6" wp14:editId="2A8C0EDD">
            <wp:extent cx="5939790" cy="4011930"/>
            <wp:effectExtent l="0" t="0" r="3810" b="7620"/>
            <wp:docPr id="69057456"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4011930"/>
                    </a:xfrm>
                    <a:prstGeom prst="rect">
                      <a:avLst/>
                    </a:prstGeom>
                    <a:noFill/>
                    <a:ln>
                      <a:noFill/>
                    </a:ln>
                  </pic:spPr>
                </pic:pic>
              </a:graphicData>
            </a:graphic>
          </wp:inline>
        </w:drawing>
      </w:r>
      <w:r w:rsidRPr="003F0EA3">
        <w:rPr>
          <w:rFonts w:ascii="Times New Roman" w:eastAsia="Times New Roman" w:hAnsi="Times New Roman" w:cs="Times New Roman"/>
          <w:color w:val="000000" w:themeColor="text1"/>
          <w:kern w:val="0"/>
          <w:lang w:val="en-150" w:eastAsia="en-GB"/>
          <w14:ligatures w14:val="none"/>
        </w:rPr>
        <w:t>Figura 4.2 completează informațiile din tabel printr-o reprezentare vizuală a reducerii eșantionului pe parcursul etapelor de filtrare. Această abordare facilitează înțelegerea modului în care datele brute sunt transformate într-un set de observații adecvat pentru analiza implied volatility surface.</w:t>
      </w:r>
    </w:p>
    <w:p w14:paraId="49A0F425" w14:textId="77777777" w:rsidR="003F0EA3" w:rsidRPr="003F0EA3" w:rsidRDefault="003F0EA3" w:rsidP="003F0EA3">
      <w:pPr>
        <w:spacing w:before="100" w:beforeAutospacing="1" w:after="100" w:afterAutospacing="1" w:line="360" w:lineRule="auto"/>
        <w:jc w:val="both"/>
        <w:rPr>
          <w:rFonts w:ascii="Times New Roman" w:eastAsia="Times New Roman" w:hAnsi="Times New Roman" w:cs="Times New Roman"/>
          <w:b/>
          <w:bCs/>
          <w:color w:val="000000" w:themeColor="text1"/>
          <w:kern w:val="0"/>
          <w:lang w:val="en-150" w:eastAsia="en-GB"/>
          <w14:ligatures w14:val="none"/>
        </w:rPr>
      </w:pPr>
      <w:r w:rsidRPr="003F0EA3">
        <w:rPr>
          <w:rFonts w:ascii="Times New Roman" w:eastAsia="Times New Roman" w:hAnsi="Times New Roman" w:cs="Times New Roman"/>
          <w:b/>
          <w:bCs/>
          <w:color w:val="000000" w:themeColor="text1"/>
          <w:kern w:val="0"/>
          <w:lang w:val="en-150" w:eastAsia="en-GB"/>
          <w14:ligatures w14:val="none"/>
        </w:rPr>
        <w:t>4.2. Calculul volatilității implicite și construcția grilei standardizate</w:t>
      </w:r>
    </w:p>
    <w:p w14:paraId="54C2CB6E"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După etapa de curățare a datelor, analiza continuă cu transformarea observațiilor individuale de opțiuni într-o reprezentare coerentă a suprafeței volatilității implicite. În forma brută, opțiunile disponibile pe piață diferă de la o zi la alta prin strike-uri, maturități și niveluri de moneyness, ceea ce face dificilă compararea directă a observațiilor în timp. Din acest motiv, forecast-ul nu este aplicat direct asupra contractelor individuale, ci asupra unei suprafețe standardizate, construită pe o grilă fixă de moneyness și maturitate. Această abordare este în linie cu literatura care tratează implied volatility surface ca obiect bidimensional, a cărui formă și dinamică depind simultan de strike și scadență (Cont &amp; da Fonseca, 2002; Dumas et al., 1998; Gonçalves &amp; Guidolin, 2006).</w:t>
      </w:r>
    </w:p>
    <w:p w14:paraId="50031254"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 xml:space="preserve">Volatilitatea implicită a fiecărui contract valid a fost calculată pornind de la prețul observat al opțiunii și de la caracteristicile contractului. În acest cadru, implied volatility este interpretată ca nivelul de volatilitate care face ca prețul teoretic al opțiunii să fie compatibil cu prețul observat în piață. Astfel, în loc să fie tratată ca o variabilă observată direct, volatilitatea implicită este extrasă </w:t>
      </w:r>
      <w:r w:rsidRPr="00DC40C8">
        <w:rPr>
          <w:rFonts w:ascii="Times New Roman" w:eastAsia="Times New Roman" w:hAnsi="Times New Roman" w:cs="Times New Roman"/>
          <w:color w:val="000000" w:themeColor="text1"/>
          <w:kern w:val="0"/>
          <w:lang w:val="en-150" w:eastAsia="en-GB"/>
          <w14:ligatures w14:val="none"/>
        </w:rPr>
        <w:lastRenderedPageBreak/>
        <w:t>din prețurile opțiunilor și devine obiectul principal al analizei empirice. Această interpretare este consistentă cu tradiția inițiată de modelele de evaluare ale lui Black și Scholes (1973) și Merton (1973), dar se îndepărtează de ipoteza unei volatilități constante, întrucât datele de piață indică existența unei structuri a volatilității pe strike-uri și maturități.</w:t>
      </w:r>
    </w:p>
    <w:p w14:paraId="20E2F26A"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Pentru a obține un obiect de forecast stabil, fiecare observație a fost proiectată într-un spațiu definit de două dimensiuni: log-moneyness și maturitate. Utilizarea log-moneyness permite compararea opțiunilor în raport cu poziția relativă a strike-ului față de nivelul activului suport, în timp ce maturitatea exprimă orizontul temporal rămas până la expirarea contractului. Această reprezentare este adecvată deoarece forma suprafeței volatilității implicite depinde în mod direct atât de poziția opțiunii în raport cu activul suport, cât și de scadența contractului. Literatura privind dinamica suprafeței a arătat că variațiile IV nu pot fi reduse la un singur factor scalar, ci trebuie analizate prin mișcări ale nivelului, skew-ului și curburii de-a lungul suprafeței (Cont &amp; da Fonseca, 2002; Fengler et al., 2003).</w:t>
      </w:r>
    </w:p>
    <w:p w14:paraId="3D7A9471"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Pentru fiecare zi din eșantion, valorile de implied volatility au fost interpolate pe aceeași grilă de noduri. Astfel, se obține o structură zilnică standardizată, în care fiecare nod al grilei corespunde aceleiași combinații de log-moneyness și maturitate. Această etapă este esențială pentru prognoză, deoarece permite transformarea unei colecții neomogene de contracte într-un panel temporal comparabil. În absența acestei standardizări, modelele de forecast ar compara observații care nu reprezintă aceeași regiune a suprafeței de la o zi la alta. Din punct de vedere metodologic, standardizarea suprafeței este necesară pentru a separa dinamica reală a volatilității implicite de variațiile mecanice generate de schimbarea setului de contracte disponibile în fiecare zi.</w:t>
      </w:r>
    </w:p>
    <w:p w14:paraId="229D74EA"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Grila utilizată în analiză acoperă o zonă relevantă a suprafeței implied volatility, evitând atât contractele foarte îndepărtate de bani, cât și maturitățile extreme, care pot fi afectate de lichiditate redusă sau de instabilitate numerică. Această alegere este justificată de faptul că literatura privind estimarea suprafețelor IV subliniază importanța restricțiilor de calitate și a construcției atente a suprafeței, în special atunci când aceasta este folosită ulterior în exerciții de prognoză sau evaluare economică (Gatheral &amp; Jacquier, 2014; Ulrich et al., 2023; Zhang et al., 2023). În plus, pentru fiecare zi a fost evaluat gradul de acoperire al grilei, astfel încât să fie păstrate doar observațiile zilnice suficient de informative pentru etapa de prognoză. Această abordare urmărește să asigure un compromis între utilizarea unui număr suficient de mare de noduri și menținerea calității datelor.</w:t>
      </w:r>
    </w:p>
    <w:p w14:paraId="2E1BE641" w14:textId="77777777" w:rsidR="003F0EA3" w:rsidRPr="003F0EA3" w:rsidRDefault="003F0EA3" w:rsidP="003F0EA3">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3F0EA3">
        <w:rPr>
          <w:rFonts w:ascii="Times New Roman" w:eastAsia="Times New Roman" w:hAnsi="Times New Roman" w:cs="Times New Roman"/>
          <w:b/>
          <w:bCs/>
          <w:color w:val="000000" w:themeColor="text1"/>
          <w:kern w:val="0"/>
          <w:lang w:val="en-150" w:eastAsia="en-GB"/>
          <w14:ligatures w14:val="none"/>
        </w:rPr>
        <w:lastRenderedPageBreak/>
        <w:t>Tabelul 4.2. Specificația grilei standardizate a suprafeței volatilității implicite</w:t>
      </w:r>
    </w:p>
    <w:p w14:paraId="389362FE" w14:textId="699F6113" w:rsidR="003F0EA3" w:rsidRPr="003F0EA3" w:rsidRDefault="00513259"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13259">
        <w:drawing>
          <wp:inline distT="0" distB="0" distL="0" distR="0" wp14:anchorId="4CC95D4C" wp14:editId="6B02E887">
            <wp:extent cx="3139440" cy="2567940"/>
            <wp:effectExtent l="0" t="0" r="3810" b="3810"/>
            <wp:docPr id="331377593"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9440" cy="2567940"/>
                    </a:xfrm>
                    <a:prstGeom prst="rect">
                      <a:avLst/>
                    </a:prstGeom>
                    <a:noFill/>
                    <a:ln>
                      <a:noFill/>
                    </a:ln>
                  </pic:spPr>
                </pic:pic>
              </a:graphicData>
            </a:graphic>
          </wp:inline>
        </w:drawing>
      </w:r>
    </w:p>
    <w:p w14:paraId="1BEF37AA" w14:textId="1D17B6D7" w:rsidR="008D2F71" w:rsidRDefault="003F0EA3"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US" w:eastAsia="en-GB"/>
          <w14:ligatures w14:val="none"/>
        </w:rPr>
      </w:pPr>
      <w:r w:rsidRPr="003F0EA3">
        <w:rPr>
          <w:rFonts w:ascii="Times New Roman" w:eastAsia="Times New Roman" w:hAnsi="Times New Roman" w:cs="Times New Roman"/>
          <w:color w:val="000000" w:themeColor="text1"/>
          <w:kern w:val="0"/>
          <w:lang w:eastAsia="en-GB"/>
          <w14:ligatures w14:val="none"/>
        </w:rPr>
        <w:t>Tabelul 4.2 prezintă structura grilei utilizate pentru standardizarea suprafeței volatilității implicite. Aceasta definește dimensiunile de log-moneyness și maturitate pe care sunt proiectate observațiile zilnice, precum și numărul de noduri folosite în etapele ulterioare de forecast și backtesting. Prin această reprezentare, suprafața implied volatility devine un obiect comparabil în timp, adecvat pentru modelare econometrică și machine learning.</w:t>
      </w:r>
    </w:p>
    <w:p w14:paraId="2B99499B" w14:textId="302A3F64" w:rsidR="003F0EA3" w:rsidRDefault="003F0EA3"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US" w:eastAsia="en-GB"/>
          <w14:ligatures w14:val="none"/>
        </w:rPr>
      </w:pPr>
      <w:r w:rsidRPr="003F0EA3">
        <w:rPr>
          <w:rFonts w:ascii="Times New Roman" w:eastAsia="Times New Roman" w:hAnsi="Times New Roman" w:cs="Times New Roman"/>
          <w:color w:val="000000" w:themeColor="text1"/>
          <w:kern w:val="0"/>
          <w:lang w:eastAsia="en-GB"/>
          <w14:ligatures w14:val="none"/>
        </w:rPr>
        <w:t>Figura 4.3. Exemplu de suprafață a volatilității implicite pe grila standardizată</w:t>
      </w:r>
    </w:p>
    <w:p w14:paraId="5045B9E1" w14:textId="52AC7353"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drawing>
          <wp:inline distT="0" distB="0" distL="0" distR="0" wp14:anchorId="559856C5" wp14:editId="58A7BADC">
            <wp:extent cx="4495800" cy="3283174"/>
            <wp:effectExtent l="0" t="0" r="0" b="0"/>
            <wp:docPr id="2103095991"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00642" cy="3286710"/>
                    </a:xfrm>
                    <a:prstGeom prst="rect">
                      <a:avLst/>
                    </a:prstGeom>
                    <a:noFill/>
                    <a:ln>
                      <a:noFill/>
                    </a:ln>
                  </pic:spPr>
                </pic:pic>
              </a:graphicData>
            </a:graphic>
          </wp:inline>
        </w:drawing>
      </w:r>
    </w:p>
    <w:p w14:paraId="76890634"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lastRenderedPageBreak/>
        <w:t>Figura 4.3 ilustrează forma suprafeței volatilității implicite pentru o zi reprezentativă din eșantion. Reprezentarea evidențiază variația volatilității implicite atât în funcție de moneyness, cât și în funcție de maturitate, confirmând necesitatea tratării acesteia ca obiect bidimensional, nu ca serie scalară unică. Această structură justifică utilizarea unei grile standardizate și pregătește etapa de prognoză a suprafeței.</w:t>
      </w:r>
    </w:p>
    <w:p w14:paraId="01BFEC96"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În final, outputul acestei etape este un dataset în format panel, în care fiecare zi este asociată cu un set fix de noduri ale suprafeței implied volatility. Acest dataset standardizat reprezintă baza pentru toate modelele de forecast utilizate ulterior. Prin urmare, metodologia nu urmărește prognoza directă a prețurilor opțiunilor individuale, ci prognoza evoluției suprafeței volatilității implicite pe o grilă constantă, ceea ce asigură comparabilitate temporală și coerență empirică.</w:t>
      </w:r>
    </w:p>
    <w:p w14:paraId="5884FEED" w14:textId="27654845"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b/>
          <w:bCs/>
          <w:color w:val="000000" w:themeColor="text1"/>
          <w:kern w:val="0"/>
          <w:lang w:val="en-150" w:eastAsia="en-GB"/>
          <w14:ligatures w14:val="none"/>
        </w:rPr>
      </w:pPr>
      <w:r w:rsidRPr="00DC40C8">
        <w:rPr>
          <w:rFonts w:ascii="Times New Roman" w:eastAsia="Times New Roman" w:hAnsi="Times New Roman" w:cs="Times New Roman"/>
          <w:b/>
          <w:bCs/>
          <w:color w:val="000000" w:themeColor="text1"/>
          <w:kern w:val="0"/>
          <w:lang w:val="en-150" w:eastAsia="en-GB"/>
          <w14:ligatures w14:val="none"/>
        </w:rPr>
        <w:t xml:space="preserve">4.3. Designul de forecasting </w:t>
      </w:r>
    </w:p>
    <w:p w14:paraId="01349EB2"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Etapa de forecasting are rolul de a evalua în ce măsură suprafața standardizată a volatilității implicite poate fi prognozată în afara eșantionului. Spre deosebire de analiza unei singure serii de volatilitate, obiectul prognozat în această lucrare este un set de valori de implied volatility definite pe nodurile grilei de log-moneyness și maturitate. Astfel, fiecare nod al suprafeței este tratat ca o serie temporală care descrie evoluția unei regiuni specifice a suprafeței implied volatility. Această abordare este în linie cu literatura care tratează implied volatility surface ca proces dinamic, cu regularități temporale și factori comuni exploatabili în prognoză (Cont &amp; da Fonseca, 2002; Gonçalves &amp; Guidolin, 2006; Bernales &amp; Guidolin, 2014).</w:t>
      </w:r>
    </w:p>
    <w:p w14:paraId="5AB8C8E9"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Pentru a evita utilizarea informației din viitor în procesul de estimare, împărțirea eșantionului a fost realizată strict temporal, fără amestecarea observațiilor. Datele au fost împărțite în trei componente: eșantion de antrenare, eșantion de validare și eșantion de testare. Eșantionul de antrenare este utilizat pentru estimarea modelelor, eșantionul de validare pentru alegerea parametrilor și compararea preliminară a specificațiilor, iar eșantionul de testare pentru evaluarea finală out-of-sample. Această structură este necesară deoarece suprafața volatilității implicite are o dinamică temporală, iar evaluarea modelelor de forecast trebuie să respecte ordinea cronologică a informației disponibile, pentru a evita data leakage și supraestimarea performanței predictive (Hyndman &amp; Athanasopoulos, 2021).</w:t>
      </w:r>
    </w:p>
    <w:p w14:paraId="7E007FF6"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 xml:space="preserve">În cadrul analizei au fost utilizate trei modele de forecast. Primul model este un benchmark naiv de tip persistence, conform căruia valoarea prognozată pentru perioada următoare este egală cu </w:t>
      </w:r>
      <w:r w:rsidRPr="00DC40C8">
        <w:rPr>
          <w:rFonts w:ascii="Times New Roman" w:eastAsia="Times New Roman" w:hAnsi="Times New Roman" w:cs="Times New Roman"/>
          <w:color w:val="000000" w:themeColor="text1"/>
          <w:kern w:val="0"/>
          <w:lang w:val="en-150" w:eastAsia="en-GB"/>
          <w14:ligatures w14:val="none"/>
        </w:rPr>
        <w:lastRenderedPageBreak/>
        <w:t>ultima valoare observată. Acest model nu urmărește să capteze relații complexe, ci oferă un punct minim de comparație: orice model mai sofisticat trebuie să demonstreze că poate depăși această regulă simplă. Utilizarea unui benchmark naiv este importantă în evaluarea forecasturilor, deoarece permite testarea valorii adăugate a modelelor mai complexe în raport cu o regulă simplă și transparentă (Hyndman &amp; Koehler, 2006).</w:t>
      </w:r>
    </w:p>
    <w:p w14:paraId="743A0C8E"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Al doilea model este ARIMA, utilizat ca model clasic de serii temporale. Acesta permite captarea dependenței dintre valorile trecute ale implied volatility și valorile viitoare, fiind adecvat pentru testarea ipotezei că suprafața prezintă persistență și structură temporală. Modelul este aplicat la nivelul fiecărui nod al grilei, astfel încât dinamica locală a fiecărei zone a suprafeței să fie tratată separat. Utilizarea modelelor autoregresive integrate de tip ARIMA este justificată de rolul lor consacrat în modelarea și prognoza seriilor temporale financiare, în special atunci când scopul este captarea persistenței și a dependenței dinamice (Box, Jenkins, Reinsel, &amp; Ljung, 2015).</w:t>
      </w:r>
    </w:p>
    <w:p w14:paraId="72009E17"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Al treilea model este XGBoost, utilizat ca metodă de machine learning capabilă să surprindă relații neliniare între valorile istorice ale implied volatility și evoluția ulterioară a acesteia. Modelul folosește laguri ale seriei, caracteristici de tip rolling mean și rolling standard deviation, precum și informații calendaristice simple. Alegerea XGBoost este justificată de flexibilitatea sa, de capacitatea de a modela relații neliniare și de performanța sa ridicată în aplicații predictive bazate pe date structurate (Chen &amp; Guestrin, 2016). În contextul forecastului implied volatility surface, includerea unui model de machine learning este motivată și de literatura recentă care compară modele liniare și neliniare pentru prognoza volatilității implicite și arată că dinamica acesteia poate conține atât componente persistente, cât și relații mai flexibile între valorile trecute și cele viitoare (Wen et al., 2024).</w:t>
      </w:r>
    </w:p>
    <w:p w14:paraId="1CBDD7F6" w14:textId="77777777" w:rsid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Prognozele sunt realizate în regim one-step-ahead, ceea ce înseamnă că pentru fiecare zi este estimată valoarea suprafeței pentru perioada următoare utilizând doar informația disponibilă până la momentul respectiv. Acest design este compatibil cu etapa ulterioară de backtesting, unde semnalul generat la o dată este utilizat pentru construirea pozițiilor de portofoliu pe orizontul imediat următor. Separarea dintre evaluarea statistică a forecastului și testarea economică ulterioară este importantă deoarece literatura privind modelele de opțiuni arată că o performanță statistică superioară nu garantează automat valoare economică într-un cadru de tranzacționare sau hedging (Christoffersen &amp; Jacobs, 2004; Bernales &amp; Guidolin, 2014).</w:t>
      </w:r>
    </w:p>
    <w:p w14:paraId="320D8877" w14:textId="7851E8CA" w:rsid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eastAsia="en-GB"/>
          <w14:ligatures w14:val="none"/>
        </w:rPr>
        <w:t>Tabelul 4.3. Specificația modelelor de forecasting utilizate în analiză</w:t>
      </w:r>
    </w:p>
    <w:p w14:paraId="2CFEF442" w14:textId="54703EF3" w:rsidR="00DC40C8" w:rsidRPr="00DC40C8" w:rsidRDefault="00975BF2"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975BF2">
        <w:lastRenderedPageBreak/>
        <w:drawing>
          <wp:inline distT="0" distB="0" distL="0" distR="0" wp14:anchorId="56C39A33" wp14:editId="4641449E">
            <wp:extent cx="5939790" cy="769620"/>
            <wp:effectExtent l="0" t="0" r="3810" b="0"/>
            <wp:docPr id="1827880207" name="I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769620"/>
                    </a:xfrm>
                    <a:prstGeom prst="rect">
                      <a:avLst/>
                    </a:prstGeom>
                    <a:noFill/>
                    <a:ln>
                      <a:noFill/>
                    </a:ln>
                  </pic:spPr>
                </pic:pic>
              </a:graphicData>
            </a:graphic>
          </wp:inline>
        </w:drawing>
      </w:r>
    </w:p>
    <w:p w14:paraId="0CF3D286"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Tabelul 4.3 sintetizează rolul fiecărui model de forecast, tipul de informație utilizată și modul de evaluare. Includerea unui benchmark naiv, a unui model clasic de serii temporale și a unui model de machine learning permite compararea unor abordări cu grade diferite de complexitate. Această structură asigură că performanța modelului selectat nu este evaluată izolat, ci în raport cu alternative metodologice relevante.</w:t>
      </w:r>
    </w:p>
    <w:p w14:paraId="00E0178E"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Performanța modelelor este evaluată prin două metrici standard ale erorii de prognoză: RMSE și MAE. RMSE penalizează mai puternic erorile mari, fiind util pentru identificarea modelelor care reduc deviațiile extreme, în timp ce MAE măsoară abaterea absolută medie și oferă o interpretare mai directă a erorii tipice de forecast. Utilizarea ambelor metrici permite o evaluare mai echilibrată, deoarece un model poate performa mai bine în reducerea erorilor mari, dar nu neapărat și în reducerea erorii medii absolute (Hyndman &amp; Koehler, 2006).</w:t>
      </w:r>
    </w:p>
    <w:p w14:paraId="2FF450E5" w14:textId="77777777" w:rsid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În final, modelul cu cea mai bună performanță out-of-sample este utilizat pentru generarea semnalului economic. Această alegere este făcută înainte de etapa de backtesting, astfel încât evaluarea economică să fie construită pe un proces de selecție bazat pe criterii statistice. Prin această separare, metodologia evită alegerea ex-post a modelului în funcție de performanța portofoliului și menține o distincție clară între evaluarea forecastului și evaluarea valorii economice a acestuia.</w:t>
      </w:r>
    </w:p>
    <w:p w14:paraId="781EEFA3"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b/>
          <w:bCs/>
          <w:color w:val="000000" w:themeColor="text1"/>
          <w:kern w:val="0"/>
          <w:lang w:val="en-150" w:eastAsia="en-GB"/>
          <w14:ligatures w14:val="none"/>
        </w:rPr>
      </w:pPr>
      <w:r w:rsidRPr="00DC40C8">
        <w:rPr>
          <w:rFonts w:ascii="Times New Roman" w:eastAsia="Times New Roman" w:hAnsi="Times New Roman" w:cs="Times New Roman"/>
          <w:b/>
          <w:bCs/>
          <w:color w:val="000000" w:themeColor="text1"/>
          <w:kern w:val="0"/>
          <w:lang w:val="en-150" w:eastAsia="en-GB"/>
          <w14:ligatures w14:val="none"/>
        </w:rPr>
        <w:t>4.4. Construcția semnalului economic</w:t>
      </w:r>
    </w:p>
    <w:p w14:paraId="55DC2BE3"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După estimarea și compararea modelelor de prognoză, etapa următoare constă în transformarea forecast-ului suprafeței volatilității implicite într-un semnal economic utilizabil pentru construirea portofoliului de opțiuni. Această etapă este necesară deoarece acuratețea statistică a unui model nu este suficientă pentru a demonstra utilitatea sa practică. Literatura privind evaluarea modelelor de opțiuni arată că performanța în termeni de eroare de predicție trebuie completată prin teste de valoare economică, întrucât un forecast mai precis nu conduce automat la o strategie profitabilă sau la o îmbunătățire a managementului riscului (Christoffersen &amp; Jacobs, 2004; Bernales &amp; Guidolin, 2014).</w:t>
      </w:r>
    </w:p>
    <w:p w14:paraId="7A8C7E0D"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lastRenderedPageBreak/>
        <w:t>În cadrul acestei lucrări, semnalul economic este construit pe baza modelului selectat în etapa de forecasting. Pentru fiecare zi și pentru fiecare nod al grilei standardizate, valoarea prognozată a volatilității implicite este comparată cu valoarea observată anterior pentru același nod. Diferența dintre volatilitatea implicită prognozată și cea observată este interpretată ca o măsură a deviației anticipate a suprafeței. O valoare pozitivă indică faptul că modelul anticipează o creștere a volatilității implicite în regiunea respectivă a suprafeței, în timp ce o valoare negativă sugerează o posibilă scădere.</w:t>
      </w:r>
    </w:p>
    <w:p w14:paraId="7ACCA9B6"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Pentru a permite comparabilitatea între noduri, deviațiile forecast-ului sunt standardizate cross-sectional la nivelul fiecărei zile. Astfel, pentru fiecare dată de tranzacționare, diferențele dintre volatilitatea prognozată și cea observată sunt transformate într-un scor standardizat. Această normalizare este utilă deoarece nivelurile absolute ale implied volatility pot diferi semnificativ între regiuni ale suprafeței, în funcție de moneyness și maturitate. Prin urmare, semnalul nu este construit doar pe baza unei diferențe absolute, ci pe baza poziției relative a fiecărui nod în distribuția zilnică a deviațiilor forecast-ului.</w:t>
      </w:r>
    </w:p>
    <w:p w14:paraId="1897A806"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Regula economică este definită astfel: nodurile pentru care modelul anticipează o creștere relativ puternică a volatilității implicite sunt asociate cu poziții de tip long volatility, iar nodurile pentru care modelul anticipează o scădere relativ puternică sunt asociate cu poziții de tip short volatility. Nodurile pentru care deviația standardizată nu este suficient de mare în valoare absolută sunt tratate ca semnale neutre și nu sunt selectate pentru portofoliu. Această abordare permite transformarea forecast-ului într-o regulă disciplinată de selecție a pozițiilor, evitând interpretarea arbitrară a fiecărei diferențe prognozate.</w:t>
      </w:r>
    </w:p>
    <w:p w14:paraId="0D15C03B" w14:textId="77777777"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În fiecare zi sunt selectate cele mai puternice semnale pozitive și cele mai puternice semnale negative, astfel încât portofoliul să includă atât poziții long volatility, cât și poziții short volatility. Această selecție top-k are rolul de a concentra portofoliul asupra regiunilor suprafeței în care modelul indică cele mai mari deviații relative, reducând totodată expunerea la semnale slabe sau zgomotoase. În plus, folosirea unui număr echilibrat de poziții long și short pregătește etapa de backtesting, unde portofoliul este construit într-o manieră side-neutral.</w:t>
      </w:r>
    </w:p>
    <w:p w14:paraId="16901CC8" w14:textId="7F7F7B3C" w:rsid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DC40C8">
        <w:rPr>
          <w:rFonts w:ascii="Times New Roman" w:eastAsia="Times New Roman" w:hAnsi="Times New Roman" w:cs="Times New Roman"/>
          <w:color w:val="000000" w:themeColor="text1"/>
          <w:kern w:val="0"/>
          <w:lang w:val="en-150" w:eastAsia="en-GB"/>
          <w14:ligatures w14:val="none"/>
        </w:rPr>
        <w:t xml:space="preserve">Această logică este apropiată de literatura care evaluează valoarea economică a forecast-urilor implied volatility prin transformarea acestora în reguli de tranzacționare sau în portofolii de opțiuni. Bernales și Guidolin (2014) arată că predictibilitatea suprafeței volatilității implicite poate fi evaluată prin teste de valoare economică, iar lucrări mai recente, precum Liu et al. (2021) și </w:t>
      </w:r>
      <w:r w:rsidRPr="00DC40C8">
        <w:rPr>
          <w:rFonts w:ascii="Times New Roman" w:eastAsia="Times New Roman" w:hAnsi="Times New Roman" w:cs="Times New Roman"/>
          <w:color w:val="000000" w:themeColor="text1"/>
          <w:kern w:val="0"/>
          <w:lang w:val="en-150" w:eastAsia="en-GB"/>
          <w14:ligatures w14:val="none"/>
        </w:rPr>
        <w:lastRenderedPageBreak/>
        <w:t>Guidolin și Wang (2023), subliniază importanța trecerii de la forecast la decizie de portofoliu. În această lucrare, semnalul economic reprezintă tocmai această punte dintre performanța statistică a modelului și testarea sa într-un cadru de portofoliu.</w:t>
      </w:r>
    </w:p>
    <w:p w14:paraId="2F1D64A2" w14:textId="75014048" w:rsidR="00DC40C8" w:rsidRPr="00DC40C8" w:rsidRDefault="00DC40C8" w:rsidP="00DC40C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Pr>
          <w:rFonts w:ascii="Times New Roman" w:eastAsia="Times New Roman" w:hAnsi="Times New Roman" w:cs="Times New Roman"/>
          <w:color w:val="000000" w:themeColor="text1"/>
          <w:kern w:val="0"/>
          <w:lang w:val="en-150" w:eastAsia="en-GB"/>
          <w14:ligatures w14:val="none"/>
        </w:rPr>
        <w:t>T</w:t>
      </w:r>
      <w:r w:rsidRPr="00DC40C8">
        <w:rPr>
          <w:rFonts w:ascii="Times New Roman" w:eastAsia="Times New Roman" w:hAnsi="Times New Roman" w:cs="Times New Roman"/>
          <w:color w:val="000000" w:themeColor="text1"/>
          <w:kern w:val="0"/>
          <w:lang w:eastAsia="en-GB"/>
          <w14:ligatures w14:val="none"/>
        </w:rPr>
        <w:t>abelul 4.4. Regulile de construcție a semnalului de tranzacționare</w:t>
      </w:r>
    </w:p>
    <w:p w14:paraId="389EB9FC" w14:textId="769ACC9B" w:rsidR="008D2F71" w:rsidRPr="00DC40C8" w:rsidRDefault="00975BF2"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975BF2">
        <w:drawing>
          <wp:inline distT="0" distB="0" distL="0" distR="0" wp14:anchorId="24129A9D" wp14:editId="50EAC1AA">
            <wp:extent cx="5939790" cy="2566670"/>
            <wp:effectExtent l="0" t="0" r="3810" b="5080"/>
            <wp:docPr id="1112161707"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2566670"/>
                    </a:xfrm>
                    <a:prstGeom prst="rect">
                      <a:avLst/>
                    </a:prstGeom>
                    <a:noFill/>
                    <a:ln>
                      <a:noFill/>
                    </a:ln>
                  </pic:spPr>
                </pic:pic>
              </a:graphicData>
            </a:graphic>
          </wp:inline>
        </w:drawing>
      </w:r>
    </w:p>
    <w:p w14:paraId="7AA882FE"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Tabelul 4.4 sintetizează principalele componente ale semnalului economic utilizat în analiză. Acesta prezintă relația dintre forecast-ul implied volatility, valoarea observată anterior, deviația standardizată și interpretarea economică a semnalelor long volatility, short volatility și flat. Prin această structură, forecast-ul suprafeței este transformat într-o regulă operațională de selecție a pozițiilor, care poate fi ulterior evaluată prin backtesting.</w:t>
      </w:r>
    </w:p>
    <w:p w14:paraId="2DB64E13"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Semnalul construit în această etapă nu este interpretat ca o predicție perfectă a mișcării viitoare a prețurilor opțiunilor, ci ca o măsură relativă a zonelor din suprafață în care modelul anticipează modificări mai pronunțate ale volatilității implicite. Din acest motiv, evaluarea sa finală nu se realizează exclusiv prin acuratețea forecast-ului, ci prin performanța portofoliului rezultat. Această distincție este esențială, deoarece valoarea economică a unui model de forecast poate fi confirmată doar dacă semnalul generat conduce la rezultate relevante într-un cadru de tranzacționare și management al riscului.</w:t>
      </w:r>
    </w:p>
    <w:p w14:paraId="78FB60E3"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b/>
          <w:bCs/>
          <w:color w:val="000000" w:themeColor="text1"/>
          <w:kern w:val="0"/>
          <w:lang w:val="en-150" w:eastAsia="en-GB"/>
          <w14:ligatures w14:val="none"/>
        </w:rPr>
      </w:pPr>
      <w:r w:rsidRPr="005D0168">
        <w:rPr>
          <w:rFonts w:ascii="Times New Roman" w:eastAsia="Times New Roman" w:hAnsi="Times New Roman" w:cs="Times New Roman"/>
          <w:b/>
          <w:bCs/>
          <w:color w:val="000000" w:themeColor="text1"/>
          <w:kern w:val="0"/>
          <w:lang w:val="en-150" w:eastAsia="en-GB"/>
          <w14:ligatures w14:val="none"/>
        </w:rPr>
        <w:t>4.5. Designul backtestingului și construcția portofoliului</w:t>
      </w:r>
    </w:p>
    <w:p w14:paraId="5EC0EC9C"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 xml:space="preserve">După construirea semnalului economic, metodologia continuă cu evaluarea acestuia într-un cadru de backtesting. Scopul acestei etape este de a verifica dacă diferențele dintre volatilitatea implicită </w:t>
      </w:r>
      <w:r w:rsidRPr="005D0168">
        <w:rPr>
          <w:rFonts w:ascii="Times New Roman" w:eastAsia="Times New Roman" w:hAnsi="Times New Roman" w:cs="Times New Roman"/>
          <w:color w:val="000000" w:themeColor="text1"/>
          <w:kern w:val="0"/>
          <w:lang w:val="en-150" w:eastAsia="en-GB"/>
          <w14:ligatures w14:val="none"/>
        </w:rPr>
        <w:lastRenderedPageBreak/>
        <w:t>prognozată și volatilitatea implicită observată pot fi transformate într-o regulă de portofoliu cu semnificație economică. Această distincție este importantă deoarece literatura arată că performanța statistică a unui model de forecast nu este echivalentă automat cu performanța economică a unei strategii de tranzacționare. În evaluarea modelelor financiare, criteriul relevant depinde de funcția economică urmărită: un model util pentru reducerea erorii de prognoză nu este în mod necesar util pentru hedging sau trading (Christoffersen &amp; Jacobs, 2004; Campbell et al., 1997).</w:t>
      </w:r>
    </w:p>
    <w:p w14:paraId="2A41F829"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Backtestingul este realizat în două etape. Prima etapă constă într-un test simplificat, construit direct în spațiul volatilității implicite. În acest caz, performanța semnalului este evaluată prin relația dintre direcția semnalului și modificarea ulterioară a volatilității implicite pe nodul corespunzător al grilei. Această abordare nu reprezintă o strategie tranzacționabilă completă, deoarece nu utilizează prețuri efective ale opțiunilor și nu include costuri de implementare, dar este utilă ca diagnostic preliminar al conținutului informațional al semnalului. Dacă semnalul nu ar produce rezultate pozitive nici în această variantă idealizată, ar exista puține motive pentru a continua către un backtest mai realist.</w:t>
      </w:r>
    </w:p>
    <w:p w14:paraId="3FDA0E6B"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A doua etapă reprezintă testul economic principal al lucrării și constă în construirea unui portofoliu realist de opțiuni. Pentru fiecare zi de tranzacționare, nodurile selectate de semnal sunt mapate către opțiuni reale disponibile în piață. Maparea se realizează prin identificarea contractului cel mai apropiat de nodul respectiv în spațiul log-moneyness–maturitate. Astfel, semnalul generat pe grila standardizată este transpus într-un instrument tranzacționabil. Această etapă este necesară deoarece forecast-ul este construit pe o reprezentare standardizată a suprafeței, în timp ce portofoliul trebuie să fie exprimat în termeni de contracte efective.</w:t>
      </w:r>
    </w:p>
    <w:p w14:paraId="2B67EA53"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În varianta principală a backtestului realist este utilizată o regulă strictă de tip exact-contract. Aceasta presupune ca opțiunea mapată la momentul intrării să fie observabilă și în perioada următoare pentru ca poziția să fie considerată tranzacționabilă. Cu alte cuvinte, PnL-ul poziției este calculat doar dacă același contract este disponibil atât la momentul inițial, cât și la momentul de ieșire. Această alegere reduce numărul pozițiilor efectiv tranzacționate, dar are avantajul de a evita înlocuirea contractului inițial cu o altă opțiune cu strike sau maturitate diferită. Din punct de vedere metodologic, această abordare este conservatoare și mai curată, deoarece limitează riscul ca rezultatele să fie influențate de un mismatch artificial între contractul de intrare și contractul de ieșire.</w:t>
      </w:r>
    </w:p>
    <w:p w14:paraId="4C95489F"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lastRenderedPageBreak/>
        <w:t>Pentru fiecare zi, portofoliul este construit într-o manieră side-neutral. Pozițiile long volatility și short volatility sunt ponderate astfel încât fiecare parte a portofoliului să aibă aceeași expunere agregată în valoare absolută. În implementarea de bază, partea long primește o pondere agregată de +0,5, iar partea short o pondere agregată de -0,5, cu ponderare egală în interiorul fiecărei părți. Această regulă reduce expunerea netă direcțională generată de dezechilibrul dintre numărul sau dimensiunea pozițiilor long și short și permite o interpretare mai clară a performanței portofoliului. În același timp, ea păstrează strategia suficient de simplă pentru a evita dependența rezultatelor de reguli complexe de optimizare.</w:t>
      </w:r>
    </w:p>
    <w:p w14:paraId="160FC6C5"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Orizontul de deținere al pozițiilor este de o zi, iar portofoliul este rebalansat zilnic. Alegerea acestui orizont este compatibilă cu designul de forecast one-step-ahead descris anterior: semnalul generat pe baza informației disponibile la o dată este utilizat pentru poziționarea pe perioada următoare. Această aliniere între orizontul forecastului și orizontul backtestului este necesară pentru a evita discrepanțele metodologice între modul în care modelul este evaluat statistic și modul în care semnalul este monetizat economic.</w:t>
      </w:r>
    </w:p>
    <w:p w14:paraId="76492038"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PnL-ul portofoliului realist este calculat pe baza modificării prețului opțiunilor mapate între momentul intrării și momentul ieșirii. Pentru fiecare poziție, variația de preț a contractului este înmulțită cu ponderea alocată în portofoliu, iar PnL-ul zilnic agregat este obținut prin însumarea PnL-urilor individuale. Indicatorii de performanță calculați includ PnL-ul total, media PnL-ului zilnic, volatilitatea zilnică, raportul Sharpe și drawdown-ul maxim. Acești indicatori permit evaluarea simultană a profitabilității, riscului și stabilității strategiei.</w:t>
      </w:r>
    </w:p>
    <w:p w14:paraId="271B5301" w14:textId="6A2C788C" w:rsidR="008D2F71" w:rsidRDefault="005D0168"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O versiune cu fallback, în care contractele lipsă la momentul de ieșire sunt înlocuite cu cea mai apropiată opțiune disponibilă, a fost analizată separat, însă nu este utilizată în rezultatele principale. Motivul este că o astfel de substituție poate introduce diferențe economice relevante între contractul de intrare și cel de ieșire, în special în ceea ce privește maturitatea, moneyness-ul și profilul Greeks. Într-un cadru de backtesting financiar, evitarea unor astfel de substituții este importantă pentru reducerea riscului de supraestimare sau distorsionare a performanței, mai ales în condițiile în care testele istorice pot fi sensibile la alegerile de implementare (López de Prado, 2018). Prin urmare, rezultatele principale sunt raportate pentru varianta strictă, care oferă un compromis mai conservator între realism economic și disciplină metodologică.</w:t>
      </w:r>
    </w:p>
    <w:p w14:paraId="7A87487A" w14:textId="5581A890" w:rsidR="005D0168" w:rsidRDefault="005D0168"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US" w:eastAsia="en-GB"/>
          <w14:ligatures w14:val="none"/>
        </w:rPr>
      </w:pPr>
      <w:r w:rsidRPr="005D0168">
        <w:rPr>
          <w:rFonts w:ascii="Times New Roman" w:eastAsia="Times New Roman" w:hAnsi="Times New Roman" w:cs="Times New Roman"/>
          <w:color w:val="000000" w:themeColor="text1"/>
          <w:kern w:val="0"/>
          <w:lang w:eastAsia="en-GB"/>
          <w14:ligatures w14:val="none"/>
        </w:rPr>
        <w:t>Tabelul 4.5. Designul backtestingului și construcția portofoliulu</w:t>
      </w:r>
      <w:r>
        <w:rPr>
          <w:rFonts w:ascii="Times New Roman" w:eastAsia="Times New Roman" w:hAnsi="Times New Roman" w:cs="Times New Roman"/>
          <w:color w:val="000000" w:themeColor="text1"/>
          <w:kern w:val="0"/>
          <w:lang w:val="en-US" w:eastAsia="en-GB"/>
          <w14:ligatures w14:val="none"/>
        </w:rPr>
        <w:t>i</w:t>
      </w:r>
    </w:p>
    <w:p w14:paraId="38DE58FF" w14:textId="5CADA641" w:rsidR="005D0168" w:rsidRPr="005D0168" w:rsidRDefault="005D0168" w:rsidP="00F871E1">
      <w:pPr>
        <w:spacing w:before="100" w:beforeAutospacing="1" w:after="100" w:afterAutospacing="1" w:line="360" w:lineRule="auto"/>
        <w:jc w:val="both"/>
        <w:rPr>
          <w:rFonts w:ascii="Times New Roman" w:eastAsia="Times New Roman" w:hAnsi="Times New Roman" w:cs="Times New Roman"/>
          <w:color w:val="000000" w:themeColor="text1"/>
          <w:kern w:val="0"/>
          <w:lang w:val="en-US" w:eastAsia="en-GB"/>
          <w14:ligatures w14:val="none"/>
        </w:rPr>
      </w:pPr>
      <w:r w:rsidRPr="005D0168">
        <w:lastRenderedPageBreak/>
        <w:drawing>
          <wp:inline distT="0" distB="0" distL="0" distR="0" wp14:anchorId="050C237A" wp14:editId="0FBCE519">
            <wp:extent cx="5654040" cy="5676900"/>
            <wp:effectExtent l="0" t="0" r="3810" b="0"/>
            <wp:docPr id="269920525"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4040" cy="5676900"/>
                    </a:xfrm>
                    <a:prstGeom prst="rect">
                      <a:avLst/>
                    </a:prstGeom>
                    <a:noFill/>
                    <a:ln>
                      <a:noFill/>
                    </a:ln>
                  </pic:spPr>
                </pic:pic>
              </a:graphicData>
            </a:graphic>
          </wp:inline>
        </w:drawing>
      </w:r>
    </w:p>
    <w:p w14:paraId="03B4DA81"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Tabelul 4.5 sintetizează principalele alegeri metodologice privind construcția portofoliului și evaluarea performanței. Acesta include universul pozițiilor, regula de selecție a semnalelor, orizontul de deținere, frecvența rebalansării, schema de ponderare, regula de mapare către opțiuni reale și definiția PnL-ului. Prin această structură, backtestingul este construit ca o punte între forecast-ul statistic al suprafeței volatilității implicite și evaluarea economică a unei strategii de portofoliu.</w:t>
      </w:r>
    </w:p>
    <w:p w14:paraId="4C2F2E5A" w14:textId="77777777" w:rsid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 xml:space="preserve">În concluzie, designul de backtesting urmărește să păstreze un echilibru între simplitate, realism și rigoare metodologică. Testul sintetic oferă o primă verificare a conținutului informațional al semnalului, în timp ce testul realist strict evaluează capacitatea acestuia de a genera performanță într-un cadru apropiat de tranzacționarea efectivă a opțiunilor. Această separare permite </w:t>
      </w:r>
      <w:r w:rsidRPr="005D0168">
        <w:rPr>
          <w:rFonts w:ascii="Times New Roman" w:eastAsia="Times New Roman" w:hAnsi="Times New Roman" w:cs="Times New Roman"/>
          <w:color w:val="000000" w:themeColor="text1"/>
          <w:kern w:val="0"/>
          <w:lang w:val="en-150" w:eastAsia="en-GB"/>
          <w14:ligatures w14:val="none"/>
        </w:rPr>
        <w:lastRenderedPageBreak/>
        <w:t>interpretarea mai nuanțată a rezultatelor și evită confundarea unei performanțe ideale în spațiul implied volatility cu valoarea economică efectivă a unei strategii implementabile.</w:t>
      </w:r>
    </w:p>
    <w:p w14:paraId="6552C0B0"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b/>
          <w:bCs/>
          <w:color w:val="000000" w:themeColor="text1"/>
          <w:kern w:val="0"/>
          <w:lang w:val="en-150" w:eastAsia="en-GB"/>
          <w14:ligatures w14:val="none"/>
        </w:rPr>
      </w:pPr>
      <w:r w:rsidRPr="005D0168">
        <w:rPr>
          <w:rFonts w:ascii="Times New Roman" w:eastAsia="Times New Roman" w:hAnsi="Times New Roman" w:cs="Times New Roman"/>
          <w:b/>
          <w:bCs/>
          <w:color w:val="000000" w:themeColor="text1"/>
          <w:kern w:val="0"/>
          <w:lang w:val="en-150" w:eastAsia="en-GB"/>
          <w14:ligatures w14:val="none"/>
        </w:rPr>
        <w:t>4.6. Calculul Greeks și frameworkul de hedging</w:t>
      </w:r>
    </w:p>
    <w:p w14:paraId="32B71427"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După construirea portofoliului realist de opțiuni, metodologia continuă cu estimarea indicatorilor de sensibilitate ai pozițiilor individuale și ai portofoliului agregat. Această etapă este necesară deoarece performanța unei strategii pe opțiuni nu depinde doar de direcția semnalului de volatilitate, ci și de expunerile pe care pozițiile le generează față de activul suport, volatilitate, convexitate și trecerea timpului. În literatura clasică a opțiunilor, indicatorii de sensibilitate sunt direct legați de logica de evaluare și replicare din modelele Black–Scholes și Merton, în care riscul unei opțiuni poate fi analizat prin reacția prețului la modificarea factorilor fundamentali de piață (Black &amp; Scholes, 1973; Merton, 1973).</w:t>
      </w:r>
    </w:p>
    <w:p w14:paraId="348CEB71"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Pentru fiecare poziție din portofoliul realist strict au fost calculați principalii Greeks: delta, gamma, vega și theta. Delta măsoară sensibilitatea valorii opțiunii la modificarea activului suport, gamma surprinde sensibilitatea deltei la variațiile activului suport, vega cuantifică expunerea la modificarea volatilității implicite, iar theta reflectă efectul trecerii timpului asupra valorii opțiunii. În contextul acestei lucrări, accentul principal cade pe delta, gamma și vega, deoarece obiectivul este evaluarea unei strategii care încearcă să monetizeze informația din suprafața volatilității implicite, reducând în același timp expunerile nedorite la mișcarea spotului și la convexitate.</w:t>
      </w:r>
    </w:p>
    <w:p w14:paraId="1D312EA3"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Greeks au fost calculați pentru fiecare contract utilizând informațiile disponibile la momentul intrării în poziție: prețul activului suport, strike-ul, maturitatea, tipul opțiunii, volatilitatea implicită, rata fără risc și randamentul dividendului, acolo unde acestea au fost disponibile. În cazul în care anumite variabile privind rata fără risc sau randamentul dividendului nu erau disponibile, metodologia permite utilizarea unor valori implicite, însă în implementarea efectivă acestea nu au fost necesare pentru pozițiile analizate. Această abordare asigură că expunerile portofoliului sunt estimate pe baza informației disponibile la momentul deciziei, evitând utilizarea ex-post a informației viitoare.</w:t>
      </w:r>
    </w:p>
    <w:p w14:paraId="02D6DBDD"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 xml:space="preserve">După calculul sensibilităților la nivel de contract, expunerile au fost ponderate cu greutatea fiecărei poziții în portofoliu și agregate zilnic. Astfel, pentru fiecare zi au fost obținute expunerile totale ale portofoliului la delta, gamma, vega și theta. Această agregare este importantă deoarece un portofoliu format din poziții long și short pe opțiuni poate avea expuneri individuale mari, dar </w:t>
      </w:r>
      <w:r w:rsidRPr="005D0168">
        <w:rPr>
          <w:rFonts w:ascii="Times New Roman" w:eastAsia="Times New Roman" w:hAnsi="Times New Roman" w:cs="Times New Roman"/>
          <w:color w:val="000000" w:themeColor="text1"/>
          <w:kern w:val="0"/>
          <w:lang w:val="en-150" w:eastAsia="en-GB"/>
          <w14:ligatures w14:val="none"/>
        </w:rPr>
        <w:lastRenderedPageBreak/>
        <w:t>expuneri agregate mai reduse sau chiar compensatorii. În consecință, analiza riscului nu se poate limita la nivelul contractelor individuale, ci trebuie realizată la nivelul întregului portofoliu.</w:t>
      </w:r>
    </w:p>
    <w:p w14:paraId="07BD6D0E"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Pe baza acestor expuneri agregate, au fost implementate două forme de hedging. Prima este acoperirea delta-only, în care se introduce o poziție în activul suport pentru neutralizarea expunerii agregate delta a portofoliului. Această strategie urmărește reducerea sensibilității locale a portofoliului la variațiile de preț ale indicelui S&amp;P 500. Delta hedgingul reprezintă o tehnică fundamentală în managementul riscului opțiunilor, însă literatura arată că acesta nu este suficient atunci când portofoliul rămâne expus la volatilitate și convexitate (Crépey, 2004; Hull &amp; White, 2017).</w:t>
      </w:r>
    </w:p>
    <w:p w14:paraId="090D554F"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A doua strategie este acoperirea delta-gamma. În acest caz, neutralizarea expunerii gamma este realizată prin utilizarea unei opțiuni de hedge, selectată zilnic din piață pe baza unor criterii de lichiditate, proximitate față de at-the-money și maturitate adecvată. După neutralizarea gamma prin opțiunea de hedge, poziția în activul suport este ajustată pentru neutralizarea deltei reziduale. Această logică reflectă faptul că neutralizarea gamma necesită un instrument neliniar, în timp ce neutralizarea deltei poate fi realizată printr-o poziție liniară în activul suport. Literatura recentă arată că strategiile care includ atât delta, cât și gamma sunt mai apropiate de realitatea portofoliilor de opțiuni decât o simplă acoperire direcțională, chiar dacă nu elimină integral riscul asociat volatilității implicite (François &amp; Stentoft, 2021).</w:t>
      </w:r>
    </w:p>
    <w:p w14:paraId="5F8E6A0A"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În implementarea empirică, opțiunea utilizată pentru hedgingul gamma este aleasă în fiecare zi dintre contractele disponibile, cu condiția să aibă preț valid la momentul intrării și la momentul următor. Această alegere menține aceeași disciplină metodologică utilizată în backtestul realist strict, unde se evită substituirea contractelor în mod arbitrar. Dacă într-o anumită zi nu există o opțiune de hedge validă sau nu este disponibil prețul pentru ziua următoare, ziua respectivă este marcată corespunzător, fără a forța o acoperire artificială.</w:t>
      </w:r>
    </w:p>
    <w:p w14:paraId="7586F4F9" w14:textId="77777777" w:rsidR="005D0168" w:rsidRPr="005D0168" w:rsidRDefault="005D0168"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5D0168">
        <w:rPr>
          <w:rFonts w:ascii="Times New Roman" w:eastAsia="Times New Roman" w:hAnsi="Times New Roman" w:cs="Times New Roman"/>
          <w:color w:val="000000" w:themeColor="text1"/>
          <w:kern w:val="0"/>
          <w:lang w:val="en-150" w:eastAsia="en-GB"/>
          <w14:ligatures w14:val="none"/>
        </w:rPr>
        <w:t>Performanța portofoliului este evaluată în trei variante: fără hedging, cu hedging delta-only și cu hedging delta-gamma. Această comparație permite separarea a două dimensiuni ale analizei. Prima dimensiune este performanța economică a semnalului, observată în portofoliul neacoperit. A doua dimensiune este eficiența managementului riscului, observată prin reducerea expunerilor delta și gamma după aplicarea strategiilor de hedging. În acest mod, metodologia nu interpretează hedgingul doar ca instrument de maximizare a profitului, ci ca mecanism de control al riscului și de izolare a sursei de performanță asociate volatilității implicite.</w:t>
      </w:r>
    </w:p>
    <w:p w14:paraId="20AE863C" w14:textId="363BD1E9" w:rsidR="005D0168" w:rsidRDefault="00116295"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116295">
        <w:rPr>
          <w:rFonts w:ascii="Times New Roman" w:eastAsia="Times New Roman" w:hAnsi="Times New Roman" w:cs="Times New Roman"/>
          <w:color w:val="000000" w:themeColor="text1"/>
          <w:kern w:val="0"/>
          <w:lang w:eastAsia="en-GB"/>
          <w14:ligatures w14:val="none"/>
        </w:rPr>
        <w:lastRenderedPageBreak/>
        <w:t>Tabelul 4.6. Frameworkul de hedging utilizat în analiză</w:t>
      </w:r>
    </w:p>
    <w:p w14:paraId="6E273041" w14:textId="2FF0A188" w:rsidR="005D0168" w:rsidRPr="005D0168" w:rsidRDefault="00116295" w:rsidP="005D0168">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116295">
        <w:drawing>
          <wp:inline distT="0" distB="0" distL="0" distR="0" wp14:anchorId="24DF5EEA" wp14:editId="7FF69273">
            <wp:extent cx="5939790" cy="3898900"/>
            <wp:effectExtent l="0" t="0" r="3810" b="6350"/>
            <wp:docPr id="1778296848"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3898900"/>
                    </a:xfrm>
                    <a:prstGeom prst="rect">
                      <a:avLst/>
                    </a:prstGeom>
                    <a:noFill/>
                    <a:ln>
                      <a:noFill/>
                    </a:ln>
                  </pic:spPr>
                </pic:pic>
              </a:graphicData>
            </a:graphic>
          </wp:inline>
        </w:drawing>
      </w:r>
    </w:p>
    <w:p w14:paraId="11D3355C" w14:textId="77777777" w:rsidR="00116295" w:rsidRPr="00116295" w:rsidRDefault="00116295" w:rsidP="00116295">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116295">
        <w:rPr>
          <w:rFonts w:ascii="Times New Roman" w:eastAsia="Times New Roman" w:hAnsi="Times New Roman" w:cs="Times New Roman"/>
          <w:color w:val="000000" w:themeColor="text1"/>
          <w:kern w:val="0"/>
          <w:lang w:val="en-150" w:eastAsia="en-GB"/>
          <w14:ligatures w14:val="none"/>
        </w:rPr>
        <w:t>Tabelul 4.6 sintetizează principalele variante de portofoliu evaluate în analiza empirică: portofoliul neacoperit, portofoliul acoperit delta și portofoliul acoperit delta-gamma. Pentru fiecare variantă sunt prezentate instrumentele utilizate, expunerile vizate și modul de evaluare a performanței. Această structură permite compararea directă a performanței brute cu performanța obținută după introducerea mecanismelor de control al sensibilităților.</w:t>
      </w:r>
    </w:p>
    <w:p w14:paraId="6EB2C0F8" w14:textId="77777777" w:rsidR="00116295" w:rsidRPr="00116295" w:rsidRDefault="00116295" w:rsidP="00116295">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116295">
        <w:rPr>
          <w:rFonts w:ascii="Times New Roman" w:eastAsia="Times New Roman" w:hAnsi="Times New Roman" w:cs="Times New Roman"/>
          <w:color w:val="000000" w:themeColor="text1"/>
          <w:kern w:val="0"/>
          <w:lang w:val="en-150" w:eastAsia="en-GB"/>
          <w14:ligatures w14:val="none"/>
        </w:rPr>
        <w:t>Prin urmare, această etapă metodologică conectează direct titlul lucrării cu testarea empirică. Indicatorii de sensibilitate nu sunt utilizați doar descriptiv, ci devin baza construcției strategiilor de hedging și a evaluării eficienței acestora. Astfel, analiza permite examinarea modului în care forecast-ul suprafeței volatilității implicite se comportă într-un portofoliu de opțiuni administrat prin controlul explicit al deltei și al gammei.</w:t>
      </w:r>
    </w:p>
    <w:p w14:paraId="5D577127" w14:textId="77777777" w:rsidR="00116295" w:rsidRPr="00116295" w:rsidRDefault="00116295" w:rsidP="00116295">
      <w:pPr>
        <w:spacing w:before="100" w:beforeAutospacing="1" w:after="100" w:afterAutospacing="1" w:line="360" w:lineRule="auto"/>
        <w:jc w:val="both"/>
        <w:rPr>
          <w:rFonts w:ascii="Times New Roman" w:eastAsia="Times New Roman" w:hAnsi="Times New Roman" w:cs="Times New Roman"/>
          <w:b/>
          <w:bCs/>
          <w:color w:val="000000" w:themeColor="text1"/>
          <w:kern w:val="0"/>
          <w:lang w:val="en-150" w:eastAsia="en-GB"/>
          <w14:ligatures w14:val="none"/>
        </w:rPr>
      </w:pPr>
      <w:r w:rsidRPr="00116295">
        <w:rPr>
          <w:rFonts w:ascii="Times New Roman" w:eastAsia="Times New Roman" w:hAnsi="Times New Roman" w:cs="Times New Roman"/>
          <w:b/>
          <w:bCs/>
          <w:color w:val="000000" w:themeColor="text1"/>
          <w:kern w:val="0"/>
          <w:lang w:val="en-150" w:eastAsia="en-GB"/>
          <w14:ligatures w14:val="none"/>
        </w:rPr>
        <w:t>4.7. Metrici de evaluare</w:t>
      </w:r>
    </w:p>
    <w:p w14:paraId="7E9CD2EF" w14:textId="77777777" w:rsidR="00116295" w:rsidRPr="00116295" w:rsidRDefault="00116295" w:rsidP="00116295">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116295">
        <w:rPr>
          <w:rFonts w:ascii="Times New Roman" w:eastAsia="Times New Roman" w:hAnsi="Times New Roman" w:cs="Times New Roman"/>
          <w:color w:val="000000" w:themeColor="text1"/>
          <w:kern w:val="0"/>
          <w:lang w:val="en-150" w:eastAsia="en-GB"/>
          <w14:ligatures w14:val="none"/>
        </w:rPr>
        <w:t xml:space="preserve">Evaluarea rezultatelor este realizată pe două niveluri complementare. Primul nivel privește acuratețea statistică a modelelor de prognoză a suprafeței volatilității implicite, iar al doilea nivel privește valoarea economică a forecast-ului în cadrul portofoliului de opțiuni. Această separare </w:t>
      </w:r>
      <w:r w:rsidRPr="00116295">
        <w:rPr>
          <w:rFonts w:ascii="Times New Roman" w:eastAsia="Times New Roman" w:hAnsi="Times New Roman" w:cs="Times New Roman"/>
          <w:color w:val="000000" w:themeColor="text1"/>
          <w:kern w:val="0"/>
          <w:lang w:val="en-150" w:eastAsia="en-GB"/>
          <w14:ligatures w14:val="none"/>
        </w:rPr>
        <w:lastRenderedPageBreak/>
        <w:t>este importantă deoarece literatura privind modelele de evaluare a opțiunilor subliniază că un model performant în termeni statistici nu este în mod necesar superior atunci când este utilizat pentru decizii de tranzacționare sau hedging (Christoffersen &amp; Jacobs, 2004). Prin urmare, metodologia nu se limitează la compararea erorilor de predicție, ci analizează și performanța portofoliului rezultat din utilizarea forecast-ului.</w:t>
      </w:r>
    </w:p>
    <w:p w14:paraId="61551EFF" w14:textId="77777777" w:rsidR="00116295" w:rsidRPr="00116295" w:rsidRDefault="00116295" w:rsidP="00116295">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116295">
        <w:rPr>
          <w:rFonts w:ascii="Times New Roman" w:eastAsia="Times New Roman" w:hAnsi="Times New Roman" w:cs="Times New Roman"/>
          <w:color w:val="000000" w:themeColor="text1"/>
          <w:kern w:val="0"/>
          <w:lang w:val="en-150" w:eastAsia="en-GB"/>
          <w14:ligatures w14:val="none"/>
        </w:rPr>
        <w:t>Pentru evaluarea modelelor de forecasting sunt utilizate două metrici standard: RMSE și MAE. RMSE măsoară rădăcina mediei erorilor pătratice și penalizează mai puternic deviațiile mari ale forecast-ului față de valorile observate. Această proprietate este utilă într-un context de prognoză a suprafeței volatilității implicite, deoarece erorile mari în anumite regiuni ale suprafeței pot avea implicații importante asupra construcției semnalelor și asupra evaluării pozițiilor în opțiuni. MAE măsoară media abaterilor absolute și oferă o interpretare mai directă a erorii medii tipice. Utilizarea simultană a celor două metrici este recomandată în literatura de forecast, deoarece fiecare evidențiază o dimensiune diferită a performanței predictive (Hyndman &amp; Koehler, 2006).</w:t>
      </w:r>
    </w:p>
    <w:p w14:paraId="1993065D" w14:textId="77777777" w:rsidR="00116295" w:rsidRPr="00116295" w:rsidRDefault="00116295" w:rsidP="00116295">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116295">
        <w:rPr>
          <w:rFonts w:ascii="Times New Roman" w:eastAsia="Times New Roman" w:hAnsi="Times New Roman" w:cs="Times New Roman"/>
          <w:color w:val="000000" w:themeColor="text1"/>
          <w:kern w:val="0"/>
          <w:lang w:val="en-150" w:eastAsia="en-GB"/>
          <w14:ligatures w14:val="none"/>
        </w:rPr>
        <w:t>Compararea modelelor se realizează în afara eșantionului, pe perioada de testare. Această alegere este esențială pentru a evalua capacitatea reală a modelelor de a generaliza pe observații neutilizate în etapa de estimare. În contextul seriilor temporale financiare, evaluarea out-of-sample este deosebit de importantă deoarece performanța in-sample poate supraestima calitatea predictivă a modelului, mai ales atunci când sunt utilizate metode flexibile sau neliniare (Campbell et al., 1997; López de Prado, 2018).</w:t>
      </w:r>
    </w:p>
    <w:p w14:paraId="3867DC93" w14:textId="77777777" w:rsidR="00116295" w:rsidRPr="00116295" w:rsidRDefault="00116295" w:rsidP="00116295">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116295">
        <w:rPr>
          <w:rFonts w:ascii="Times New Roman" w:eastAsia="Times New Roman" w:hAnsi="Times New Roman" w:cs="Times New Roman"/>
          <w:color w:val="000000" w:themeColor="text1"/>
          <w:kern w:val="0"/>
          <w:lang w:val="en-150" w:eastAsia="en-GB"/>
          <w14:ligatures w14:val="none"/>
        </w:rPr>
        <w:t>Al doilea nivel de evaluare privește performanța economică a portofoliilor construite pe baza semnalului de volatilitate. În acest scop sunt utilizați indicatori standard de performanță a strategiilor de investiții: PnL total, media PnL-ului zilnic, volatilitatea zilnică a PnL-ului, raportul Sharpe și drawdown-ul maxim. PnL-ul total măsoară rezultatul agregat al strategiei pe întreaga perioadă de testare, în timp ce media zilnică și volatilitatea zilnică descriu profilul de performanță pe termen scurt. Raportul Sharpe este utilizat pentru a evalua performanța ajustată la risc, prin raportarea randamentului mediu la volatilitatea acestuia (Sharpe, 1994). Drawdown-ul maxim completează această analiză prin surprinderea celei mai mari pierderi cumulate față de un maxim anterior al portofoliului, fiind relevant pentru evaluarea riscului de scădere și a stabilității strategiei.</w:t>
      </w:r>
    </w:p>
    <w:p w14:paraId="0385D57D" w14:textId="77777777" w:rsidR="00116295" w:rsidRPr="00116295" w:rsidRDefault="00116295" w:rsidP="00116295">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116295">
        <w:rPr>
          <w:rFonts w:ascii="Times New Roman" w:eastAsia="Times New Roman" w:hAnsi="Times New Roman" w:cs="Times New Roman"/>
          <w:color w:val="000000" w:themeColor="text1"/>
          <w:kern w:val="0"/>
          <w:lang w:val="en-150" w:eastAsia="en-GB"/>
          <w14:ligatures w14:val="none"/>
        </w:rPr>
        <w:t xml:space="preserve">Pentru componenta de hedging, evaluarea nu se limitează la performanța PnL. Întrucât scopul hedgingului delta și delta-gamma este reducerea expunerilor la factorii de risc, metodologia </w:t>
      </w:r>
      <w:r w:rsidRPr="00116295">
        <w:rPr>
          <w:rFonts w:ascii="Times New Roman" w:eastAsia="Times New Roman" w:hAnsi="Times New Roman" w:cs="Times New Roman"/>
          <w:color w:val="000000" w:themeColor="text1"/>
          <w:kern w:val="0"/>
          <w:lang w:val="en-150" w:eastAsia="en-GB"/>
          <w14:ligatures w14:val="none"/>
        </w:rPr>
        <w:lastRenderedPageBreak/>
        <w:t>include și indicatori de eficiență a acoperirii. Astfel, sunt comparate expunerile absolute medii înainte și după hedging, în special pentru delta și gamma. O reducere semnificativă a acestor expuneri indică faptul că mecanismul de hedging funcționează din punct de vedere al controlului riscului, chiar dacă efectul asupra PnL-ului poate fi ambiguu. Această distincție este importantă deoarece hedgingul nu trebuie interpretat exclusiv ca instrument de creștere a profitabilității, ci ca mecanism de reducere a sensibilităților nedorite ale portofoliului.</w:t>
      </w:r>
    </w:p>
    <w:p w14:paraId="253BADDA" w14:textId="3FA416E4" w:rsidR="00D3265C" w:rsidRPr="00116295" w:rsidRDefault="00116295" w:rsidP="00116295">
      <w:pPr>
        <w:spacing w:before="100" w:beforeAutospacing="1" w:after="100" w:afterAutospacing="1" w:line="360" w:lineRule="auto"/>
        <w:jc w:val="both"/>
        <w:rPr>
          <w:rFonts w:ascii="Times New Roman" w:eastAsia="Times New Roman" w:hAnsi="Times New Roman" w:cs="Times New Roman"/>
          <w:color w:val="000000" w:themeColor="text1"/>
          <w:kern w:val="0"/>
          <w:lang w:val="en-150" w:eastAsia="en-GB"/>
          <w14:ligatures w14:val="none"/>
        </w:rPr>
      </w:pPr>
      <w:r w:rsidRPr="00116295">
        <w:rPr>
          <w:rFonts w:ascii="Times New Roman" w:eastAsia="Times New Roman" w:hAnsi="Times New Roman" w:cs="Times New Roman"/>
          <w:color w:val="000000" w:themeColor="text1"/>
          <w:kern w:val="0"/>
          <w:lang w:val="en-150" w:eastAsia="en-GB"/>
          <w14:ligatures w14:val="none"/>
        </w:rPr>
        <w:t>În final, metodologia permite evaluarea integrată a întregului demers empiric. RMSE și MAE arată dacă suprafața volatilității implicite poate fi prognozată cu o acuratețe rezonabilă, indicatorii de backtesting arată dacă forecast-ul poate fi transformat într-o strategie cu valoare economică, iar indicatorii de eficiență ai hedgingului arată dacă expunerile portofoliului pot fi controlate prin utilizarea sensibilităților. Prin urmare, validarea finală a modelului nu depinde de o singură metrică, ci de coerența dintre performanța statistică, performanța economică și eficiența managementului riscului.</w:t>
      </w:r>
      <w:bookmarkStart w:id="18" w:name="_Toc227519553"/>
    </w:p>
    <w:p w14:paraId="2E3E0102" w14:textId="40B97148" w:rsidR="00DE24DD" w:rsidRDefault="008D2F71" w:rsidP="008D2F71">
      <w:pPr>
        <w:spacing w:after="0" w:line="360" w:lineRule="auto"/>
        <w:jc w:val="center"/>
        <w:outlineLvl w:val="1"/>
        <w:rPr>
          <w:rFonts w:ascii="Times New Roman" w:eastAsia="Times New Roman" w:hAnsi="Times New Roman" w:cs="Times New Roman"/>
          <w:b/>
          <w:bCs/>
          <w:color w:val="000000" w:themeColor="text1"/>
          <w:kern w:val="0"/>
          <w:sz w:val="32"/>
          <w:szCs w:val="32"/>
          <w:lang w:eastAsia="en-GB"/>
          <w14:ligatures w14:val="none"/>
        </w:rPr>
      </w:pPr>
      <w:r w:rsidRPr="008D2F71">
        <w:rPr>
          <w:rFonts w:ascii="Times New Roman" w:eastAsia="Times New Roman" w:hAnsi="Times New Roman" w:cs="Times New Roman"/>
          <w:b/>
          <w:bCs/>
          <w:color w:val="000000" w:themeColor="text1"/>
          <w:kern w:val="0"/>
          <w:sz w:val="32"/>
          <w:szCs w:val="32"/>
          <w:lang w:eastAsia="en-GB"/>
          <w14:ligatures w14:val="none"/>
        </w:rPr>
        <w:t>BBLIOGRAFIE</w:t>
      </w:r>
      <w:bookmarkEnd w:id="18"/>
    </w:p>
    <w:p w14:paraId="03506FB5" w14:textId="77777777" w:rsidR="008D2F71" w:rsidRPr="008D2F71" w:rsidRDefault="008D2F71" w:rsidP="0019051A">
      <w:pPr>
        <w:spacing w:after="0" w:line="360" w:lineRule="auto"/>
        <w:jc w:val="center"/>
        <w:outlineLvl w:val="1"/>
        <w:rPr>
          <w:rFonts w:ascii="Times New Roman" w:eastAsia="Times New Roman" w:hAnsi="Times New Roman" w:cs="Times New Roman"/>
          <w:b/>
          <w:bCs/>
          <w:color w:val="000000" w:themeColor="text1"/>
          <w:kern w:val="0"/>
          <w:sz w:val="32"/>
          <w:szCs w:val="32"/>
          <w:lang w:eastAsia="en-GB"/>
          <w14:ligatures w14:val="none"/>
        </w:rPr>
      </w:pPr>
    </w:p>
    <w:p w14:paraId="1BB97FAC"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Audrino, F., &amp; Colangelo, D. (2010). Semi-parametric forecasts of the implied volatility surface using regression trees. </w:t>
      </w:r>
      <w:r w:rsidRPr="00DE24DD">
        <w:rPr>
          <w:rFonts w:ascii="Times New Roman" w:eastAsia="Times New Roman" w:hAnsi="Times New Roman" w:cs="Times New Roman"/>
          <w:i/>
          <w:iCs/>
          <w:color w:val="000000" w:themeColor="text1"/>
          <w:kern w:val="0"/>
          <w:lang w:eastAsia="en-GB"/>
          <w14:ligatures w14:val="none"/>
        </w:rPr>
        <w:t>Statistics and Computing, 20</w:t>
      </w:r>
      <w:r w:rsidRPr="00DE24DD">
        <w:rPr>
          <w:rFonts w:ascii="Times New Roman" w:eastAsia="Times New Roman" w:hAnsi="Times New Roman" w:cs="Times New Roman"/>
          <w:color w:val="000000" w:themeColor="text1"/>
          <w:kern w:val="0"/>
          <w:lang w:eastAsia="en-GB"/>
          <w14:ligatures w14:val="none"/>
        </w:rPr>
        <w:t>(4), 421–434.</w:t>
      </w:r>
    </w:p>
    <w:p w14:paraId="3663AA13"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Bakshi, G., Kapadia, N., &amp; Madan, D. (2003). Stock return characteristics, skew laws, and the differential pricing of individual equity options. </w:t>
      </w:r>
      <w:r w:rsidRPr="00DE24DD">
        <w:rPr>
          <w:rFonts w:ascii="Times New Roman" w:eastAsia="Times New Roman" w:hAnsi="Times New Roman" w:cs="Times New Roman"/>
          <w:i/>
          <w:iCs/>
          <w:color w:val="000000" w:themeColor="text1"/>
          <w:kern w:val="0"/>
          <w:lang w:eastAsia="en-GB"/>
          <w14:ligatures w14:val="none"/>
        </w:rPr>
        <w:t>Review of Financial Studies, 16</w:t>
      </w:r>
      <w:r w:rsidRPr="00DE24DD">
        <w:rPr>
          <w:rFonts w:ascii="Times New Roman" w:eastAsia="Times New Roman" w:hAnsi="Times New Roman" w:cs="Times New Roman"/>
          <w:color w:val="000000" w:themeColor="text1"/>
          <w:kern w:val="0"/>
          <w:lang w:eastAsia="en-GB"/>
          <w14:ligatures w14:val="none"/>
        </w:rPr>
        <w:t>(1), 101–143.</w:t>
      </w:r>
    </w:p>
    <w:p w14:paraId="28806469"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Bates, D. S. (2000). Post-’87 crash fears in the S&amp;P 500 futures option market. </w:t>
      </w:r>
      <w:r w:rsidRPr="00DE24DD">
        <w:rPr>
          <w:rFonts w:ascii="Times New Roman" w:eastAsia="Times New Roman" w:hAnsi="Times New Roman" w:cs="Times New Roman"/>
          <w:i/>
          <w:iCs/>
          <w:color w:val="000000" w:themeColor="text1"/>
          <w:kern w:val="0"/>
          <w:lang w:eastAsia="en-GB"/>
          <w14:ligatures w14:val="none"/>
        </w:rPr>
        <w:t>Journal of Econometrics, 94</w:t>
      </w:r>
      <w:r w:rsidRPr="00DE24DD">
        <w:rPr>
          <w:rFonts w:ascii="Times New Roman" w:eastAsia="Times New Roman" w:hAnsi="Times New Roman" w:cs="Times New Roman"/>
          <w:color w:val="000000" w:themeColor="text1"/>
          <w:kern w:val="0"/>
          <w:lang w:eastAsia="en-GB"/>
          <w14:ligatures w14:val="none"/>
        </w:rPr>
        <w:t>(1–2), 181–238.</w:t>
      </w:r>
    </w:p>
    <w:p w14:paraId="6098CAE3"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Bedendo, M., &amp; Hodges, S. D. (2009). The dynamics of the volatility skew: A Kalman filter approach. </w:t>
      </w:r>
      <w:r w:rsidRPr="00DE24DD">
        <w:rPr>
          <w:rFonts w:ascii="Times New Roman" w:eastAsia="Times New Roman" w:hAnsi="Times New Roman" w:cs="Times New Roman"/>
          <w:i/>
          <w:iCs/>
          <w:color w:val="000000" w:themeColor="text1"/>
          <w:kern w:val="0"/>
          <w:lang w:eastAsia="en-GB"/>
          <w14:ligatures w14:val="none"/>
        </w:rPr>
        <w:t>Journal of Banking &amp; Finance, 33</w:t>
      </w:r>
      <w:r w:rsidRPr="00DE24DD">
        <w:rPr>
          <w:rFonts w:ascii="Times New Roman" w:eastAsia="Times New Roman" w:hAnsi="Times New Roman" w:cs="Times New Roman"/>
          <w:color w:val="000000" w:themeColor="text1"/>
          <w:kern w:val="0"/>
          <w:lang w:eastAsia="en-GB"/>
          <w14:ligatures w14:val="none"/>
        </w:rPr>
        <w:t>(6), 1156–1165.</w:t>
      </w:r>
    </w:p>
    <w:p w14:paraId="60AC4FE3"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Bernales, A., &amp; Guidolin, M. (2014). Can we forecast the implied volatility surface dynamics of equity options? Predictability and economic value tests. </w:t>
      </w:r>
      <w:r w:rsidRPr="00DE24DD">
        <w:rPr>
          <w:rFonts w:ascii="Times New Roman" w:eastAsia="Times New Roman" w:hAnsi="Times New Roman" w:cs="Times New Roman"/>
          <w:i/>
          <w:iCs/>
          <w:color w:val="000000" w:themeColor="text1"/>
          <w:kern w:val="0"/>
          <w:lang w:eastAsia="en-GB"/>
          <w14:ligatures w14:val="none"/>
        </w:rPr>
        <w:t>Journal of Banking &amp; Finance, 46</w:t>
      </w:r>
      <w:r w:rsidRPr="00DE24DD">
        <w:rPr>
          <w:rFonts w:ascii="Times New Roman" w:eastAsia="Times New Roman" w:hAnsi="Times New Roman" w:cs="Times New Roman"/>
          <w:color w:val="000000" w:themeColor="text1"/>
          <w:kern w:val="0"/>
          <w:lang w:eastAsia="en-GB"/>
          <w14:ligatures w14:val="none"/>
        </w:rPr>
        <w:t>, 326–342.</w:t>
      </w:r>
    </w:p>
    <w:p w14:paraId="4D81A71C"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Bernales, A., &amp; Guidolin, M. (2015). Learning to smile: Can rational learning explain predictable dynamics in the implied volatility surface? </w:t>
      </w:r>
      <w:r w:rsidRPr="00DE24DD">
        <w:rPr>
          <w:rFonts w:ascii="Times New Roman" w:eastAsia="Times New Roman" w:hAnsi="Times New Roman" w:cs="Times New Roman"/>
          <w:i/>
          <w:iCs/>
          <w:color w:val="000000" w:themeColor="text1"/>
          <w:kern w:val="0"/>
          <w:lang w:eastAsia="en-GB"/>
          <w14:ligatures w14:val="none"/>
        </w:rPr>
        <w:t>Journal of Financial Markets, 26</w:t>
      </w:r>
      <w:r w:rsidRPr="00DE24DD">
        <w:rPr>
          <w:rFonts w:ascii="Times New Roman" w:eastAsia="Times New Roman" w:hAnsi="Times New Roman" w:cs="Times New Roman"/>
          <w:color w:val="000000" w:themeColor="text1"/>
          <w:kern w:val="0"/>
          <w:lang w:eastAsia="en-GB"/>
          <w14:ligatures w14:val="none"/>
        </w:rPr>
        <w:t>, 1–37.</w:t>
      </w:r>
    </w:p>
    <w:p w14:paraId="01F4A961"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lastRenderedPageBreak/>
        <w:t>Bernales, A., Verousis, T., Voukelatos, N., &amp; Zhang, M. (2020). What do we know about individual equity options? </w:t>
      </w:r>
      <w:r w:rsidRPr="00DE24DD">
        <w:rPr>
          <w:rFonts w:ascii="Times New Roman" w:eastAsia="Times New Roman" w:hAnsi="Times New Roman" w:cs="Times New Roman"/>
          <w:i/>
          <w:iCs/>
          <w:color w:val="000000" w:themeColor="text1"/>
          <w:kern w:val="0"/>
          <w:lang w:eastAsia="en-GB"/>
          <w14:ligatures w14:val="none"/>
        </w:rPr>
        <w:t>Journal of Futures Markets, 40</w:t>
      </w:r>
      <w:r w:rsidRPr="00DE24DD">
        <w:rPr>
          <w:rFonts w:ascii="Times New Roman" w:eastAsia="Times New Roman" w:hAnsi="Times New Roman" w:cs="Times New Roman"/>
          <w:color w:val="000000" w:themeColor="text1"/>
          <w:kern w:val="0"/>
          <w:lang w:eastAsia="en-GB"/>
          <w14:ligatures w14:val="none"/>
        </w:rPr>
        <w:t>(1), 67–91.</w:t>
      </w:r>
    </w:p>
    <w:p w14:paraId="2212974D"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Black, F., &amp; Scholes, M. (1973). The pricing of options and corporate liabilities. </w:t>
      </w:r>
      <w:r w:rsidRPr="00DE24DD">
        <w:rPr>
          <w:rFonts w:ascii="Times New Roman" w:eastAsia="Times New Roman" w:hAnsi="Times New Roman" w:cs="Times New Roman"/>
          <w:i/>
          <w:iCs/>
          <w:color w:val="000000" w:themeColor="text1"/>
          <w:kern w:val="0"/>
          <w:lang w:eastAsia="en-GB"/>
          <w14:ligatures w14:val="none"/>
        </w:rPr>
        <w:t>Journal of Political Economy, 81</w:t>
      </w:r>
      <w:r w:rsidRPr="00DE24DD">
        <w:rPr>
          <w:rFonts w:ascii="Times New Roman" w:eastAsia="Times New Roman" w:hAnsi="Times New Roman" w:cs="Times New Roman"/>
          <w:color w:val="000000" w:themeColor="text1"/>
          <w:kern w:val="0"/>
          <w:lang w:eastAsia="en-GB"/>
          <w14:ligatures w14:val="none"/>
        </w:rPr>
        <w:t>(3), 637–654.</w:t>
      </w:r>
    </w:p>
    <w:p w14:paraId="3E432D22"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Bollen, N. P. B., &amp; Whaley, R. E. (2004). Does net buying pressure affect the shape of implied volatility functions? </w:t>
      </w:r>
      <w:r w:rsidRPr="00DE24DD">
        <w:rPr>
          <w:rFonts w:ascii="Times New Roman" w:eastAsia="Times New Roman" w:hAnsi="Times New Roman" w:cs="Times New Roman"/>
          <w:i/>
          <w:iCs/>
          <w:color w:val="000000" w:themeColor="text1"/>
          <w:kern w:val="0"/>
          <w:lang w:eastAsia="en-GB"/>
          <w14:ligatures w14:val="none"/>
        </w:rPr>
        <w:t>The Journal of Finance, 59</w:t>
      </w:r>
      <w:r w:rsidRPr="00DE24DD">
        <w:rPr>
          <w:rFonts w:ascii="Times New Roman" w:eastAsia="Times New Roman" w:hAnsi="Times New Roman" w:cs="Times New Roman"/>
          <w:color w:val="000000" w:themeColor="text1"/>
          <w:kern w:val="0"/>
          <w:lang w:eastAsia="en-GB"/>
          <w14:ligatures w14:val="none"/>
        </w:rPr>
        <w:t>(2), 711–753.</w:t>
      </w:r>
    </w:p>
    <w:p w14:paraId="322738C2"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Bollerslev, T., Tauchen, G., &amp; Zhou, H. (2009). Expected stock returns and variance risk premia. </w:t>
      </w:r>
      <w:r w:rsidRPr="00DE24DD">
        <w:rPr>
          <w:rFonts w:ascii="Times New Roman" w:eastAsia="Times New Roman" w:hAnsi="Times New Roman" w:cs="Times New Roman"/>
          <w:i/>
          <w:iCs/>
          <w:color w:val="000000" w:themeColor="text1"/>
          <w:kern w:val="0"/>
          <w:lang w:eastAsia="en-GB"/>
          <w14:ligatures w14:val="none"/>
        </w:rPr>
        <w:t>Review of Financial Studies, 22</w:t>
      </w:r>
      <w:r w:rsidRPr="00DE24DD">
        <w:rPr>
          <w:rFonts w:ascii="Times New Roman" w:eastAsia="Times New Roman" w:hAnsi="Times New Roman" w:cs="Times New Roman"/>
          <w:color w:val="000000" w:themeColor="text1"/>
          <w:kern w:val="0"/>
          <w:lang w:eastAsia="en-GB"/>
          <w14:ligatures w14:val="none"/>
        </w:rPr>
        <w:t>(11), 4463–4492.</w:t>
      </w:r>
    </w:p>
    <w:p w14:paraId="25B9484A"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Breeden, D. T., &amp; Litzenberger, R. H. (1978). Prices of state-contingent claims implicit in option prices. </w:t>
      </w:r>
      <w:r w:rsidRPr="00DE24DD">
        <w:rPr>
          <w:rFonts w:ascii="Times New Roman" w:eastAsia="Times New Roman" w:hAnsi="Times New Roman" w:cs="Times New Roman"/>
          <w:i/>
          <w:iCs/>
          <w:color w:val="000000" w:themeColor="text1"/>
          <w:kern w:val="0"/>
          <w:lang w:eastAsia="en-GB"/>
          <w14:ligatures w14:val="none"/>
        </w:rPr>
        <w:t>Journal of Business, 51</w:t>
      </w:r>
      <w:r w:rsidRPr="00DE24DD">
        <w:rPr>
          <w:rFonts w:ascii="Times New Roman" w:eastAsia="Times New Roman" w:hAnsi="Times New Roman" w:cs="Times New Roman"/>
          <w:color w:val="000000" w:themeColor="text1"/>
          <w:kern w:val="0"/>
          <w:lang w:eastAsia="en-GB"/>
          <w14:ligatures w14:val="none"/>
        </w:rPr>
        <w:t>(4), 621–651.</w:t>
      </w:r>
    </w:p>
    <w:p w14:paraId="5017023E"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Britten-Jones, M., &amp; Neuberger, A. (2000). Option prices, implied price processes, and stochastic volatility. </w:t>
      </w:r>
      <w:r w:rsidRPr="00DE24DD">
        <w:rPr>
          <w:rFonts w:ascii="Times New Roman" w:eastAsia="Times New Roman" w:hAnsi="Times New Roman" w:cs="Times New Roman"/>
          <w:i/>
          <w:iCs/>
          <w:color w:val="000000" w:themeColor="text1"/>
          <w:kern w:val="0"/>
          <w:lang w:eastAsia="en-GB"/>
          <w14:ligatures w14:val="none"/>
        </w:rPr>
        <w:t>The Journal of Finance, 55</w:t>
      </w:r>
      <w:r w:rsidRPr="00DE24DD">
        <w:rPr>
          <w:rFonts w:ascii="Times New Roman" w:eastAsia="Times New Roman" w:hAnsi="Times New Roman" w:cs="Times New Roman"/>
          <w:color w:val="000000" w:themeColor="text1"/>
          <w:kern w:val="0"/>
          <w:lang w:eastAsia="en-GB"/>
          <w14:ligatures w14:val="none"/>
        </w:rPr>
        <w:t>(2), 839–866.</w:t>
      </w:r>
    </w:p>
    <w:p w14:paraId="1DBDE9AE"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Canina, L., &amp; Figlewski, S. (1993). The informational content of implied volatility. </w:t>
      </w:r>
      <w:r w:rsidRPr="00DE24DD">
        <w:rPr>
          <w:rFonts w:ascii="Times New Roman" w:eastAsia="Times New Roman" w:hAnsi="Times New Roman" w:cs="Times New Roman"/>
          <w:i/>
          <w:iCs/>
          <w:color w:val="000000" w:themeColor="text1"/>
          <w:kern w:val="0"/>
          <w:lang w:eastAsia="en-GB"/>
          <w14:ligatures w14:val="none"/>
        </w:rPr>
        <w:t>Review of Financial Studies, 6</w:t>
      </w:r>
      <w:r w:rsidRPr="00DE24DD">
        <w:rPr>
          <w:rFonts w:ascii="Times New Roman" w:eastAsia="Times New Roman" w:hAnsi="Times New Roman" w:cs="Times New Roman"/>
          <w:color w:val="000000" w:themeColor="text1"/>
          <w:kern w:val="0"/>
          <w:lang w:eastAsia="en-GB"/>
          <w14:ligatures w14:val="none"/>
        </w:rPr>
        <w:t>(3), 659–681.</w:t>
      </w:r>
    </w:p>
    <w:p w14:paraId="19BA73EE"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Carr, P., &amp; Wu, L. (2009). Variance risk premiums. </w:t>
      </w:r>
      <w:r w:rsidRPr="00DE24DD">
        <w:rPr>
          <w:rFonts w:ascii="Times New Roman" w:eastAsia="Times New Roman" w:hAnsi="Times New Roman" w:cs="Times New Roman"/>
          <w:i/>
          <w:iCs/>
          <w:color w:val="000000" w:themeColor="text1"/>
          <w:kern w:val="0"/>
          <w:lang w:eastAsia="en-GB"/>
          <w14:ligatures w14:val="none"/>
        </w:rPr>
        <w:t>Review of Financial Studies, 22</w:t>
      </w:r>
      <w:r w:rsidRPr="00DE24DD">
        <w:rPr>
          <w:rFonts w:ascii="Times New Roman" w:eastAsia="Times New Roman" w:hAnsi="Times New Roman" w:cs="Times New Roman"/>
          <w:color w:val="000000" w:themeColor="text1"/>
          <w:kern w:val="0"/>
          <w:lang w:eastAsia="en-GB"/>
          <w14:ligatures w14:val="none"/>
        </w:rPr>
        <w:t>(3), 1311–1341.</w:t>
      </w:r>
    </w:p>
    <w:p w14:paraId="20FE4263"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Chen, S., Zhou, Y., &amp; Dong, J. (2016). An efficient estimate and forecast of the implied volatility surface: A nonlinear Kalman filter approach. </w:t>
      </w:r>
      <w:r w:rsidRPr="00DE24DD">
        <w:rPr>
          <w:rFonts w:ascii="Times New Roman" w:eastAsia="Times New Roman" w:hAnsi="Times New Roman" w:cs="Times New Roman"/>
          <w:i/>
          <w:iCs/>
          <w:color w:val="000000" w:themeColor="text1"/>
          <w:kern w:val="0"/>
          <w:lang w:eastAsia="en-GB"/>
          <w14:ligatures w14:val="none"/>
        </w:rPr>
        <w:t>Economic Modelling, 58</w:t>
      </w:r>
      <w:r w:rsidRPr="00DE24DD">
        <w:rPr>
          <w:rFonts w:ascii="Times New Roman" w:eastAsia="Times New Roman" w:hAnsi="Times New Roman" w:cs="Times New Roman"/>
          <w:color w:val="000000" w:themeColor="text1"/>
          <w:kern w:val="0"/>
          <w:lang w:eastAsia="en-GB"/>
          <w14:ligatures w14:val="none"/>
        </w:rPr>
        <w:t>, 655–664.</w:t>
      </w:r>
    </w:p>
    <w:p w14:paraId="55458A09"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Christensen, B. J., &amp; Prabhala, N. R. (1998). The relation between implied and realized volatility. </w:t>
      </w:r>
      <w:r w:rsidRPr="00DE24DD">
        <w:rPr>
          <w:rFonts w:ascii="Times New Roman" w:eastAsia="Times New Roman" w:hAnsi="Times New Roman" w:cs="Times New Roman"/>
          <w:i/>
          <w:iCs/>
          <w:color w:val="000000" w:themeColor="text1"/>
          <w:kern w:val="0"/>
          <w:lang w:eastAsia="en-GB"/>
          <w14:ligatures w14:val="none"/>
        </w:rPr>
        <w:t>Journal of Financial Economics, 50</w:t>
      </w:r>
      <w:r w:rsidRPr="00DE24DD">
        <w:rPr>
          <w:rFonts w:ascii="Times New Roman" w:eastAsia="Times New Roman" w:hAnsi="Times New Roman" w:cs="Times New Roman"/>
          <w:color w:val="000000" w:themeColor="text1"/>
          <w:kern w:val="0"/>
          <w:lang w:eastAsia="en-GB"/>
          <w14:ligatures w14:val="none"/>
        </w:rPr>
        <w:t>(2), 125–150.</w:t>
      </w:r>
    </w:p>
    <w:p w14:paraId="67CD4C57"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Christoffersen, P., &amp; Jacobs, K. (2004). The importance of the loss function in option valuation. </w:t>
      </w:r>
      <w:r w:rsidRPr="00DE24DD">
        <w:rPr>
          <w:rFonts w:ascii="Times New Roman" w:eastAsia="Times New Roman" w:hAnsi="Times New Roman" w:cs="Times New Roman"/>
          <w:i/>
          <w:iCs/>
          <w:color w:val="000000" w:themeColor="text1"/>
          <w:kern w:val="0"/>
          <w:lang w:eastAsia="en-GB"/>
          <w14:ligatures w14:val="none"/>
        </w:rPr>
        <w:t>Journal of Financial Economics, 72</w:t>
      </w:r>
      <w:r w:rsidRPr="00DE24DD">
        <w:rPr>
          <w:rFonts w:ascii="Times New Roman" w:eastAsia="Times New Roman" w:hAnsi="Times New Roman" w:cs="Times New Roman"/>
          <w:color w:val="000000" w:themeColor="text1"/>
          <w:kern w:val="0"/>
          <w:lang w:eastAsia="en-GB"/>
          <w14:ligatures w14:val="none"/>
        </w:rPr>
        <w:t>(2), 291–318.</w:t>
      </w:r>
    </w:p>
    <w:p w14:paraId="49F693F9"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Cont, R., &amp; da Fonseca, J. (2002). Dynamics of implied volatility surfaces. </w:t>
      </w:r>
      <w:r w:rsidRPr="00DE24DD">
        <w:rPr>
          <w:rFonts w:ascii="Times New Roman" w:eastAsia="Times New Roman" w:hAnsi="Times New Roman" w:cs="Times New Roman"/>
          <w:i/>
          <w:iCs/>
          <w:color w:val="000000" w:themeColor="text1"/>
          <w:kern w:val="0"/>
          <w:lang w:eastAsia="en-GB"/>
          <w14:ligatures w14:val="none"/>
        </w:rPr>
        <w:t>Quantitative Finance, 2</w:t>
      </w:r>
      <w:r w:rsidRPr="00DE24DD">
        <w:rPr>
          <w:rFonts w:ascii="Times New Roman" w:eastAsia="Times New Roman" w:hAnsi="Times New Roman" w:cs="Times New Roman"/>
          <w:color w:val="000000" w:themeColor="text1"/>
          <w:kern w:val="0"/>
          <w:lang w:eastAsia="en-GB"/>
          <w14:ligatures w14:val="none"/>
        </w:rPr>
        <w:t>(1), 45–60.</w:t>
      </w:r>
    </w:p>
    <w:p w14:paraId="1397A6A7"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Crépey, S. (2004). Delta-hedging vega risk? </w:t>
      </w:r>
      <w:r w:rsidRPr="00DE24DD">
        <w:rPr>
          <w:rFonts w:ascii="Times New Roman" w:eastAsia="Times New Roman" w:hAnsi="Times New Roman" w:cs="Times New Roman"/>
          <w:i/>
          <w:iCs/>
          <w:color w:val="000000" w:themeColor="text1"/>
          <w:kern w:val="0"/>
          <w:lang w:eastAsia="en-GB"/>
          <w14:ligatures w14:val="none"/>
        </w:rPr>
        <w:t>Quantitative Finance, 4</w:t>
      </w:r>
      <w:r w:rsidRPr="00DE24DD">
        <w:rPr>
          <w:rFonts w:ascii="Times New Roman" w:eastAsia="Times New Roman" w:hAnsi="Times New Roman" w:cs="Times New Roman"/>
          <w:color w:val="000000" w:themeColor="text1"/>
          <w:kern w:val="0"/>
          <w:lang w:eastAsia="en-GB"/>
          <w14:ligatures w14:val="none"/>
        </w:rPr>
        <w:t>(5), 559–579.</w:t>
      </w:r>
    </w:p>
    <w:p w14:paraId="3BE11D6D"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Daglish, T., Hull, J., &amp; Suo, W. (2007). Volatility surfaces: Theory, rules of thumb, and empirical evidence. </w:t>
      </w:r>
      <w:r w:rsidRPr="00DE24DD">
        <w:rPr>
          <w:rFonts w:ascii="Times New Roman" w:eastAsia="Times New Roman" w:hAnsi="Times New Roman" w:cs="Times New Roman"/>
          <w:i/>
          <w:iCs/>
          <w:color w:val="000000" w:themeColor="text1"/>
          <w:kern w:val="0"/>
          <w:lang w:eastAsia="en-GB"/>
          <w14:ligatures w14:val="none"/>
        </w:rPr>
        <w:t>Quantitative Finance, 7</w:t>
      </w:r>
      <w:r w:rsidRPr="00DE24DD">
        <w:rPr>
          <w:rFonts w:ascii="Times New Roman" w:eastAsia="Times New Roman" w:hAnsi="Times New Roman" w:cs="Times New Roman"/>
          <w:color w:val="000000" w:themeColor="text1"/>
          <w:kern w:val="0"/>
          <w:lang w:eastAsia="en-GB"/>
          <w14:ligatures w14:val="none"/>
        </w:rPr>
        <w:t>(5), 507–524.</w:t>
      </w:r>
    </w:p>
    <w:p w14:paraId="4632A062"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Dennis, P., Mayhew, S., &amp; Stivers, C. (2006). Stock returns, implied volatility innovations, and the asymmetric volatility phenomenon. </w:t>
      </w:r>
      <w:r w:rsidRPr="00DE24DD">
        <w:rPr>
          <w:rFonts w:ascii="Times New Roman" w:eastAsia="Times New Roman" w:hAnsi="Times New Roman" w:cs="Times New Roman"/>
          <w:i/>
          <w:iCs/>
          <w:color w:val="000000" w:themeColor="text1"/>
          <w:kern w:val="0"/>
          <w:lang w:eastAsia="en-GB"/>
          <w14:ligatures w14:val="none"/>
        </w:rPr>
        <w:t>Journal of Financial and Quantitative Analysis, 41</w:t>
      </w:r>
      <w:r w:rsidRPr="00DE24DD">
        <w:rPr>
          <w:rFonts w:ascii="Times New Roman" w:eastAsia="Times New Roman" w:hAnsi="Times New Roman" w:cs="Times New Roman"/>
          <w:color w:val="000000" w:themeColor="text1"/>
          <w:kern w:val="0"/>
          <w:lang w:eastAsia="en-GB"/>
          <w14:ligatures w14:val="none"/>
        </w:rPr>
        <w:t>(2), 381–406.</w:t>
      </w:r>
    </w:p>
    <w:p w14:paraId="1F3FBBE0"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Derman, E., &amp; Kani, I. (1998). Stochastic implied trees: Arbitrage pricing with stochastic term and strike structure of volatility. </w:t>
      </w:r>
      <w:r w:rsidRPr="00DE24DD">
        <w:rPr>
          <w:rFonts w:ascii="Times New Roman" w:eastAsia="Times New Roman" w:hAnsi="Times New Roman" w:cs="Times New Roman"/>
          <w:i/>
          <w:iCs/>
          <w:color w:val="000000" w:themeColor="text1"/>
          <w:kern w:val="0"/>
          <w:lang w:eastAsia="en-GB"/>
          <w14:ligatures w14:val="none"/>
        </w:rPr>
        <w:t>International Journal of Theoretical and Applied Finance, 1</w:t>
      </w:r>
      <w:r w:rsidRPr="00DE24DD">
        <w:rPr>
          <w:rFonts w:ascii="Times New Roman" w:eastAsia="Times New Roman" w:hAnsi="Times New Roman" w:cs="Times New Roman"/>
          <w:color w:val="000000" w:themeColor="text1"/>
          <w:kern w:val="0"/>
          <w:lang w:eastAsia="en-GB"/>
          <w14:ligatures w14:val="none"/>
        </w:rPr>
        <w:t>(1), 61–110.</w:t>
      </w:r>
    </w:p>
    <w:p w14:paraId="6B1745E8"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lastRenderedPageBreak/>
        <w:t>Dumas, B., Fleming, J., &amp; Whaley, R. E. (1998). Implied volatility functions: Empirical tests. </w:t>
      </w:r>
      <w:r w:rsidRPr="00DE24DD">
        <w:rPr>
          <w:rFonts w:ascii="Times New Roman" w:eastAsia="Times New Roman" w:hAnsi="Times New Roman" w:cs="Times New Roman"/>
          <w:i/>
          <w:iCs/>
          <w:color w:val="000000" w:themeColor="text1"/>
          <w:kern w:val="0"/>
          <w:lang w:eastAsia="en-GB"/>
          <w14:ligatures w14:val="none"/>
        </w:rPr>
        <w:t>The Journal of Finance, 53</w:t>
      </w:r>
      <w:r w:rsidRPr="00DE24DD">
        <w:rPr>
          <w:rFonts w:ascii="Times New Roman" w:eastAsia="Times New Roman" w:hAnsi="Times New Roman" w:cs="Times New Roman"/>
          <w:color w:val="000000" w:themeColor="text1"/>
          <w:kern w:val="0"/>
          <w:lang w:eastAsia="en-GB"/>
          <w14:ligatures w14:val="none"/>
        </w:rPr>
        <w:t>(6), 2059–2106.</w:t>
      </w:r>
    </w:p>
    <w:p w14:paraId="76E1C4B2"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Dupire, B. (1994). Pricing with a smile. </w:t>
      </w:r>
      <w:r w:rsidRPr="00DE24DD">
        <w:rPr>
          <w:rFonts w:ascii="Times New Roman" w:eastAsia="Times New Roman" w:hAnsi="Times New Roman" w:cs="Times New Roman"/>
          <w:i/>
          <w:iCs/>
          <w:color w:val="000000" w:themeColor="text1"/>
          <w:kern w:val="0"/>
          <w:lang w:eastAsia="en-GB"/>
          <w14:ligatures w14:val="none"/>
        </w:rPr>
        <w:t>Risk, 7</w:t>
      </w:r>
      <w:r w:rsidRPr="00DE24DD">
        <w:rPr>
          <w:rFonts w:ascii="Times New Roman" w:eastAsia="Times New Roman" w:hAnsi="Times New Roman" w:cs="Times New Roman"/>
          <w:color w:val="000000" w:themeColor="text1"/>
          <w:kern w:val="0"/>
          <w:lang w:eastAsia="en-GB"/>
          <w14:ligatures w14:val="none"/>
        </w:rPr>
        <w:t>(1), 18–20.</w:t>
      </w:r>
    </w:p>
    <w:p w14:paraId="4E43E4C3"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Fengler, M. R., Härdle, W. K., &amp; Villa, C. (2003). The dynamics of implied volatilities: A common principal components approach. </w:t>
      </w:r>
      <w:r w:rsidRPr="00DE24DD">
        <w:rPr>
          <w:rFonts w:ascii="Times New Roman" w:eastAsia="Times New Roman" w:hAnsi="Times New Roman" w:cs="Times New Roman"/>
          <w:i/>
          <w:iCs/>
          <w:color w:val="000000" w:themeColor="text1"/>
          <w:kern w:val="0"/>
          <w:lang w:eastAsia="en-GB"/>
          <w14:ligatures w14:val="none"/>
        </w:rPr>
        <w:t>Review of Derivatives Research, 6</w:t>
      </w:r>
      <w:r w:rsidRPr="00DE24DD">
        <w:rPr>
          <w:rFonts w:ascii="Times New Roman" w:eastAsia="Times New Roman" w:hAnsi="Times New Roman" w:cs="Times New Roman"/>
          <w:color w:val="000000" w:themeColor="text1"/>
          <w:kern w:val="0"/>
          <w:lang w:eastAsia="en-GB"/>
          <w14:ligatures w14:val="none"/>
        </w:rPr>
        <w:t>(3), 179–202.</w:t>
      </w:r>
    </w:p>
    <w:p w14:paraId="1DABEFAC"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Fleming, J. (1998). The quality of market volatility forecasts implied by S&amp;P 100 index option prices. </w:t>
      </w:r>
      <w:r w:rsidRPr="00DE24DD">
        <w:rPr>
          <w:rFonts w:ascii="Times New Roman" w:eastAsia="Times New Roman" w:hAnsi="Times New Roman" w:cs="Times New Roman"/>
          <w:i/>
          <w:iCs/>
          <w:color w:val="000000" w:themeColor="text1"/>
          <w:kern w:val="0"/>
          <w:lang w:eastAsia="en-GB"/>
          <w14:ligatures w14:val="none"/>
        </w:rPr>
        <w:t>Journal of Empirical Finance, 5</w:t>
      </w:r>
      <w:r w:rsidRPr="00DE24DD">
        <w:rPr>
          <w:rFonts w:ascii="Times New Roman" w:eastAsia="Times New Roman" w:hAnsi="Times New Roman" w:cs="Times New Roman"/>
          <w:color w:val="000000" w:themeColor="text1"/>
          <w:kern w:val="0"/>
          <w:lang w:eastAsia="en-GB"/>
          <w14:ligatures w14:val="none"/>
        </w:rPr>
        <w:t>(4), 317–345.</w:t>
      </w:r>
    </w:p>
    <w:p w14:paraId="6816635D"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Fleming, J., Ostdiek, B., &amp; Whaley, R. E. (1995). Predicting stock market volatility: A new measure. </w:t>
      </w:r>
      <w:r w:rsidRPr="00DE24DD">
        <w:rPr>
          <w:rFonts w:ascii="Times New Roman" w:eastAsia="Times New Roman" w:hAnsi="Times New Roman" w:cs="Times New Roman"/>
          <w:i/>
          <w:iCs/>
          <w:color w:val="000000" w:themeColor="text1"/>
          <w:kern w:val="0"/>
          <w:lang w:eastAsia="en-GB"/>
          <w14:ligatures w14:val="none"/>
        </w:rPr>
        <w:t>Journal of Futures Markets, 15</w:t>
      </w:r>
      <w:r w:rsidRPr="00DE24DD">
        <w:rPr>
          <w:rFonts w:ascii="Times New Roman" w:eastAsia="Times New Roman" w:hAnsi="Times New Roman" w:cs="Times New Roman"/>
          <w:color w:val="000000" w:themeColor="text1"/>
          <w:kern w:val="0"/>
          <w:lang w:eastAsia="en-GB"/>
          <w14:ligatures w14:val="none"/>
        </w:rPr>
        <w:t>(3), 265–302.</w:t>
      </w:r>
    </w:p>
    <w:p w14:paraId="3DEEC45F"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François, P., &amp; Stentoft, L. (2021). Smile-implied hedging with volatility risk. </w:t>
      </w:r>
      <w:r w:rsidRPr="00DE24DD">
        <w:rPr>
          <w:rFonts w:ascii="Times New Roman" w:eastAsia="Times New Roman" w:hAnsi="Times New Roman" w:cs="Times New Roman"/>
          <w:i/>
          <w:iCs/>
          <w:color w:val="000000" w:themeColor="text1"/>
          <w:kern w:val="0"/>
          <w:lang w:eastAsia="en-GB"/>
          <w14:ligatures w14:val="none"/>
        </w:rPr>
        <w:t>Journal of Futures Markets, 41</w:t>
      </w:r>
      <w:r w:rsidRPr="00DE24DD">
        <w:rPr>
          <w:rFonts w:ascii="Times New Roman" w:eastAsia="Times New Roman" w:hAnsi="Times New Roman" w:cs="Times New Roman"/>
          <w:color w:val="000000" w:themeColor="text1"/>
          <w:kern w:val="0"/>
          <w:lang w:eastAsia="en-GB"/>
          <w14:ligatures w14:val="none"/>
        </w:rPr>
        <w:t>(8), 1220–1240.</w:t>
      </w:r>
    </w:p>
    <w:p w14:paraId="0BF04556"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François, P., Gauthier, G., Godin, F., &amp; Pérez-Mendoza, C. O. (2024). Enhancing deep hedging of options with implied volatility surface feedback information. </w:t>
      </w:r>
      <w:r w:rsidRPr="00DE24DD">
        <w:rPr>
          <w:rFonts w:ascii="Times New Roman" w:eastAsia="Times New Roman" w:hAnsi="Times New Roman" w:cs="Times New Roman"/>
          <w:i/>
          <w:iCs/>
          <w:color w:val="000000" w:themeColor="text1"/>
          <w:kern w:val="0"/>
          <w:lang w:eastAsia="en-GB"/>
          <w14:ligatures w14:val="none"/>
        </w:rPr>
        <w:t>arXiv preprint</w:t>
      </w:r>
      <w:r w:rsidRPr="00DE24DD">
        <w:rPr>
          <w:rFonts w:ascii="Times New Roman" w:eastAsia="Times New Roman" w:hAnsi="Times New Roman" w:cs="Times New Roman"/>
          <w:color w:val="000000" w:themeColor="text1"/>
          <w:kern w:val="0"/>
          <w:lang w:eastAsia="en-GB"/>
          <w14:ligatures w14:val="none"/>
        </w:rPr>
        <w:t>, arXiv:2407.21138.</w:t>
      </w:r>
    </w:p>
    <w:p w14:paraId="1BA09909"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François, P., Gauthier, G., Godin, F., &amp; Pérez-Mendoza, C. O. (2025). Deep hedging with options using the implied volatility surface. </w:t>
      </w:r>
      <w:r w:rsidRPr="00DE24DD">
        <w:rPr>
          <w:rFonts w:ascii="Times New Roman" w:eastAsia="Times New Roman" w:hAnsi="Times New Roman" w:cs="Times New Roman"/>
          <w:i/>
          <w:iCs/>
          <w:color w:val="000000" w:themeColor="text1"/>
          <w:kern w:val="0"/>
          <w:lang w:eastAsia="en-GB"/>
          <w14:ligatures w14:val="none"/>
        </w:rPr>
        <w:t>arXiv preprint</w:t>
      </w:r>
      <w:r w:rsidRPr="00DE24DD">
        <w:rPr>
          <w:rFonts w:ascii="Times New Roman" w:eastAsia="Times New Roman" w:hAnsi="Times New Roman" w:cs="Times New Roman"/>
          <w:color w:val="000000" w:themeColor="text1"/>
          <w:kern w:val="0"/>
          <w:lang w:eastAsia="en-GB"/>
          <w14:ligatures w14:val="none"/>
        </w:rPr>
        <w:t>, arXiv:2504.06208.</w:t>
      </w:r>
    </w:p>
    <w:p w14:paraId="7B1BA8DC"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Gatheral, J., &amp; Jacquier, A. (2014). Arbitrage-free SVI volatility surfaces. </w:t>
      </w:r>
      <w:r w:rsidRPr="00DE24DD">
        <w:rPr>
          <w:rFonts w:ascii="Times New Roman" w:eastAsia="Times New Roman" w:hAnsi="Times New Roman" w:cs="Times New Roman"/>
          <w:i/>
          <w:iCs/>
          <w:color w:val="000000" w:themeColor="text1"/>
          <w:kern w:val="0"/>
          <w:lang w:eastAsia="en-GB"/>
          <w14:ligatures w14:val="none"/>
        </w:rPr>
        <w:t>Quantitative Finance, 14</w:t>
      </w:r>
      <w:r w:rsidRPr="00DE24DD">
        <w:rPr>
          <w:rFonts w:ascii="Times New Roman" w:eastAsia="Times New Roman" w:hAnsi="Times New Roman" w:cs="Times New Roman"/>
          <w:color w:val="000000" w:themeColor="text1"/>
          <w:kern w:val="0"/>
          <w:lang w:eastAsia="en-GB"/>
          <w14:ligatures w14:val="none"/>
        </w:rPr>
        <w:t>(1), 59–71.</w:t>
      </w:r>
    </w:p>
    <w:p w14:paraId="6F2A01C5"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Gonçalves, S., &amp; Guidolin, M. (2006). Predictable dynamics in the S&amp;P 500 index options implied volatility surface. </w:t>
      </w:r>
      <w:r w:rsidRPr="00DE24DD">
        <w:rPr>
          <w:rFonts w:ascii="Times New Roman" w:eastAsia="Times New Roman" w:hAnsi="Times New Roman" w:cs="Times New Roman"/>
          <w:i/>
          <w:iCs/>
          <w:color w:val="000000" w:themeColor="text1"/>
          <w:kern w:val="0"/>
          <w:lang w:eastAsia="en-GB"/>
          <w14:ligatures w14:val="none"/>
        </w:rPr>
        <w:t>Journal of Business, 79</w:t>
      </w:r>
      <w:r w:rsidRPr="00DE24DD">
        <w:rPr>
          <w:rFonts w:ascii="Times New Roman" w:eastAsia="Times New Roman" w:hAnsi="Times New Roman" w:cs="Times New Roman"/>
          <w:color w:val="000000" w:themeColor="text1"/>
          <w:kern w:val="0"/>
          <w:lang w:eastAsia="en-GB"/>
          <w14:ligatures w14:val="none"/>
        </w:rPr>
        <w:t>(3), 1591–1636.</w:t>
      </w:r>
    </w:p>
    <w:p w14:paraId="3992DA87"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Guidolin, M., &amp; Wang, K. (2023). The empirical performance of option implied volatility surface-driven optimal portfolios. </w:t>
      </w:r>
      <w:r w:rsidRPr="00DE24DD">
        <w:rPr>
          <w:rFonts w:ascii="Times New Roman" w:eastAsia="Times New Roman" w:hAnsi="Times New Roman" w:cs="Times New Roman"/>
          <w:i/>
          <w:iCs/>
          <w:color w:val="000000" w:themeColor="text1"/>
          <w:kern w:val="0"/>
          <w:lang w:eastAsia="en-GB"/>
          <w14:ligatures w14:val="none"/>
        </w:rPr>
        <w:t>Physica A: Statistical Mechanics and Its Applications, 618</w:t>
      </w:r>
      <w:r w:rsidRPr="00DE24DD">
        <w:rPr>
          <w:rFonts w:ascii="Times New Roman" w:eastAsia="Times New Roman" w:hAnsi="Times New Roman" w:cs="Times New Roman"/>
          <w:color w:val="000000" w:themeColor="text1"/>
          <w:kern w:val="0"/>
          <w:lang w:eastAsia="en-GB"/>
          <w14:ligatures w14:val="none"/>
        </w:rPr>
        <w:t>, 128496.</w:t>
      </w:r>
    </w:p>
    <w:p w14:paraId="51D63F8A"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Han, C.-H., Chang, C.-H., Kuo, C.-S., &amp; Yu, S.-T. (2015). Robust hedging performance and volatility risk in option markets: Application to Standard &amp; Poor’s 500 and Taiwan index options. </w:t>
      </w:r>
      <w:r w:rsidRPr="00DE24DD">
        <w:rPr>
          <w:rFonts w:ascii="Times New Roman" w:eastAsia="Times New Roman" w:hAnsi="Times New Roman" w:cs="Times New Roman"/>
          <w:i/>
          <w:iCs/>
          <w:color w:val="000000" w:themeColor="text1"/>
          <w:kern w:val="0"/>
          <w:lang w:eastAsia="en-GB"/>
          <w14:ligatures w14:val="none"/>
        </w:rPr>
        <w:t>International Review of Economics &amp; Finance, 40</w:t>
      </w:r>
      <w:r w:rsidRPr="00DE24DD">
        <w:rPr>
          <w:rFonts w:ascii="Times New Roman" w:eastAsia="Times New Roman" w:hAnsi="Times New Roman" w:cs="Times New Roman"/>
          <w:color w:val="000000" w:themeColor="text1"/>
          <w:kern w:val="0"/>
          <w:lang w:eastAsia="en-GB"/>
          <w14:ligatures w14:val="none"/>
        </w:rPr>
        <w:t>, 160–173.</w:t>
      </w:r>
    </w:p>
    <w:p w14:paraId="23506A73"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Heston, S. L. (1993). A closed-form solution for options with stochastic volatility with applications to bond and currency options. </w:t>
      </w:r>
      <w:r w:rsidRPr="00DE24DD">
        <w:rPr>
          <w:rFonts w:ascii="Times New Roman" w:eastAsia="Times New Roman" w:hAnsi="Times New Roman" w:cs="Times New Roman"/>
          <w:i/>
          <w:iCs/>
          <w:color w:val="000000" w:themeColor="text1"/>
          <w:kern w:val="0"/>
          <w:lang w:eastAsia="en-GB"/>
          <w14:ligatures w14:val="none"/>
        </w:rPr>
        <w:t>Review of Financial Studies, 6</w:t>
      </w:r>
      <w:r w:rsidRPr="00DE24DD">
        <w:rPr>
          <w:rFonts w:ascii="Times New Roman" w:eastAsia="Times New Roman" w:hAnsi="Times New Roman" w:cs="Times New Roman"/>
          <w:color w:val="000000" w:themeColor="text1"/>
          <w:kern w:val="0"/>
          <w:lang w:eastAsia="en-GB"/>
          <w14:ligatures w14:val="none"/>
        </w:rPr>
        <w:t>(2), 327–343.</w:t>
      </w:r>
    </w:p>
    <w:p w14:paraId="5F108508"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Hull, J., &amp; White, A. (1987). The pricing of options on assets with stochastic volatilities. </w:t>
      </w:r>
      <w:r w:rsidRPr="00DE24DD">
        <w:rPr>
          <w:rFonts w:ascii="Times New Roman" w:eastAsia="Times New Roman" w:hAnsi="Times New Roman" w:cs="Times New Roman"/>
          <w:i/>
          <w:iCs/>
          <w:color w:val="000000" w:themeColor="text1"/>
          <w:kern w:val="0"/>
          <w:lang w:eastAsia="en-GB"/>
          <w14:ligatures w14:val="none"/>
        </w:rPr>
        <w:t>The Journal of Finance, 42</w:t>
      </w:r>
      <w:r w:rsidRPr="00DE24DD">
        <w:rPr>
          <w:rFonts w:ascii="Times New Roman" w:eastAsia="Times New Roman" w:hAnsi="Times New Roman" w:cs="Times New Roman"/>
          <w:color w:val="000000" w:themeColor="text1"/>
          <w:kern w:val="0"/>
          <w:lang w:eastAsia="en-GB"/>
          <w14:ligatures w14:val="none"/>
        </w:rPr>
        <w:t>(2), 281–300.</w:t>
      </w:r>
    </w:p>
    <w:p w14:paraId="17CC7A25"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Hull, J., &amp; White, A. (2017). Optimal delta hedging for options. </w:t>
      </w:r>
      <w:r w:rsidRPr="00DE24DD">
        <w:rPr>
          <w:rFonts w:ascii="Times New Roman" w:eastAsia="Times New Roman" w:hAnsi="Times New Roman" w:cs="Times New Roman"/>
          <w:i/>
          <w:iCs/>
          <w:color w:val="000000" w:themeColor="text1"/>
          <w:kern w:val="0"/>
          <w:lang w:eastAsia="en-GB"/>
          <w14:ligatures w14:val="none"/>
        </w:rPr>
        <w:t>Journal of Banking &amp; Finance, 82</w:t>
      </w:r>
      <w:r w:rsidRPr="00DE24DD">
        <w:rPr>
          <w:rFonts w:ascii="Times New Roman" w:eastAsia="Times New Roman" w:hAnsi="Times New Roman" w:cs="Times New Roman"/>
          <w:color w:val="000000" w:themeColor="text1"/>
          <w:kern w:val="0"/>
          <w:lang w:eastAsia="en-GB"/>
          <w14:ligatures w14:val="none"/>
        </w:rPr>
        <w:t>, 180–190.</w:t>
      </w:r>
    </w:p>
    <w:p w14:paraId="1A76A90C"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Jackwerth, J. C., &amp; Rubinstein, M. (1996). Recovering probability distributions from option prices. </w:t>
      </w:r>
      <w:r w:rsidRPr="00DE24DD">
        <w:rPr>
          <w:rFonts w:ascii="Times New Roman" w:eastAsia="Times New Roman" w:hAnsi="Times New Roman" w:cs="Times New Roman"/>
          <w:i/>
          <w:iCs/>
          <w:color w:val="000000" w:themeColor="text1"/>
          <w:kern w:val="0"/>
          <w:lang w:eastAsia="en-GB"/>
          <w14:ligatures w14:val="none"/>
        </w:rPr>
        <w:t>The Journal of Finance, 51</w:t>
      </w:r>
      <w:r w:rsidRPr="00DE24DD">
        <w:rPr>
          <w:rFonts w:ascii="Times New Roman" w:eastAsia="Times New Roman" w:hAnsi="Times New Roman" w:cs="Times New Roman"/>
          <w:color w:val="000000" w:themeColor="text1"/>
          <w:kern w:val="0"/>
          <w:lang w:eastAsia="en-GB"/>
          <w14:ligatures w14:val="none"/>
        </w:rPr>
        <w:t>(5), 1611–1632.</w:t>
      </w:r>
    </w:p>
    <w:p w14:paraId="553FEF66"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lastRenderedPageBreak/>
        <w:t>Jiang, G. J., &amp; Tian, Y. S. (2005). The model-free implied volatility and its information content. </w:t>
      </w:r>
      <w:r w:rsidRPr="00DE24DD">
        <w:rPr>
          <w:rFonts w:ascii="Times New Roman" w:eastAsia="Times New Roman" w:hAnsi="Times New Roman" w:cs="Times New Roman"/>
          <w:i/>
          <w:iCs/>
          <w:color w:val="000000" w:themeColor="text1"/>
          <w:kern w:val="0"/>
          <w:lang w:eastAsia="en-GB"/>
          <w14:ligatures w14:val="none"/>
        </w:rPr>
        <w:t>Review of Financial Studies, 18</w:t>
      </w:r>
      <w:r w:rsidRPr="00DE24DD">
        <w:rPr>
          <w:rFonts w:ascii="Times New Roman" w:eastAsia="Times New Roman" w:hAnsi="Times New Roman" w:cs="Times New Roman"/>
          <w:color w:val="000000" w:themeColor="text1"/>
          <w:kern w:val="0"/>
          <w:lang w:eastAsia="en-GB"/>
          <w14:ligatures w14:val="none"/>
        </w:rPr>
        <w:t>(4), 1305–1342.</w:t>
      </w:r>
    </w:p>
    <w:p w14:paraId="10D0052F"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Jorion, P. (1995). Predicting volatility in the foreign exchange market. </w:t>
      </w:r>
      <w:r w:rsidRPr="00DE24DD">
        <w:rPr>
          <w:rFonts w:ascii="Times New Roman" w:eastAsia="Times New Roman" w:hAnsi="Times New Roman" w:cs="Times New Roman"/>
          <w:i/>
          <w:iCs/>
          <w:color w:val="000000" w:themeColor="text1"/>
          <w:kern w:val="0"/>
          <w:lang w:eastAsia="en-GB"/>
          <w14:ligatures w14:val="none"/>
        </w:rPr>
        <w:t>The Journal of Finance, 50</w:t>
      </w:r>
      <w:r w:rsidRPr="00DE24DD">
        <w:rPr>
          <w:rFonts w:ascii="Times New Roman" w:eastAsia="Times New Roman" w:hAnsi="Times New Roman" w:cs="Times New Roman"/>
          <w:color w:val="000000" w:themeColor="text1"/>
          <w:kern w:val="0"/>
          <w:lang w:eastAsia="en-GB"/>
          <w14:ligatures w14:val="none"/>
        </w:rPr>
        <w:t>(2), 507–528.</w:t>
      </w:r>
    </w:p>
    <w:p w14:paraId="1763897C"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Le, V., &amp; Zurbruegg, R. (2014). Forecasting option smile dynamics. </w:t>
      </w:r>
      <w:r w:rsidRPr="00DE24DD">
        <w:rPr>
          <w:rFonts w:ascii="Times New Roman" w:eastAsia="Times New Roman" w:hAnsi="Times New Roman" w:cs="Times New Roman"/>
          <w:i/>
          <w:iCs/>
          <w:color w:val="000000" w:themeColor="text1"/>
          <w:kern w:val="0"/>
          <w:lang w:eastAsia="en-GB"/>
          <w14:ligatures w14:val="none"/>
        </w:rPr>
        <w:t>International Review of Financial Analysis, 35</w:t>
      </w:r>
      <w:r w:rsidRPr="00DE24DD">
        <w:rPr>
          <w:rFonts w:ascii="Times New Roman" w:eastAsia="Times New Roman" w:hAnsi="Times New Roman" w:cs="Times New Roman"/>
          <w:color w:val="000000" w:themeColor="text1"/>
          <w:kern w:val="0"/>
          <w:lang w:eastAsia="en-GB"/>
          <w14:ligatures w14:val="none"/>
        </w:rPr>
        <w:t>, 32–45.</w:t>
      </w:r>
    </w:p>
    <w:p w14:paraId="609E105E"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Liu, D., Liang, Y., Zhang, L., Lung, P., &amp; Ullah, R. (2021). Implied volatility forecast and option trading strategy. </w:t>
      </w:r>
      <w:r w:rsidRPr="00DE24DD">
        <w:rPr>
          <w:rFonts w:ascii="Times New Roman" w:eastAsia="Times New Roman" w:hAnsi="Times New Roman" w:cs="Times New Roman"/>
          <w:i/>
          <w:iCs/>
          <w:color w:val="000000" w:themeColor="text1"/>
          <w:kern w:val="0"/>
          <w:lang w:eastAsia="en-GB"/>
          <w14:ligatures w14:val="none"/>
        </w:rPr>
        <w:t>International Review of Economics &amp; Finance, 71</w:t>
      </w:r>
      <w:r w:rsidRPr="00DE24DD">
        <w:rPr>
          <w:rFonts w:ascii="Times New Roman" w:eastAsia="Times New Roman" w:hAnsi="Times New Roman" w:cs="Times New Roman"/>
          <w:color w:val="000000" w:themeColor="text1"/>
          <w:kern w:val="0"/>
          <w:lang w:eastAsia="en-GB"/>
          <w14:ligatures w14:val="none"/>
        </w:rPr>
        <w:t>, 943–954.</w:t>
      </w:r>
    </w:p>
    <w:p w14:paraId="2AE6DA70"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Merton, R. C. (1973). Theory of rational option pricing. </w:t>
      </w:r>
      <w:r w:rsidRPr="00DE24DD">
        <w:rPr>
          <w:rFonts w:ascii="Times New Roman" w:eastAsia="Times New Roman" w:hAnsi="Times New Roman" w:cs="Times New Roman"/>
          <w:i/>
          <w:iCs/>
          <w:color w:val="000000" w:themeColor="text1"/>
          <w:kern w:val="0"/>
          <w:lang w:eastAsia="en-GB"/>
          <w14:ligatures w14:val="none"/>
        </w:rPr>
        <w:t>Bell Journal of Economics and Management Science, 4</w:t>
      </w:r>
      <w:r w:rsidRPr="00DE24DD">
        <w:rPr>
          <w:rFonts w:ascii="Times New Roman" w:eastAsia="Times New Roman" w:hAnsi="Times New Roman" w:cs="Times New Roman"/>
          <w:color w:val="000000" w:themeColor="text1"/>
          <w:kern w:val="0"/>
          <w:lang w:eastAsia="en-GB"/>
          <w14:ligatures w14:val="none"/>
        </w:rPr>
        <w:t>(1), 141–183.</w:t>
      </w:r>
    </w:p>
    <w:p w14:paraId="7556D0ED"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Rubinstein, M. (1994). Implied binomial trees. </w:t>
      </w:r>
      <w:r w:rsidRPr="00DE24DD">
        <w:rPr>
          <w:rFonts w:ascii="Times New Roman" w:eastAsia="Times New Roman" w:hAnsi="Times New Roman" w:cs="Times New Roman"/>
          <w:i/>
          <w:iCs/>
          <w:color w:val="000000" w:themeColor="text1"/>
          <w:kern w:val="0"/>
          <w:lang w:eastAsia="en-GB"/>
          <w14:ligatures w14:val="none"/>
        </w:rPr>
        <w:t>The Journal of Finance, 49</w:t>
      </w:r>
      <w:r w:rsidRPr="00DE24DD">
        <w:rPr>
          <w:rFonts w:ascii="Times New Roman" w:eastAsia="Times New Roman" w:hAnsi="Times New Roman" w:cs="Times New Roman"/>
          <w:color w:val="000000" w:themeColor="text1"/>
          <w:kern w:val="0"/>
          <w:lang w:eastAsia="en-GB"/>
          <w14:ligatures w14:val="none"/>
        </w:rPr>
        <w:t>(3), 771–818.</w:t>
      </w:r>
    </w:p>
    <w:p w14:paraId="1E9A16ED"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Seo, S. W., &amp; Kim, J. S. (2015). The information content of option-implied information for volatility forecasting with investor sentiment. </w:t>
      </w:r>
      <w:r w:rsidRPr="00DE24DD">
        <w:rPr>
          <w:rFonts w:ascii="Times New Roman" w:eastAsia="Times New Roman" w:hAnsi="Times New Roman" w:cs="Times New Roman"/>
          <w:i/>
          <w:iCs/>
          <w:color w:val="000000" w:themeColor="text1"/>
          <w:kern w:val="0"/>
          <w:lang w:eastAsia="en-GB"/>
          <w14:ligatures w14:val="none"/>
        </w:rPr>
        <w:t>Journal of Banking &amp; Finance, 50</w:t>
      </w:r>
      <w:r w:rsidRPr="00DE24DD">
        <w:rPr>
          <w:rFonts w:ascii="Times New Roman" w:eastAsia="Times New Roman" w:hAnsi="Times New Roman" w:cs="Times New Roman"/>
          <w:color w:val="000000" w:themeColor="text1"/>
          <w:kern w:val="0"/>
          <w:lang w:eastAsia="en-GB"/>
          <w14:ligatures w14:val="none"/>
        </w:rPr>
        <w:t>, 106–120.</w:t>
      </w:r>
    </w:p>
    <w:p w14:paraId="186E3B1F"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Stein, E. M., &amp; Stein, J. C. (1991). Stock price distributions with stochastic volatility: An analytic approach. </w:t>
      </w:r>
      <w:r w:rsidRPr="00DE24DD">
        <w:rPr>
          <w:rFonts w:ascii="Times New Roman" w:eastAsia="Times New Roman" w:hAnsi="Times New Roman" w:cs="Times New Roman"/>
          <w:i/>
          <w:iCs/>
          <w:color w:val="000000" w:themeColor="text1"/>
          <w:kern w:val="0"/>
          <w:lang w:eastAsia="en-GB"/>
          <w14:ligatures w14:val="none"/>
        </w:rPr>
        <w:t>Review of Financial Studies, 4</w:t>
      </w:r>
      <w:r w:rsidRPr="00DE24DD">
        <w:rPr>
          <w:rFonts w:ascii="Times New Roman" w:eastAsia="Times New Roman" w:hAnsi="Times New Roman" w:cs="Times New Roman"/>
          <w:color w:val="000000" w:themeColor="text1"/>
          <w:kern w:val="0"/>
          <w:lang w:eastAsia="en-GB"/>
          <w14:ligatures w14:val="none"/>
        </w:rPr>
        <w:t>(4), 727–752.</w:t>
      </w:r>
    </w:p>
    <w:p w14:paraId="57DED081"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Taylor, S. J., Yadav, P. K., &amp; Zhang, Y. (2010). The information content of implied volatilities and model-free volatility expectations: Evidence from options written on individual stocks. </w:t>
      </w:r>
      <w:r w:rsidRPr="00DE24DD">
        <w:rPr>
          <w:rFonts w:ascii="Times New Roman" w:eastAsia="Times New Roman" w:hAnsi="Times New Roman" w:cs="Times New Roman"/>
          <w:i/>
          <w:iCs/>
          <w:color w:val="000000" w:themeColor="text1"/>
          <w:kern w:val="0"/>
          <w:lang w:eastAsia="en-GB"/>
          <w14:ligatures w14:val="none"/>
        </w:rPr>
        <w:t>Journal of Banking &amp; Finance, 34</w:t>
      </w:r>
      <w:r w:rsidRPr="00DE24DD">
        <w:rPr>
          <w:rFonts w:ascii="Times New Roman" w:eastAsia="Times New Roman" w:hAnsi="Times New Roman" w:cs="Times New Roman"/>
          <w:color w:val="000000" w:themeColor="text1"/>
          <w:kern w:val="0"/>
          <w:lang w:eastAsia="en-GB"/>
          <w14:ligatures w14:val="none"/>
        </w:rPr>
        <w:t>(4), 871–881.</w:t>
      </w:r>
    </w:p>
    <w:p w14:paraId="19F1C034"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Ulrich, M., Zimmer, L., &amp; Merbecks, C. (2023). Implied volatility surfaces: A comprehensive analysis using half a billion option prices. </w:t>
      </w:r>
      <w:r w:rsidRPr="00DE24DD">
        <w:rPr>
          <w:rFonts w:ascii="Times New Roman" w:eastAsia="Times New Roman" w:hAnsi="Times New Roman" w:cs="Times New Roman"/>
          <w:i/>
          <w:iCs/>
          <w:color w:val="000000" w:themeColor="text1"/>
          <w:kern w:val="0"/>
          <w:lang w:eastAsia="en-GB"/>
          <w14:ligatures w14:val="none"/>
        </w:rPr>
        <w:t>Review of Derivatives Research, 26</w:t>
      </w:r>
      <w:r w:rsidRPr="00DE24DD">
        <w:rPr>
          <w:rFonts w:ascii="Times New Roman" w:eastAsia="Times New Roman" w:hAnsi="Times New Roman" w:cs="Times New Roman"/>
          <w:color w:val="000000" w:themeColor="text1"/>
          <w:kern w:val="0"/>
          <w:lang w:eastAsia="en-GB"/>
          <w14:ligatures w14:val="none"/>
        </w:rPr>
        <w:t>(2), 135–169.</w:t>
      </w:r>
    </w:p>
    <w:p w14:paraId="6A674E79" w14:textId="77777777" w:rsidR="00DE24DD" w:rsidRPr="00DE24DD"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Wen, C., Zhai, J., Wang, Y., &amp; Cao, Y. (2024). Implied volatility is (almost) past-dependent: Linear vs non-linear models. </w:t>
      </w:r>
      <w:r w:rsidRPr="00DE24DD">
        <w:rPr>
          <w:rFonts w:ascii="Times New Roman" w:eastAsia="Times New Roman" w:hAnsi="Times New Roman" w:cs="Times New Roman"/>
          <w:i/>
          <w:iCs/>
          <w:color w:val="000000" w:themeColor="text1"/>
          <w:kern w:val="0"/>
          <w:lang w:eastAsia="en-GB"/>
          <w14:ligatures w14:val="none"/>
        </w:rPr>
        <w:t>International Review of Financial Analysis, 95</w:t>
      </w:r>
      <w:r w:rsidRPr="00DE24DD">
        <w:rPr>
          <w:rFonts w:ascii="Times New Roman" w:eastAsia="Times New Roman" w:hAnsi="Times New Roman" w:cs="Times New Roman"/>
          <w:color w:val="000000" w:themeColor="text1"/>
          <w:kern w:val="0"/>
          <w:lang w:eastAsia="en-GB"/>
          <w14:ligatures w14:val="none"/>
        </w:rPr>
        <w:t>, 103406.</w:t>
      </w:r>
    </w:p>
    <w:p w14:paraId="183A7205" w14:textId="77777777" w:rsidR="00DE24DD" w:rsidRPr="00DC40C8" w:rsidRDefault="00DE24DD" w:rsidP="00F871E1">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E24DD">
        <w:rPr>
          <w:rFonts w:ascii="Times New Roman" w:eastAsia="Times New Roman" w:hAnsi="Times New Roman" w:cs="Times New Roman"/>
          <w:color w:val="000000" w:themeColor="text1"/>
          <w:kern w:val="0"/>
          <w:lang w:eastAsia="en-GB"/>
          <w14:ligatures w14:val="none"/>
        </w:rPr>
        <w:t>Zhang, W., Li, L., &amp; Zhang, G. (2023). A two-step framework for arbitrage-free prediction of the implied volatility surface. </w:t>
      </w:r>
      <w:r w:rsidRPr="00DE24DD">
        <w:rPr>
          <w:rFonts w:ascii="Times New Roman" w:eastAsia="Times New Roman" w:hAnsi="Times New Roman" w:cs="Times New Roman"/>
          <w:i/>
          <w:iCs/>
          <w:color w:val="000000" w:themeColor="text1"/>
          <w:kern w:val="0"/>
          <w:lang w:eastAsia="en-GB"/>
          <w14:ligatures w14:val="none"/>
        </w:rPr>
        <w:t>Quantitative Finance, 23</w:t>
      </w:r>
      <w:r w:rsidRPr="00DE24DD">
        <w:rPr>
          <w:rFonts w:ascii="Times New Roman" w:eastAsia="Times New Roman" w:hAnsi="Times New Roman" w:cs="Times New Roman"/>
          <w:color w:val="000000" w:themeColor="text1"/>
          <w:kern w:val="0"/>
          <w:lang w:eastAsia="en-GB"/>
          <w14:ligatures w14:val="none"/>
        </w:rPr>
        <w:t>(11), 1689–1707.</w:t>
      </w:r>
    </w:p>
    <w:p w14:paraId="1F0ECE78" w14:textId="77777777" w:rsidR="00DC40C8" w:rsidRPr="00DC40C8" w:rsidRDefault="00DC40C8" w:rsidP="00DC40C8">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C40C8">
        <w:rPr>
          <w:rFonts w:ascii="Times New Roman" w:eastAsia="Times New Roman" w:hAnsi="Times New Roman" w:cs="Times New Roman"/>
          <w:color w:val="000000" w:themeColor="text1"/>
          <w:kern w:val="0"/>
          <w:lang w:eastAsia="en-GB"/>
          <w14:ligatures w14:val="none"/>
        </w:rPr>
        <w:t>Box, G. E. P., Jenkins, G. M., Reinsel, G. C., &amp; Ljung, G. M. (2015). Time Series Analysis: Forecasting and Control (5th ed.). Wiley.</w:t>
      </w:r>
    </w:p>
    <w:p w14:paraId="16138DBA" w14:textId="77777777" w:rsidR="00DC40C8" w:rsidRPr="00DC40C8" w:rsidRDefault="00DC40C8" w:rsidP="00DC40C8">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C40C8">
        <w:rPr>
          <w:rFonts w:ascii="Times New Roman" w:eastAsia="Times New Roman" w:hAnsi="Times New Roman" w:cs="Times New Roman"/>
          <w:color w:val="000000" w:themeColor="text1"/>
          <w:kern w:val="0"/>
          <w:lang w:eastAsia="en-GB"/>
          <w14:ligatures w14:val="none"/>
        </w:rPr>
        <w:t>Chen, T., &amp; Guestrin, C. (2016). XGBoost: A scalable tree boosting system. Proceedings of the 22nd ACM SIGKDD International Conference on Knowledge Discovery and Data Mining, 785–794.</w:t>
      </w:r>
    </w:p>
    <w:p w14:paraId="0730D647" w14:textId="77777777" w:rsidR="00DC40C8" w:rsidRPr="00DC40C8" w:rsidRDefault="00DC40C8" w:rsidP="00DC40C8">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C40C8">
        <w:rPr>
          <w:rFonts w:ascii="Times New Roman" w:eastAsia="Times New Roman" w:hAnsi="Times New Roman" w:cs="Times New Roman"/>
          <w:color w:val="000000" w:themeColor="text1"/>
          <w:kern w:val="0"/>
          <w:lang w:eastAsia="en-GB"/>
          <w14:ligatures w14:val="none"/>
        </w:rPr>
        <w:t>Hyndman, R. J., &amp; Athanasopoulos, G. (2021). Forecasting: Principles and Practice (3rd ed.). OTexts.</w:t>
      </w:r>
    </w:p>
    <w:p w14:paraId="74643600" w14:textId="77991860" w:rsidR="00DC40C8" w:rsidRPr="005D0168" w:rsidRDefault="00DC40C8" w:rsidP="00DC40C8">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DC40C8">
        <w:rPr>
          <w:rFonts w:ascii="Times New Roman" w:eastAsia="Times New Roman" w:hAnsi="Times New Roman" w:cs="Times New Roman"/>
          <w:color w:val="000000" w:themeColor="text1"/>
          <w:kern w:val="0"/>
          <w:lang w:eastAsia="en-GB"/>
          <w14:ligatures w14:val="none"/>
        </w:rPr>
        <w:lastRenderedPageBreak/>
        <w:t>Hyndman, R. J., &amp; Koehler, A. B. (2006). Another look at measures of forecast accuracy. International Journal of Forecasting, 22(4), 679–688.</w:t>
      </w:r>
    </w:p>
    <w:p w14:paraId="4C778969" w14:textId="77777777" w:rsidR="005D0168" w:rsidRPr="005D0168" w:rsidRDefault="005D0168" w:rsidP="005D0168">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5D0168">
        <w:rPr>
          <w:rFonts w:ascii="Times New Roman" w:eastAsia="Times New Roman" w:hAnsi="Times New Roman" w:cs="Times New Roman"/>
          <w:color w:val="000000" w:themeColor="text1"/>
          <w:kern w:val="0"/>
          <w:lang w:eastAsia="en-GB"/>
          <w14:ligatures w14:val="none"/>
        </w:rPr>
        <w:t>Campbell, J. Y., Lo, A. W., &amp; MacKinlay, A. C. (1997). The Econometrics of Financial Markets. Princeton University Press.</w:t>
      </w:r>
    </w:p>
    <w:p w14:paraId="20826F38" w14:textId="20DF54C4" w:rsidR="005D0168" w:rsidRPr="00116295" w:rsidRDefault="005D0168" w:rsidP="005D0168">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5D0168">
        <w:rPr>
          <w:rFonts w:ascii="Times New Roman" w:eastAsia="Times New Roman" w:hAnsi="Times New Roman" w:cs="Times New Roman"/>
          <w:color w:val="000000" w:themeColor="text1"/>
          <w:kern w:val="0"/>
          <w:lang w:eastAsia="en-GB"/>
          <w14:ligatures w14:val="none"/>
        </w:rPr>
        <w:t>López de Prado, M. (2018). Advances in Financial Machine Learning. Wiley.</w:t>
      </w:r>
    </w:p>
    <w:p w14:paraId="5EAD118F" w14:textId="25279C61" w:rsidR="00116295" w:rsidRPr="00975BF2" w:rsidRDefault="00116295" w:rsidP="005D0168">
      <w:pPr>
        <w:pStyle w:val="Listparagraf"/>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116295">
        <w:rPr>
          <w:rFonts w:ascii="Times New Roman" w:eastAsia="Times New Roman" w:hAnsi="Times New Roman" w:cs="Times New Roman"/>
          <w:color w:val="000000" w:themeColor="text1"/>
          <w:kern w:val="0"/>
          <w:lang w:eastAsia="en-GB"/>
          <w14:ligatures w14:val="none"/>
        </w:rPr>
        <w:t xml:space="preserve">Sharpe, W. F. (1994). The Sharpe ratio. </w:t>
      </w:r>
      <w:r w:rsidRPr="00116295">
        <w:rPr>
          <w:rFonts w:ascii="Times New Roman" w:eastAsia="Times New Roman" w:hAnsi="Times New Roman" w:cs="Times New Roman"/>
          <w:i/>
          <w:iCs/>
          <w:color w:val="000000" w:themeColor="text1"/>
          <w:kern w:val="0"/>
          <w:lang w:eastAsia="en-GB"/>
          <w14:ligatures w14:val="none"/>
        </w:rPr>
        <w:t>Journal of Portfolio Management, 21</w:t>
      </w:r>
      <w:r w:rsidRPr="00116295">
        <w:rPr>
          <w:rFonts w:ascii="Times New Roman" w:eastAsia="Times New Roman" w:hAnsi="Times New Roman" w:cs="Times New Roman"/>
          <w:color w:val="000000" w:themeColor="text1"/>
          <w:kern w:val="0"/>
          <w:lang w:eastAsia="en-GB"/>
          <w14:ligatures w14:val="none"/>
        </w:rPr>
        <w:t>(1), 49–58.</w:t>
      </w:r>
    </w:p>
    <w:p w14:paraId="75B53D67" w14:textId="77777777" w:rsidR="00975BF2" w:rsidRPr="00975BF2" w:rsidRDefault="00975BF2" w:rsidP="00975BF2">
      <w:pPr>
        <w:spacing w:before="100" w:beforeAutospacing="1" w:after="100" w:afterAutospacing="1" w:line="360" w:lineRule="auto"/>
        <w:ind w:left="360"/>
        <w:jc w:val="both"/>
        <w:rPr>
          <w:rFonts w:ascii="Times New Roman" w:eastAsia="Times New Roman" w:hAnsi="Times New Roman" w:cs="Times New Roman"/>
          <w:color w:val="000000" w:themeColor="text1"/>
          <w:kern w:val="0"/>
          <w:lang w:val="en-US" w:eastAsia="en-GB"/>
          <w14:ligatures w14:val="none"/>
        </w:rPr>
      </w:pPr>
    </w:p>
    <w:p w14:paraId="20286751" w14:textId="650C61CB" w:rsidR="007A1DFB" w:rsidRPr="00DE24DD" w:rsidRDefault="007A1DFB" w:rsidP="00F871E1">
      <w:pPr>
        <w:spacing w:line="360" w:lineRule="auto"/>
        <w:jc w:val="both"/>
        <w:rPr>
          <w:rFonts w:ascii="Times New Roman" w:hAnsi="Times New Roman" w:cs="Times New Roman"/>
          <w:color w:val="000000" w:themeColor="text1"/>
          <w:lang w:val="en-US"/>
        </w:rPr>
      </w:pPr>
    </w:p>
    <w:sectPr w:rsidR="007A1DFB" w:rsidRPr="00DE24DD" w:rsidSect="0019051A">
      <w:footerReference w:type="even" r:id="rId19"/>
      <w:pgSz w:w="11906" w:h="16838"/>
      <w:pgMar w:top="1440" w:right="1134" w:bottom="1440"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7A9F5" w14:textId="77777777" w:rsidR="00231F7C" w:rsidRDefault="00231F7C" w:rsidP="0019051A">
      <w:pPr>
        <w:spacing w:after="0" w:line="240" w:lineRule="auto"/>
      </w:pPr>
      <w:r>
        <w:separator/>
      </w:r>
    </w:p>
  </w:endnote>
  <w:endnote w:type="continuationSeparator" w:id="0">
    <w:p w14:paraId="0396EAAE" w14:textId="77777777" w:rsidR="00231F7C" w:rsidRDefault="00231F7C" w:rsidP="00190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depagin"/>
      </w:rPr>
      <w:id w:val="895931225"/>
      <w:docPartObj>
        <w:docPartGallery w:val="Page Numbers (Bottom of Page)"/>
        <w:docPartUnique/>
      </w:docPartObj>
    </w:sdtPr>
    <w:sdtContent>
      <w:p w14:paraId="55FC7127" w14:textId="6852E7FE" w:rsidR="0019051A" w:rsidRDefault="0019051A" w:rsidP="004D3BD7">
        <w:pPr>
          <w:pStyle w:val="Subsol"/>
          <w:framePr w:wrap="none" w:vAnchor="text" w:hAnchor="margin" w:xAlign="center" w:y="1"/>
          <w:rPr>
            <w:rStyle w:val="Numrdepagin"/>
          </w:rPr>
        </w:pPr>
        <w:r>
          <w:rPr>
            <w:rStyle w:val="Numrdepagin"/>
          </w:rPr>
          <w:fldChar w:fldCharType="begin"/>
        </w:r>
        <w:r>
          <w:rPr>
            <w:rStyle w:val="Numrdepagin"/>
          </w:rPr>
          <w:instrText xml:space="preserve"> PAGE </w:instrText>
        </w:r>
        <w:r>
          <w:rPr>
            <w:rStyle w:val="Numrdepagin"/>
          </w:rPr>
          <w:fldChar w:fldCharType="separate"/>
        </w:r>
        <w:r>
          <w:rPr>
            <w:rStyle w:val="Numrdepagin"/>
          </w:rPr>
          <w:fldChar w:fldCharType="end"/>
        </w:r>
      </w:p>
    </w:sdtContent>
  </w:sdt>
  <w:p w14:paraId="4650D5A0" w14:textId="77777777" w:rsidR="0019051A" w:rsidRDefault="0019051A">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CFBDE" w14:textId="77777777" w:rsidR="00231F7C" w:rsidRDefault="00231F7C" w:rsidP="0019051A">
      <w:pPr>
        <w:spacing w:after="0" w:line="240" w:lineRule="auto"/>
      </w:pPr>
      <w:r>
        <w:separator/>
      </w:r>
    </w:p>
  </w:footnote>
  <w:footnote w:type="continuationSeparator" w:id="0">
    <w:p w14:paraId="1F1ED526" w14:textId="77777777" w:rsidR="00231F7C" w:rsidRDefault="00231F7C" w:rsidP="001905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61F63"/>
    <w:multiLevelType w:val="hybridMultilevel"/>
    <w:tmpl w:val="BE3225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9D14D2"/>
    <w:multiLevelType w:val="hybridMultilevel"/>
    <w:tmpl w:val="EF6CC2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B0E643A"/>
    <w:multiLevelType w:val="hybridMultilevel"/>
    <w:tmpl w:val="C562D3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37B7DE1"/>
    <w:multiLevelType w:val="hybridMultilevel"/>
    <w:tmpl w:val="CD4C71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2728064">
    <w:abstractNumId w:val="2"/>
  </w:num>
  <w:num w:numId="2" w16cid:durableId="677512038">
    <w:abstractNumId w:val="0"/>
  </w:num>
  <w:num w:numId="3" w16cid:durableId="1987003135">
    <w:abstractNumId w:val="3"/>
  </w:num>
  <w:num w:numId="4" w16cid:durableId="1371766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2E"/>
    <w:rsid w:val="00116295"/>
    <w:rsid w:val="00170855"/>
    <w:rsid w:val="0019051A"/>
    <w:rsid w:val="00231F7C"/>
    <w:rsid w:val="002435DA"/>
    <w:rsid w:val="00294E48"/>
    <w:rsid w:val="00374FF3"/>
    <w:rsid w:val="003E4256"/>
    <w:rsid w:val="003F0EA3"/>
    <w:rsid w:val="00513259"/>
    <w:rsid w:val="00561945"/>
    <w:rsid w:val="005D0168"/>
    <w:rsid w:val="00652C01"/>
    <w:rsid w:val="00672EDD"/>
    <w:rsid w:val="00685F14"/>
    <w:rsid w:val="0072265C"/>
    <w:rsid w:val="007A1DFB"/>
    <w:rsid w:val="0083152E"/>
    <w:rsid w:val="008D2F71"/>
    <w:rsid w:val="00915C33"/>
    <w:rsid w:val="00922A5E"/>
    <w:rsid w:val="009667B6"/>
    <w:rsid w:val="00975BF2"/>
    <w:rsid w:val="009A2F71"/>
    <w:rsid w:val="009F6D0C"/>
    <w:rsid w:val="00AD77F9"/>
    <w:rsid w:val="00C554A4"/>
    <w:rsid w:val="00D21F70"/>
    <w:rsid w:val="00D3138A"/>
    <w:rsid w:val="00D3265C"/>
    <w:rsid w:val="00D73F67"/>
    <w:rsid w:val="00DC40C8"/>
    <w:rsid w:val="00DE24DD"/>
    <w:rsid w:val="00E56254"/>
    <w:rsid w:val="00EE6A7C"/>
    <w:rsid w:val="00F54632"/>
    <w:rsid w:val="00F871E1"/>
    <w:rsid w:val="00FB045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D28F2"/>
  <w15:chartTrackingRefBased/>
  <w15:docId w15:val="{78B1FD39-A7F7-5942-92E5-F9C2B1BD4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831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unhideWhenUsed/>
    <w:qFormat/>
    <w:rsid w:val="00831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unhideWhenUsed/>
    <w:qFormat/>
    <w:rsid w:val="0083152E"/>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83152E"/>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83152E"/>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83152E"/>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83152E"/>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83152E"/>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83152E"/>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83152E"/>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rsid w:val="0083152E"/>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rsid w:val="0083152E"/>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83152E"/>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83152E"/>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83152E"/>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83152E"/>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83152E"/>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83152E"/>
    <w:rPr>
      <w:rFonts w:eastAsiaTheme="majorEastAsia" w:cstheme="majorBidi"/>
      <w:color w:val="272727" w:themeColor="text1" w:themeTint="D8"/>
    </w:rPr>
  </w:style>
  <w:style w:type="paragraph" w:styleId="Titlu">
    <w:name w:val="Title"/>
    <w:basedOn w:val="Normal"/>
    <w:next w:val="Normal"/>
    <w:link w:val="TitluCaracter"/>
    <w:uiPriority w:val="10"/>
    <w:qFormat/>
    <w:rsid w:val="00831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83152E"/>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83152E"/>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83152E"/>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83152E"/>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83152E"/>
    <w:rPr>
      <w:i/>
      <w:iCs/>
      <w:color w:val="404040" w:themeColor="text1" w:themeTint="BF"/>
    </w:rPr>
  </w:style>
  <w:style w:type="paragraph" w:styleId="Listparagraf">
    <w:name w:val="List Paragraph"/>
    <w:basedOn w:val="Normal"/>
    <w:uiPriority w:val="34"/>
    <w:qFormat/>
    <w:rsid w:val="0083152E"/>
    <w:pPr>
      <w:ind w:left="720"/>
      <w:contextualSpacing/>
    </w:pPr>
  </w:style>
  <w:style w:type="character" w:styleId="Accentuareintens">
    <w:name w:val="Intense Emphasis"/>
    <w:basedOn w:val="Fontdeparagrafimplicit"/>
    <w:uiPriority w:val="21"/>
    <w:qFormat/>
    <w:rsid w:val="0083152E"/>
    <w:rPr>
      <w:i/>
      <w:iCs/>
      <w:color w:val="0F4761" w:themeColor="accent1" w:themeShade="BF"/>
    </w:rPr>
  </w:style>
  <w:style w:type="paragraph" w:styleId="Citatintens">
    <w:name w:val="Intense Quote"/>
    <w:basedOn w:val="Normal"/>
    <w:next w:val="Normal"/>
    <w:link w:val="CitatintensCaracter"/>
    <w:uiPriority w:val="30"/>
    <w:qFormat/>
    <w:rsid w:val="00831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83152E"/>
    <w:rPr>
      <w:i/>
      <w:iCs/>
      <w:color w:val="0F4761" w:themeColor="accent1" w:themeShade="BF"/>
    </w:rPr>
  </w:style>
  <w:style w:type="character" w:styleId="Referireintens">
    <w:name w:val="Intense Reference"/>
    <w:basedOn w:val="Fontdeparagrafimplicit"/>
    <w:uiPriority w:val="32"/>
    <w:qFormat/>
    <w:rsid w:val="0083152E"/>
    <w:rPr>
      <w:b/>
      <w:bCs/>
      <w:smallCaps/>
      <w:color w:val="0F4761" w:themeColor="accent1" w:themeShade="BF"/>
      <w:spacing w:val="5"/>
    </w:rPr>
  </w:style>
  <w:style w:type="paragraph" w:styleId="NormalWeb">
    <w:name w:val="Normal (Web)"/>
    <w:basedOn w:val="Normal"/>
    <w:uiPriority w:val="99"/>
    <w:semiHidden/>
    <w:unhideWhenUsed/>
    <w:rsid w:val="0083152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Fontdeparagrafimplicit"/>
    <w:rsid w:val="0083152E"/>
  </w:style>
  <w:style w:type="character" w:styleId="Robust">
    <w:name w:val="Strong"/>
    <w:basedOn w:val="Fontdeparagrafimplicit"/>
    <w:uiPriority w:val="22"/>
    <w:qFormat/>
    <w:rsid w:val="00652C01"/>
    <w:rPr>
      <w:b/>
      <w:bCs/>
    </w:rPr>
  </w:style>
  <w:style w:type="character" w:styleId="Accentuat">
    <w:name w:val="Emphasis"/>
    <w:basedOn w:val="Fontdeparagrafimplicit"/>
    <w:uiPriority w:val="20"/>
    <w:qFormat/>
    <w:rsid w:val="00DE24DD"/>
    <w:rPr>
      <w:i/>
      <w:iCs/>
    </w:rPr>
  </w:style>
  <w:style w:type="paragraph" w:styleId="Antet">
    <w:name w:val="header"/>
    <w:basedOn w:val="Normal"/>
    <w:link w:val="AntetCaracter"/>
    <w:uiPriority w:val="99"/>
    <w:unhideWhenUsed/>
    <w:rsid w:val="0019051A"/>
    <w:pPr>
      <w:tabs>
        <w:tab w:val="center" w:pos="4513"/>
        <w:tab w:val="right" w:pos="9026"/>
      </w:tabs>
      <w:spacing w:after="0" w:line="240" w:lineRule="auto"/>
    </w:pPr>
  </w:style>
  <w:style w:type="character" w:customStyle="1" w:styleId="AntetCaracter">
    <w:name w:val="Antet Caracter"/>
    <w:basedOn w:val="Fontdeparagrafimplicit"/>
    <w:link w:val="Antet"/>
    <w:uiPriority w:val="99"/>
    <w:rsid w:val="0019051A"/>
  </w:style>
  <w:style w:type="paragraph" w:styleId="Subsol">
    <w:name w:val="footer"/>
    <w:basedOn w:val="Normal"/>
    <w:link w:val="SubsolCaracter"/>
    <w:uiPriority w:val="99"/>
    <w:unhideWhenUsed/>
    <w:rsid w:val="0019051A"/>
    <w:pPr>
      <w:tabs>
        <w:tab w:val="center" w:pos="4513"/>
        <w:tab w:val="right" w:pos="9026"/>
      </w:tabs>
      <w:spacing w:after="0" w:line="240" w:lineRule="auto"/>
    </w:pPr>
  </w:style>
  <w:style w:type="character" w:customStyle="1" w:styleId="SubsolCaracter">
    <w:name w:val="Subsol Caracter"/>
    <w:basedOn w:val="Fontdeparagrafimplicit"/>
    <w:link w:val="Subsol"/>
    <w:uiPriority w:val="99"/>
    <w:rsid w:val="0019051A"/>
  </w:style>
  <w:style w:type="character" w:styleId="Numrdepagin">
    <w:name w:val="page number"/>
    <w:basedOn w:val="Fontdeparagrafimplicit"/>
    <w:uiPriority w:val="99"/>
    <w:semiHidden/>
    <w:unhideWhenUsed/>
    <w:rsid w:val="0019051A"/>
  </w:style>
  <w:style w:type="paragraph" w:styleId="Titlucuprins">
    <w:name w:val="TOC Heading"/>
    <w:basedOn w:val="Titlu1"/>
    <w:next w:val="Normal"/>
    <w:uiPriority w:val="39"/>
    <w:unhideWhenUsed/>
    <w:qFormat/>
    <w:rsid w:val="00D3138A"/>
    <w:pPr>
      <w:spacing w:before="480" w:after="0" w:line="276" w:lineRule="auto"/>
      <w:outlineLvl w:val="9"/>
    </w:pPr>
    <w:rPr>
      <w:b/>
      <w:bCs/>
      <w:kern w:val="0"/>
      <w:sz w:val="28"/>
      <w:szCs w:val="28"/>
      <w:lang w:val="en-US"/>
      <w14:ligatures w14:val="none"/>
    </w:rPr>
  </w:style>
  <w:style w:type="paragraph" w:styleId="Cuprins1">
    <w:name w:val="toc 1"/>
    <w:basedOn w:val="Normal"/>
    <w:next w:val="Normal"/>
    <w:autoRedefine/>
    <w:uiPriority w:val="39"/>
    <w:unhideWhenUsed/>
    <w:rsid w:val="00D3138A"/>
    <w:pPr>
      <w:spacing w:before="120" w:after="0"/>
    </w:pPr>
    <w:rPr>
      <w:b/>
      <w:bCs/>
      <w:i/>
      <w:iCs/>
    </w:rPr>
  </w:style>
  <w:style w:type="paragraph" w:styleId="Cuprins2">
    <w:name w:val="toc 2"/>
    <w:basedOn w:val="Normal"/>
    <w:next w:val="Normal"/>
    <w:autoRedefine/>
    <w:uiPriority w:val="39"/>
    <w:unhideWhenUsed/>
    <w:rsid w:val="00D3138A"/>
    <w:pPr>
      <w:spacing w:before="120" w:after="0"/>
      <w:ind w:left="240"/>
    </w:pPr>
    <w:rPr>
      <w:b/>
      <w:bCs/>
      <w:sz w:val="22"/>
      <w:szCs w:val="22"/>
    </w:rPr>
  </w:style>
  <w:style w:type="character" w:styleId="Hyperlink">
    <w:name w:val="Hyperlink"/>
    <w:basedOn w:val="Fontdeparagrafimplicit"/>
    <w:uiPriority w:val="99"/>
    <w:unhideWhenUsed/>
    <w:rsid w:val="00D3138A"/>
    <w:rPr>
      <w:color w:val="467886" w:themeColor="hyperlink"/>
      <w:u w:val="single"/>
    </w:rPr>
  </w:style>
  <w:style w:type="paragraph" w:styleId="Cuprins3">
    <w:name w:val="toc 3"/>
    <w:basedOn w:val="Normal"/>
    <w:next w:val="Normal"/>
    <w:autoRedefine/>
    <w:uiPriority w:val="39"/>
    <w:semiHidden/>
    <w:unhideWhenUsed/>
    <w:rsid w:val="00D3138A"/>
    <w:pPr>
      <w:spacing w:after="0"/>
      <w:ind w:left="480"/>
    </w:pPr>
    <w:rPr>
      <w:sz w:val="20"/>
      <w:szCs w:val="20"/>
    </w:rPr>
  </w:style>
  <w:style w:type="paragraph" w:styleId="Cuprins4">
    <w:name w:val="toc 4"/>
    <w:basedOn w:val="Normal"/>
    <w:next w:val="Normal"/>
    <w:autoRedefine/>
    <w:uiPriority w:val="39"/>
    <w:semiHidden/>
    <w:unhideWhenUsed/>
    <w:rsid w:val="00D3138A"/>
    <w:pPr>
      <w:spacing w:after="0"/>
      <w:ind w:left="720"/>
    </w:pPr>
    <w:rPr>
      <w:sz w:val="20"/>
      <w:szCs w:val="20"/>
    </w:rPr>
  </w:style>
  <w:style w:type="paragraph" w:styleId="Cuprins5">
    <w:name w:val="toc 5"/>
    <w:basedOn w:val="Normal"/>
    <w:next w:val="Normal"/>
    <w:autoRedefine/>
    <w:uiPriority w:val="39"/>
    <w:semiHidden/>
    <w:unhideWhenUsed/>
    <w:rsid w:val="00D3138A"/>
    <w:pPr>
      <w:spacing w:after="0"/>
      <w:ind w:left="960"/>
    </w:pPr>
    <w:rPr>
      <w:sz w:val="20"/>
      <w:szCs w:val="20"/>
    </w:rPr>
  </w:style>
  <w:style w:type="paragraph" w:styleId="Cuprins6">
    <w:name w:val="toc 6"/>
    <w:basedOn w:val="Normal"/>
    <w:next w:val="Normal"/>
    <w:autoRedefine/>
    <w:uiPriority w:val="39"/>
    <w:semiHidden/>
    <w:unhideWhenUsed/>
    <w:rsid w:val="00D3138A"/>
    <w:pPr>
      <w:spacing w:after="0"/>
      <w:ind w:left="1200"/>
    </w:pPr>
    <w:rPr>
      <w:sz w:val="20"/>
      <w:szCs w:val="20"/>
    </w:rPr>
  </w:style>
  <w:style w:type="paragraph" w:styleId="Cuprins7">
    <w:name w:val="toc 7"/>
    <w:basedOn w:val="Normal"/>
    <w:next w:val="Normal"/>
    <w:autoRedefine/>
    <w:uiPriority w:val="39"/>
    <w:semiHidden/>
    <w:unhideWhenUsed/>
    <w:rsid w:val="00D3138A"/>
    <w:pPr>
      <w:spacing w:after="0"/>
      <w:ind w:left="1440"/>
    </w:pPr>
    <w:rPr>
      <w:sz w:val="20"/>
      <w:szCs w:val="20"/>
    </w:rPr>
  </w:style>
  <w:style w:type="paragraph" w:styleId="Cuprins8">
    <w:name w:val="toc 8"/>
    <w:basedOn w:val="Normal"/>
    <w:next w:val="Normal"/>
    <w:autoRedefine/>
    <w:uiPriority w:val="39"/>
    <w:semiHidden/>
    <w:unhideWhenUsed/>
    <w:rsid w:val="00D3138A"/>
    <w:pPr>
      <w:spacing w:after="0"/>
      <w:ind w:left="1680"/>
    </w:pPr>
    <w:rPr>
      <w:sz w:val="20"/>
      <w:szCs w:val="20"/>
    </w:rPr>
  </w:style>
  <w:style w:type="paragraph" w:styleId="Cuprins9">
    <w:name w:val="toc 9"/>
    <w:basedOn w:val="Normal"/>
    <w:next w:val="Normal"/>
    <w:autoRedefine/>
    <w:uiPriority w:val="39"/>
    <w:semiHidden/>
    <w:unhideWhenUsed/>
    <w:rsid w:val="00D3138A"/>
    <w:pPr>
      <w:spacing w:after="0"/>
      <w:ind w:left="1920"/>
    </w:pPr>
    <w:rPr>
      <w:sz w:val="20"/>
      <w:szCs w:val="20"/>
    </w:rPr>
  </w:style>
  <w:style w:type="table" w:styleId="Tabelgril">
    <w:name w:val="Table Grid"/>
    <w:basedOn w:val="TabelNormal"/>
    <w:uiPriority w:val="39"/>
    <w:rsid w:val="003F0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0D01F-43AE-E840-826C-21176BEAF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43</Pages>
  <Words>14282</Words>
  <Characters>81412</Characters>
  <Application>Microsoft Office Word</Application>
  <DocSecurity>0</DocSecurity>
  <Lines>678</Lines>
  <Paragraphs>191</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BALINT I MARIAM</dc:creator>
  <cp:keywords/>
  <dc:description/>
  <cp:lastModifiedBy>Saiu L Gabriel- Robert</cp:lastModifiedBy>
  <cp:revision>11</cp:revision>
  <dcterms:created xsi:type="dcterms:W3CDTF">2026-04-18T16:07:00Z</dcterms:created>
  <dcterms:modified xsi:type="dcterms:W3CDTF">2026-05-24T08:05:00Z</dcterms:modified>
</cp:coreProperties>
</file>