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477500">
      <w:pPr>
        <w:pBdr>
          <w:bottom w:val="single" w:color="000000" w:sz="12" w:space="1"/>
        </w:pBdr>
        <w:spacing w:before="0" w:after="0" w:line="240" w:lineRule="auto"/>
      </w:pPr>
    </w:p>
    <w:p w14:paraId="15C9C344">
      <w:pPr>
        <w:spacing w:before="120" w:after="0" w:line="240" w:lineRule="auto"/>
      </w:pPr>
    </w:p>
    <w:p w14:paraId="77D0E1A9">
      <w:pPr>
        <w:spacing w:before="0" w:after="80" w:line="240" w:lineRule="auto"/>
        <w:jc w:val="center"/>
      </w:pPr>
      <w:r>
        <w:rPr>
          <w:rFonts w:ascii="Times New Roman" w:hAnsi="Times New Roman" w:eastAsia="Times New Roman" w:cs="Times New Roman"/>
          <w:b/>
          <w:bCs/>
          <w:i w:val="0"/>
          <w:iCs w:val="0"/>
          <w:color w:val="000000"/>
          <w:sz w:val="34"/>
          <w:szCs w:val="34"/>
        </w:rPr>
        <w:t>Comprehensive Risk Modelling: Value at Risk (VaR)</w:t>
      </w:r>
    </w:p>
    <w:p w14:paraId="4F2877C3">
      <w:pPr>
        <w:spacing w:before="80" w:after="0" w:line="240" w:lineRule="auto"/>
      </w:pPr>
    </w:p>
    <w:p w14:paraId="35DDEB90">
      <w:pPr>
        <w:spacing w:before="0" w:after="40" w:line="240" w:lineRule="auto"/>
        <w:jc w:val="center"/>
        <w:rPr>
          <w:rFonts w:ascii="Times New Roman" w:hAnsi="Times New Roman" w:eastAsia="Times New Roman" w:cs="Times New Roman"/>
          <w:b/>
          <w:bCs/>
          <w:i w:val="0"/>
          <w:iCs w:val="0"/>
          <w:color w:val="000000"/>
          <w:sz w:val="22"/>
          <w:szCs w:val="22"/>
        </w:rPr>
      </w:pPr>
      <w:r>
        <w:rPr>
          <w:rFonts w:ascii="Times New Roman" w:hAnsi="Times New Roman" w:eastAsia="Times New Roman" w:cs="Times New Roman"/>
          <w:b/>
          <w:bCs/>
          <w:i w:val="0"/>
          <w:iCs w:val="0"/>
          <w:color w:val="000000"/>
          <w:sz w:val="22"/>
          <w:szCs w:val="22"/>
        </w:rPr>
        <w:t>Suryawanshi Balkrishna Shivaji</w:t>
      </w:r>
    </w:p>
    <w:p w14:paraId="534C1B89">
      <w:pPr>
        <w:spacing w:before="0" w:after="120"/>
        <w:jc w:val="center"/>
        <w:rPr>
          <w:rFonts w:hint="default" w:cs="Times New Roman"/>
          <w:b/>
          <w:bCs/>
          <w:sz w:val="20"/>
          <w:szCs w:val="20"/>
          <w:lang w:val="en-IN"/>
        </w:rPr>
      </w:pPr>
      <w:r>
        <w:rPr>
          <w:rFonts w:hint="default" w:cs="Times New Roman"/>
          <w:b/>
          <w:bCs/>
          <w:sz w:val="20"/>
          <w:szCs w:val="20"/>
          <w:lang w:val="en-IN"/>
        </w:rPr>
        <w:t>Student ID:- 23035010250</w:t>
      </w:r>
    </w:p>
    <w:p w14:paraId="257A3BBD">
      <w:pPr>
        <w:spacing w:before="0" w:after="80"/>
        <w:ind w:firstLine="2971" w:firstLineChars="1650"/>
        <w:jc w:val="both"/>
        <w:rPr>
          <w:rFonts w:ascii="Times New Roman" w:hAnsi="Times New Roman" w:eastAsia="Times New Roman" w:cs="Times New Roman"/>
          <w:b/>
          <w:bCs/>
          <w:i w:val="0"/>
          <w:iCs w:val="0"/>
          <w:color w:val="000000"/>
          <w:sz w:val="22"/>
          <w:szCs w:val="22"/>
        </w:rPr>
      </w:pPr>
      <w:r>
        <w:rPr>
          <w:rFonts w:hint="default" w:cs="Times New Roman"/>
          <w:b/>
          <w:bCs/>
          <w:sz w:val="18"/>
          <w:szCs w:val="18"/>
          <w:lang w:val="en-IN"/>
        </w:rPr>
        <w:t>Course:- DA377 -- Term Project -1 | Trisemister -VII</w:t>
      </w:r>
    </w:p>
    <w:p w14:paraId="0C0C75B6">
      <w:pPr>
        <w:spacing w:before="0" w:after="40" w:line="240" w:lineRule="auto"/>
        <w:jc w:val="center"/>
      </w:pPr>
      <w:r>
        <w:rPr>
          <w:rFonts w:ascii="Times New Roman" w:hAnsi="Times New Roman" w:eastAsia="Times New Roman" w:cs="Times New Roman"/>
          <w:b w:val="0"/>
          <w:bCs w:val="0"/>
          <w:i/>
          <w:iCs/>
          <w:color w:val="555555"/>
          <w:sz w:val="18"/>
          <w:szCs w:val="18"/>
        </w:rPr>
        <w:t>Department of Data Science and Artificial Intelligence</w:t>
      </w:r>
    </w:p>
    <w:p w14:paraId="3FD13056">
      <w:pPr>
        <w:spacing w:before="0" w:after="40" w:line="240" w:lineRule="auto"/>
        <w:jc w:val="center"/>
      </w:pPr>
      <w:r>
        <w:rPr>
          <w:rFonts w:ascii="Times New Roman" w:hAnsi="Times New Roman" w:eastAsia="Times New Roman" w:cs="Times New Roman"/>
          <w:b w:val="0"/>
          <w:bCs w:val="0"/>
          <w:i/>
          <w:iCs/>
          <w:color w:val="555555"/>
          <w:sz w:val="18"/>
          <w:szCs w:val="18"/>
        </w:rPr>
        <w:t>Indian Institute of Technology Guwahati (Online)</w:t>
      </w:r>
    </w:p>
    <w:p w14:paraId="37859825">
      <w:pPr>
        <w:spacing w:before="0" w:after="120" w:line="240" w:lineRule="auto"/>
        <w:jc w:val="center"/>
      </w:pPr>
      <w:r>
        <w:rPr>
          <w:rFonts w:ascii="Times New Roman" w:hAnsi="Times New Roman" w:eastAsia="Times New Roman" w:cs="Times New Roman"/>
          <w:b w:val="0"/>
          <w:bCs w:val="0"/>
          <w:i w:val="0"/>
          <w:iCs w:val="0"/>
          <w:color w:val="555555"/>
          <w:sz w:val="18"/>
          <w:szCs w:val="18"/>
        </w:rPr>
        <w:t xml:space="preserve">Email: </w:t>
      </w:r>
      <w:r>
        <w:rPr>
          <w:rFonts w:hint="default" w:ascii="Times New Roman" w:hAnsi="Times New Roman" w:eastAsia="Times New Roman" w:cs="Times New Roman"/>
          <w:b w:val="0"/>
          <w:bCs w:val="0"/>
          <w:i w:val="0"/>
          <w:iCs w:val="0"/>
          <w:color w:val="555555"/>
          <w:sz w:val="18"/>
          <w:szCs w:val="18"/>
        </w:rPr>
        <w:t>b.suryawanshi@op.iitg.ac.in</w:t>
      </w:r>
    </w:p>
    <w:p w14:paraId="5F5FADD4">
      <w:pPr>
        <w:spacing w:before="100" w:after="0" w:line="24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2BE1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tcMar>
              <w:top w:w="60" w:type="dxa"/>
              <w:left w:w="200" w:type="dxa"/>
              <w:bottom w:w="60" w:type="dxa"/>
              <w:right w:w="200" w:type="dxa"/>
            </w:tcMar>
          </w:tcPr>
          <w:p w14:paraId="42366C60">
            <w:pPr>
              <w:spacing w:before="0" w:after="40" w:line="240" w:lineRule="auto"/>
              <w:jc w:val="both"/>
            </w:pPr>
            <w:r>
              <w:rPr>
                <w:rFonts w:ascii="Times New Roman" w:hAnsi="Times New Roman" w:eastAsia="Times New Roman" w:cs="Times New Roman"/>
                <w:b/>
                <w:bCs/>
                <w:i w:val="0"/>
                <w:iCs w:val="0"/>
                <w:color w:val="000000"/>
                <w:sz w:val="18"/>
                <w:szCs w:val="18"/>
              </w:rPr>
              <w:t>Abstract—</w:t>
            </w:r>
            <w:r>
              <w:rPr>
                <w:rFonts w:ascii="Times New Roman" w:hAnsi="Times New Roman" w:eastAsia="Times New Roman" w:cs="Times New Roman"/>
                <w:b w:val="0"/>
                <w:bCs w:val="0"/>
                <w:i/>
                <w:iCs/>
                <w:color w:val="000000"/>
                <w:sz w:val="18"/>
                <w:szCs w:val="18"/>
              </w:rPr>
              <w:t>This paper presents a comprehensive risk modelling framework for equity portfolio management, encompassing Markowitz mean-variance portfolio optimisation, three Value at Risk (VaR) estimation methodologies, two rigorous backtesting procedures, and an interactive Streamlit web application. A synthetic correlated dataset of 1,565 daily returns for JPMorgan Chase (JPM), Morgan Stanley (MS), and Bank of America (BAC) is employed. The Markowitz Max-Sharpe optimiser allocates the entire $1,000,000 portfolio to Bank of America, yielding an annualised return of 17.42%, annualised volatility of 22.40%, and a Sharpe ratio of 0.5542. At the 99% confidence level, the one-day VaR estimates converge across methods: Historical Simulation ($32,054), Variance-Covariance ($32,141), and Monte Carlo with Geometric Brownian Motion and Cholesky decomposition ($31,676). The Traffic Light backtesting approach classifies the model in the Green Zone (4 breaches in 250 days), and the Kupiec Proportion of Failures test confirms model adequacy (LR = 0.0277, p = 0.8679). All components are integrated into a four-tab Streamlit dashboard enabling analysts to interactively explore portfolio construction, VaR estimation, and backtesting results.</w:t>
            </w:r>
          </w:p>
          <w:p w14:paraId="58793DB0">
            <w:pPr>
              <w:spacing w:before="40" w:after="0" w:line="240" w:lineRule="auto"/>
              <w:jc w:val="both"/>
            </w:pPr>
            <w:r>
              <w:rPr>
                <w:rFonts w:ascii="Times New Roman" w:hAnsi="Times New Roman" w:eastAsia="Times New Roman" w:cs="Times New Roman"/>
                <w:b/>
                <w:bCs/>
                <w:i w:val="0"/>
                <w:iCs w:val="0"/>
                <w:color w:val="000000"/>
                <w:sz w:val="18"/>
                <w:szCs w:val="18"/>
              </w:rPr>
              <w:t>Keywords—</w:t>
            </w:r>
            <w:r>
              <w:rPr>
                <w:rFonts w:ascii="Times New Roman" w:hAnsi="Times New Roman" w:eastAsia="Times New Roman" w:cs="Times New Roman"/>
                <w:b w:val="0"/>
                <w:bCs w:val="0"/>
                <w:i w:val="0"/>
                <w:iCs w:val="0"/>
                <w:color w:val="000000"/>
                <w:sz w:val="18"/>
                <w:szCs w:val="18"/>
              </w:rPr>
              <w:t>Value at Risk; Expected Shortfall; Historical Simulation; Variance-Covariance; Monte Carlo; Geometric Brownian Motion; Cholesky Decomposition; Markowitz Optimisation; Traffic Light; Kupiec Test; Streamlit; Basel III.</w:t>
            </w:r>
          </w:p>
        </w:tc>
      </w:tr>
    </w:tbl>
    <w:p w14:paraId="782F7DF4">
      <w:pPr>
        <w:spacing w:before="100" w:after="0" w:line="240" w:lineRule="auto"/>
      </w:pPr>
    </w:p>
    <w:p w14:paraId="454F9318">
      <w:pPr>
        <w:pBdr>
          <w:bottom w:val="single" w:color="000000" w:sz="6" w:space="1"/>
        </w:pBdr>
        <w:spacing w:before="0" w:after="0" w:line="240" w:lineRule="auto"/>
      </w:pPr>
    </w:p>
    <w:p w14:paraId="5E45C299">
      <w:pPr>
        <w:spacing w:before="60" w:after="0" w:line="240" w:lineRule="auto"/>
      </w:pPr>
    </w:p>
    <w:p w14:paraId="31276303">
      <w:pPr>
        <w:sectPr>
          <w:footerReference r:id="rId3" w:type="default"/>
          <w:type w:val="continuous"/>
          <w:pgSz w:w="12240" w:h="15840"/>
          <w:pgMar w:top="1080" w:right="1080" w:bottom="1080" w:left="1080" w:header="708" w:footer="708" w:gutter="0"/>
          <w:cols w:space="720" w:num="1"/>
          <w:docGrid w:linePitch="360" w:charSpace="0"/>
        </w:sectPr>
      </w:pPr>
    </w:p>
    <w:p w14:paraId="6FF596D3">
      <w:pPr>
        <w:spacing w:before="160" w:after="80" w:line="240" w:lineRule="auto"/>
        <w:jc w:val="center"/>
      </w:pPr>
      <w:r>
        <w:rPr>
          <w:rFonts w:ascii="Times New Roman" w:hAnsi="Times New Roman" w:eastAsia="Times New Roman" w:cs="Times New Roman"/>
          <w:b/>
          <w:bCs/>
          <w:i w:val="0"/>
          <w:iCs w:val="0"/>
          <w:color w:val="000000"/>
          <w:sz w:val="22"/>
          <w:szCs w:val="22"/>
        </w:rPr>
        <w:t>I.  INTRODUCTION</w:t>
      </w:r>
    </w:p>
    <w:p w14:paraId="0A7A8E38">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Value at Risk (VaR) is the dominant risk metric in modern financial practice, endorsed by the Basel III regulatory accord as the standard measure for market-risk capital adequacy. Formally, the one-day VaR at confidence level α answers the question: “What is the maximum loss that my portfolio will not exceed, with probability α, over the next trading day?” Equivalently, there is a (1 − α) probability that losses will exceed the VaR figure.</w:t>
      </w:r>
    </w:p>
    <w:p w14:paraId="077E841D">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Despite its ubiquity, VaR has well-documented limitations: it provides no information about the severity of losses beyond the threshold, and it is not sub-additive in general, meaning that the VaR of a combined portfolio can exceed the sum of individual VaRs, violating the principle of diversification benefit. Expected Shortfall (ES), also called Conditional VaR (CVaR), addresses these deficiencies by reporting the average loss conditional on exceeding the VaR threshold.</w:t>
      </w:r>
    </w:p>
    <w:p w14:paraId="39129577">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This paper makes four principal contributions. First, it implements and compares three standard VaR estimation methodologies—Historical Simulation, Variance-Covariance, and Monte Carlo Simulation— on a realistically calibrated synthetic equity portfolio. Second, it constructs an optimal portfolio via Markowitz mean-variance optimisation, making the capital allocation explicit. Third, it rigorously backtests the resulting VaR model using the Basel Traffic Light Approach and the Kupiec Proportion of Failures (POF) statistical test. Finally, all components are unified in an interactive Streamlit dashboard that enables end-users to explore results without writing code.</w:t>
      </w:r>
    </w:p>
    <w:p w14:paraId="42A3D99B">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The remainder of this paper is organised as follows. Section II reviews the theoretical background. Section III describes the dataset and portfolio construction. Section IV details the VaR methodologies. Section V presents backtesting procedures and results. Section VI describes the Streamlit application. Section VII concludes.</w:t>
      </w:r>
    </w:p>
    <w:p w14:paraId="2190D518">
      <w:pPr>
        <w:spacing w:before="160" w:after="80" w:line="240" w:lineRule="auto"/>
        <w:jc w:val="center"/>
      </w:pPr>
      <w:r>
        <w:rPr>
          <w:rFonts w:ascii="Times New Roman" w:hAnsi="Times New Roman" w:eastAsia="Times New Roman" w:cs="Times New Roman"/>
          <w:b/>
          <w:bCs/>
          <w:i w:val="0"/>
          <w:iCs w:val="0"/>
          <w:color w:val="000000"/>
          <w:sz w:val="22"/>
          <w:szCs w:val="22"/>
        </w:rPr>
        <w:t>II.  THEORETICAL BACKGROUND</w:t>
      </w:r>
    </w:p>
    <w:p w14:paraId="2EBD56C2">
      <w:pPr>
        <w:spacing w:before="120" w:after="60" w:line="240" w:lineRule="auto"/>
        <w:jc w:val="left"/>
      </w:pPr>
      <w:r>
        <w:rPr>
          <w:rFonts w:ascii="Times New Roman" w:hAnsi="Times New Roman" w:eastAsia="Times New Roman" w:cs="Times New Roman"/>
          <w:b/>
          <w:bCs/>
          <w:i/>
          <w:iCs/>
          <w:color w:val="000000"/>
          <w:sz w:val="20"/>
          <w:szCs w:val="20"/>
        </w:rPr>
        <w:t>A. Value at Risk</w:t>
      </w:r>
    </w:p>
    <w:p w14:paraId="40EEA8B0">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Let L denote the loss random variable of a portfolio over a holding period Δt. The VaR at confidence level α is defined as the smallest loss threshold l such that:</w:t>
      </w:r>
    </w:p>
    <w:p w14:paraId="3E834457">
      <w:pPr>
        <w:spacing w:before="60" w:after="60" w:line="240" w:lineRule="auto"/>
        <w:jc w:val="center"/>
      </w:pPr>
      <w:r>
        <w:rPr>
          <w:rFonts w:ascii="Courier New" w:hAnsi="Courier New" w:eastAsia="Courier New" w:cs="Courier New"/>
          <w:b w:val="0"/>
          <w:bCs w:val="0"/>
          <w:i w:val="0"/>
          <w:iCs w:val="0"/>
          <w:color w:val="000000"/>
          <w:sz w:val="18"/>
          <w:szCs w:val="18"/>
        </w:rPr>
        <w:t>VaRα = inf { l ∈ ℝ : P(L &gt; l) ≤ 1 − α }</w:t>
      </w:r>
    </w:p>
    <w:p w14:paraId="2A7496D9">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For a normally distributed portfolio return with mean μₚ and standard deviation σₚ, this simplifies to:</w:t>
      </w:r>
    </w:p>
    <w:p w14:paraId="32ACD990">
      <w:pPr>
        <w:spacing w:before="60" w:after="60" w:line="240" w:lineRule="auto"/>
        <w:jc w:val="center"/>
      </w:pPr>
      <w:r>
        <w:rPr>
          <w:rFonts w:ascii="Courier New" w:hAnsi="Courier New" w:eastAsia="Courier New" w:cs="Courier New"/>
          <w:b w:val="0"/>
          <w:bCs w:val="0"/>
          <w:i w:val="0"/>
          <w:iCs w:val="0"/>
          <w:color w:val="000000"/>
          <w:sz w:val="18"/>
          <w:szCs w:val="18"/>
        </w:rPr>
        <w:t>VaRα = −(μₚ + zα · σₚ) · P · √Δt</w:t>
      </w:r>
    </w:p>
    <w:p w14:paraId="45EC5EAF">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where zα = Φ⁻¹(1−α) is the standard normal quantile, P is the portfolio value, and Δt is the holding period in days. The square-root-of-time rule scales VaR from a 1-day estimate to longer horizons under the assumption of i.i.d. returns.</w:t>
      </w:r>
    </w:p>
    <w:p w14:paraId="6C43DF6C">
      <w:pPr>
        <w:spacing w:before="120" w:after="60" w:line="240" w:lineRule="auto"/>
        <w:jc w:val="left"/>
      </w:pPr>
      <w:r>
        <w:rPr>
          <w:rFonts w:ascii="Times New Roman" w:hAnsi="Times New Roman" w:eastAsia="Times New Roman" w:cs="Times New Roman"/>
          <w:b/>
          <w:bCs/>
          <w:i/>
          <w:iCs/>
          <w:color w:val="000000"/>
          <w:sz w:val="20"/>
          <w:szCs w:val="20"/>
        </w:rPr>
        <w:t>B. Expected Shortfall</w:t>
      </w:r>
    </w:p>
    <w:p w14:paraId="43581ABC">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Expected Shortfall at level α is defined as the conditional expectation of loss given that loss exceeds VaRα:</w:t>
      </w:r>
    </w:p>
    <w:p w14:paraId="08AC36FD">
      <w:pPr>
        <w:spacing w:before="60" w:after="60" w:line="240" w:lineRule="auto"/>
        <w:jc w:val="center"/>
      </w:pPr>
      <w:r>
        <w:rPr>
          <w:rFonts w:ascii="Courier New" w:hAnsi="Courier New" w:eastAsia="Courier New" w:cs="Courier New"/>
          <w:b w:val="0"/>
          <w:bCs w:val="0"/>
          <w:i w:val="0"/>
          <w:iCs w:val="0"/>
          <w:color w:val="000000"/>
          <w:sz w:val="18"/>
          <w:szCs w:val="18"/>
        </w:rPr>
        <w:t>ESα = E[ L ∣ L &gt; VaRα ]</w:t>
      </w:r>
    </w:p>
    <w:p w14:paraId="39647651">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ES satisfies all four axioms of coherent risk measures (translation invariance, monotonicity, positive homogeneity, and sub-additivity) and is therefore theoretically superior to VaR for portfolio risk aggregation. The Basel IV framework has partially migrated from VaR to ES as the primary regulatory risk metric.</w:t>
      </w:r>
    </w:p>
    <w:p w14:paraId="19CC3772">
      <w:pPr>
        <w:spacing w:before="120" w:after="60" w:line="240" w:lineRule="auto"/>
        <w:jc w:val="left"/>
      </w:pPr>
      <w:r>
        <w:rPr>
          <w:rFonts w:ascii="Times New Roman" w:hAnsi="Times New Roman" w:eastAsia="Times New Roman" w:cs="Times New Roman"/>
          <w:b/>
          <w:bCs/>
          <w:i/>
          <w:iCs/>
          <w:color w:val="000000"/>
          <w:sz w:val="20"/>
          <w:szCs w:val="20"/>
        </w:rPr>
        <w:t>C. Markowitz Portfolio Optimisation</w:t>
      </w:r>
    </w:p>
    <w:p w14:paraId="399EBEE3">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The Markowitz mean-variance framework [1] seeks portfolio weights w ∈ ℝⁿ that maximise the Sharpe ratio subject to the full-investment and non-negativity constraints:</w:t>
      </w:r>
    </w:p>
    <w:p w14:paraId="3A388BAF">
      <w:pPr>
        <w:spacing w:before="60" w:after="60" w:line="240" w:lineRule="auto"/>
        <w:jc w:val="center"/>
      </w:pPr>
      <w:r>
        <w:rPr>
          <w:rFonts w:ascii="Courier New" w:hAnsi="Courier New" w:eastAsia="Courier New" w:cs="Courier New"/>
          <w:b w:val="0"/>
          <w:bCs w:val="0"/>
          <w:i w:val="0"/>
          <w:iCs w:val="0"/>
          <w:color w:val="000000"/>
          <w:sz w:val="18"/>
          <w:szCs w:val="18"/>
        </w:rPr>
        <w:t>max  (wᵀμ − Rf) / √(wᵀΣw)   s.t.  Σwᵢ = 1,  wᵢ ≥ 0</w:t>
      </w:r>
    </w:p>
    <w:p w14:paraId="4587C232">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where μ is the vector of expected daily returns, Σ is the sample covariance matrix, and Rf is the risk-free rate (annualised). The optimal solution is obtained via Sequential Quadratic Programming (SQP) as implemented in scipy.optimize.minimize with the SLSQP solver.</w:t>
      </w:r>
    </w:p>
    <w:p w14:paraId="3AB07EB8">
      <w:pPr>
        <w:spacing w:before="160" w:after="80" w:line="240" w:lineRule="auto"/>
        <w:jc w:val="center"/>
      </w:pPr>
      <w:r>
        <w:rPr>
          <w:rFonts w:ascii="Times New Roman" w:hAnsi="Times New Roman" w:eastAsia="Times New Roman" w:cs="Times New Roman"/>
          <w:b/>
          <w:bCs/>
          <w:i w:val="0"/>
          <w:iCs w:val="0"/>
          <w:color w:val="000000"/>
          <w:sz w:val="22"/>
          <w:szCs w:val="22"/>
        </w:rPr>
        <w:t>III.  DATASET AND PORTFOLIO CONSTRUCTION</w:t>
      </w:r>
    </w:p>
    <w:p w14:paraId="76684E55">
      <w:pPr>
        <w:spacing w:before="120" w:after="60" w:line="240" w:lineRule="auto"/>
        <w:jc w:val="left"/>
      </w:pPr>
      <w:r>
        <w:rPr>
          <w:rFonts w:ascii="Times New Roman" w:hAnsi="Times New Roman" w:eastAsia="Times New Roman" w:cs="Times New Roman"/>
          <w:b/>
          <w:bCs/>
          <w:i/>
          <w:iCs/>
          <w:color w:val="000000"/>
          <w:sz w:val="20"/>
          <w:szCs w:val="20"/>
        </w:rPr>
        <w:t>A. Data</w:t>
      </w:r>
    </w:p>
    <w:p w14:paraId="16DF864C">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A correlated synthetic dataset is constructed via Geometric Brownian Motion (GBM) to represent daily adjusted closing prices for three major US financial stocks: JPMorgan Chase (JPM), Morgan Stanley (MS), and Bank of America (BAC). The simulation covers 1,566 trading days from January 2019 to December 2024, yielding 1,565 daily return observations after differencing. Parameters are calibrated to historical characteristics of these stocks.</w:t>
      </w:r>
    </w:p>
    <w:p w14:paraId="08396412">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The inter-asset correlation structure is imposed via Cholesky decomposition with correlation coefficients ρ(JPM,MS) = 0.72, ρ(JPM,BAC) = 0.78, and ρ(MS,BAC) = 0.68, reflecting the well-documented high co-movement among large US commercial and investment banks.</w:t>
      </w:r>
    </w:p>
    <w:p w14:paraId="0F8DDF15">
      <w:pPr>
        <w:spacing w:before="120" w:after="60" w:line="240" w:lineRule="auto"/>
        <w:jc w:val="left"/>
      </w:pPr>
      <w:r>
        <w:rPr>
          <w:rFonts w:ascii="Times New Roman" w:hAnsi="Times New Roman" w:eastAsia="Times New Roman" w:cs="Times New Roman"/>
          <w:b/>
          <w:bCs/>
          <w:i/>
          <w:iCs/>
          <w:color w:val="000000"/>
          <w:sz w:val="20"/>
          <w:szCs w:val="20"/>
        </w:rPr>
        <w:t>B. Return Computation</w:t>
      </w:r>
    </w:p>
    <w:p w14:paraId="04C04422">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Daily simple returns are computed as:</w:t>
      </w:r>
    </w:p>
    <w:p w14:paraId="1DDC9BC2">
      <w:pPr>
        <w:spacing w:before="60" w:after="60" w:line="240" w:lineRule="auto"/>
        <w:jc w:val="center"/>
      </w:pPr>
      <w:r>
        <w:rPr>
          <w:rFonts w:ascii="Courier New" w:hAnsi="Courier New" w:eastAsia="Courier New" w:cs="Courier New"/>
          <w:b w:val="0"/>
          <w:bCs w:val="0"/>
          <w:i w:val="0"/>
          <w:iCs w:val="0"/>
          <w:color w:val="000000"/>
          <w:sz w:val="18"/>
          <w:szCs w:val="18"/>
        </w:rPr>
        <w:t>rₜ = (Sₜ / Sₜ₋₁) − 1</w:t>
      </w:r>
    </w:p>
    <w:p w14:paraId="141B3447">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where Sₜ denotes the price at time t. Simple returns (rather than log-returns) are used throughout to maintain additive portfolio-return decomposition.</w:t>
      </w:r>
    </w:p>
    <w:p w14:paraId="1B4F5E14">
      <w:pPr>
        <w:spacing w:before="120" w:after="60" w:line="240" w:lineRule="auto"/>
        <w:jc w:val="left"/>
      </w:pPr>
      <w:r>
        <w:rPr>
          <w:rFonts w:ascii="Times New Roman" w:hAnsi="Times New Roman" w:eastAsia="Times New Roman" w:cs="Times New Roman"/>
          <w:b/>
          <w:bCs/>
          <w:i/>
          <w:iCs/>
          <w:color w:val="000000"/>
          <w:sz w:val="20"/>
          <w:szCs w:val="20"/>
        </w:rPr>
        <w:t>C. Markowitz Optimisation Results</w:t>
      </w:r>
    </w:p>
    <w:p w14:paraId="4E81219C">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The Markowitz Max-Sharpe optimiser is applied to the 1,565 × 3 return matrix with a 5% annualised risk-free rate. The efficient frontier is mapped via 5,000 randomly generated portfolios. Table I reports the resulting optimal weights and portfolio-level statistics, and Table II summarises the key risk metrics.</w:t>
      </w:r>
    </w:p>
    <w:p w14:paraId="4916DA61">
      <w:pPr>
        <w:spacing w:before="80" w:after="40" w:line="240" w:lineRule="auto"/>
        <w:jc w:val="center"/>
      </w:pPr>
      <w:r>
        <w:rPr>
          <w:rFonts w:ascii="Times New Roman" w:hAnsi="Times New Roman" w:eastAsia="Times New Roman" w:cs="Times New Roman"/>
          <w:b/>
          <w:bCs/>
          <w:i w:val="0"/>
          <w:iCs w:val="0"/>
          <w:color w:val="000000"/>
          <w:sz w:val="18"/>
          <w:szCs w:val="18"/>
        </w:rPr>
        <w:t>TABLE I.  MARKOWITZ OPTIMAL PORTFOLIO WEIGHTS</w:t>
      </w:r>
    </w:p>
    <w:tbl>
      <w:tblPr>
        <w:tblStyle w:val="9"/>
        <w:tblW w:w="7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1700"/>
        <w:gridCol w:w="1800"/>
      </w:tblGrid>
      <w:tr w14:paraId="351EC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000000" w:sz="4" w:space="0"/>
              <w:left w:val="single" w:color="000000" w:sz="4" w:space="0"/>
              <w:bottom w:val="single" w:color="000000" w:sz="4" w:space="0"/>
              <w:right w:val="single" w:color="000000" w:sz="4" w:space="0"/>
            </w:tcBorders>
            <w:shd w:val="clear" w:color="auto" w:fill="1F3864"/>
            <w:tcMar>
              <w:top w:w="70" w:type="dxa"/>
              <w:left w:w="110" w:type="dxa"/>
              <w:bottom w:w="70" w:type="dxa"/>
              <w:right w:w="110" w:type="dxa"/>
            </w:tcMar>
            <w:vAlign w:val="center"/>
          </w:tcPr>
          <w:p w14:paraId="3D3DD898">
            <w:pPr>
              <w:jc w:val="center"/>
            </w:pPr>
            <w:r>
              <w:rPr>
                <w:rFonts w:ascii="Times New Roman" w:hAnsi="Times New Roman" w:eastAsia="Times New Roman" w:cs="Times New Roman"/>
                <w:b/>
                <w:bCs/>
                <w:i w:val="0"/>
                <w:iCs w:val="0"/>
                <w:color w:val="FFFFFF"/>
                <w:sz w:val="18"/>
                <w:szCs w:val="18"/>
              </w:rPr>
              <w:t>Stock</w:t>
            </w:r>
          </w:p>
        </w:tc>
        <w:tc>
          <w:tcPr>
            <w:tcW w:w="1800" w:type="dxa"/>
            <w:tcBorders>
              <w:top w:val="single" w:color="000000" w:sz="4" w:space="0"/>
              <w:left w:val="single" w:color="000000" w:sz="4" w:space="0"/>
              <w:bottom w:val="single" w:color="000000" w:sz="4" w:space="0"/>
              <w:right w:val="single" w:color="000000" w:sz="4" w:space="0"/>
            </w:tcBorders>
            <w:shd w:val="clear" w:color="auto" w:fill="1F3864"/>
            <w:tcMar>
              <w:top w:w="70" w:type="dxa"/>
              <w:left w:w="110" w:type="dxa"/>
              <w:bottom w:w="70" w:type="dxa"/>
              <w:right w:w="110" w:type="dxa"/>
            </w:tcMar>
            <w:vAlign w:val="center"/>
          </w:tcPr>
          <w:p w14:paraId="0269AE4B">
            <w:pPr>
              <w:jc w:val="center"/>
            </w:pPr>
            <w:r>
              <w:rPr>
                <w:rFonts w:ascii="Times New Roman" w:hAnsi="Times New Roman" w:eastAsia="Times New Roman" w:cs="Times New Roman"/>
                <w:b/>
                <w:bCs/>
                <w:i w:val="0"/>
                <w:iCs w:val="0"/>
                <w:color w:val="FFFFFF"/>
                <w:sz w:val="18"/>
                <w:szCs w:val="18"/>
              </w:rPr>
              <w:t>Weight (%)</w:t>
            </w:r>
          </w:p>
        </w:tc>
        <w:tc>
          <w:tcPr>
            <w:tcW w:w="1700" w:type="dxa"/>
            <w:tcBorders>
              <w:top w:val="single" w:color="000000" w:sz="4" w:space="0"/>
              <w:left w:val="single" w:color="000000" w:sz="4" w:space="0"/>
              <w:bottom w:val="single" w:color="000000" w:sz="4" w:space="0"/>
              <w:right w:val="single" w:color="000000" w:sz="4" w:space="0"/>
            </w:tcBorders>
            <w:shd w:val="clear" w:color="auto" w:fill="1F3864"/>
            <w:tcMar>
              <w:top w:w="70" w:type="dxa"/>
              <w:left w:w="110" w:type="dxa"/>
              <w:bottom w:w="70" w:type="dxa"/>
              <w:right w:w="110" w:type="dxa"/>
            </w:tcMar>
            <w:vAlign w:val="center"/>
          </w:tcPr>
          <w:p w14:paraId="72D15B93">
            <w:pPr>
              <w:jc w:val="center"/>
            </w:pPr>
            <w:r>
              <w:rPr>
                <w:rFonts w:ascii="Times New Roman" w:hAnsi="Times New Roman" w:eastAsia="Times New Roman" w:cs="Times New Roman"/>
                <w:b/>
                <w:bCs/>
                <w:i w:val="0"/>
                <w:iCs w:val="0"/>
                <w:color w:val="FFFFFF"/>
                <w:sz w:val="18"/>
                <w:szCs w:val="18"/>
              </w:rPr>
              <w:t>Ann. Return (%)</w:t>
            </w:r>
          </w:p>
        </w:tc>
        <w:tc>
          <w:tcPr>
            <w:tcW w:w="1800" w:type="dxa"/>
            <w:tcBorders>
              <w:top w:val="single" w:color="000000" w:sz="4" w:space="0"/>
              <w:left w:val="single" w:color="000000" w:sz="4" w:space="0"/>
              <w:bottom w:val="single" w:color="000000" w:sz="4" w:space="0"/>
              <w:right w:val="single" w:color="000000" w:sz="4" w:space="0"/>
            </w:tcBorders>
            <w:shd w:val="clear" w:color="auto" w:fill="1F3864"/>
            <w:tcMar>
              <w:top w:w="70" w:type="dxa"/>
              <w:left w:w="110" w:type="dxa"/>
              <w:bottom w:w="70" w:type="dxa"/>
              <w:right w:w="110" w:type="dxa"/>
            </w:tcMar>
            <w:vAlign w:val="center"/>
          </w:tcPr>
          <w:p w14:paraId="63E28408">
            <w:pPr>
              <w:jc w:val="center"/>
            </w:pPr>
            <w:r>
              <w:rPr>
                <w:rFonts w:ascii="Times New Roman" w:hAnsi="Times New Roman" w:eastAsia="Times New Roman" w:cs="Times New Roman"/>
                <w:b/>
                <w:bCs/>
                <w:i w:val="0"/>
                <w:iCs w:val="0"/>
                <w:color w:val="FFFFFF"/>
                <w:sz w:val="18"/>
                <w:szCs w:val="18"/>
              </w:rPr>
              <w:t>Inv. ($)</w:t>
            </w:r>
          </w:p>
        </w:tc>
      </w:tr>
      <w:tr w14:paraId="32A42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vAlign w:val="center"/>
          </w:tcPr>
          <w:p w14:paraId="45630A08">
            <w:pPr>
              <w:jc w:val="left"/>
            </w:pPr>
            <w:r>
              <w:rPr>
                <w:rFonts w:ascii="Times New Roman" w:hAnsi="Times New Roman" w:eastAsia="Times New Roman" w:cs="Times New Roman"/>
                <w:b w:val="0"/>
                <w:bCs w:val="0"/>
                <w:i w:val="0"/>
                <w:iCs w:val="0"/>
                <w:color w:val="000000"/>
                <w:sz w:val="18"/>
                <w:szCs w:val="18"/>
              </w:rPr>
              <w:t>JPMorgan Chase (JPM)</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vAlign w:val="center"/>
          </w:tcPr>
          <w:p w14:paraId="4990EAF1">
            <w:pPr>
              <w:jc w:val="center"/>
            </w:pPr>
            <w:r>
              <w:rPr>
                <w:rFonts w:ascii="Times New Roman" w:hAnsi="Times New Roman" w:eastAsia="Times New Roman" w:cs="Times New Roman"/>
                <w:b w:val="0"/>
                <w:bCs w:val="0"/>
                <w:i w:val="0"/>
                <w:iCs w:val="0"/>
                <w:color w:val="000000"/>
                <w:sz w:val="18"/>
                <w:szCs w:val="18"/>
              </w:rPr>
              <w:t>0.00</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vAlign w:val="center"/>
          </w:tcPr>
          <w:p w14:paraId="40F59A5D">
            <w:pPr>
              <w:jc w:val="center"/>
            </w:pPr>
            <w:r>
              <w:rPr>
                <w:rFonts w:ascii="Times New Roman" w:hAnsi="Times New Roman" w:eastAsia="Times New Roman" w:cs="Times New Roman"/>
                <w:b w:val="0"/>
                <w:bCs w:val="0"/>
                <w:i w:val="0"/>
                <w:iCs w:val="0"/>
                <w:color w:val="000000"/>
                <w:sz w:val="18"/>
                <w:szCs w:val="18"/>
              </w:rPr>
              <w:t>—</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vAlign w:val="center"/>
          </w:tcPr>
          <w:p w14:paraId="1D17B203">
            <w:pPr>
              <w:jc w:val="center"/>
            </w:pPr>
            <w:r>
              <w:rPr>
                <w:rFonts w:ascii="Times New Roman" w:hAnsi="Times New Roman" w:eastAsia="Times New Roman" w:cs="Times New Roman"/>
                <w:b w:val="0"/>
                <w:bCs w:val="0"/>
                <w:i w:val="0"/>
                <w:iCs w:val="0"/>
                <w:color w:val="000000"/>
                <w:sz w:val="18"/>
                <w:szCs w:val="18"/>
              </w:rPr>
              <w:t>$0</w:t>
            </w:r>
          </w:p>
        </w:tc>
      </w:tr>
      <w:tr w14:paraId="66AE7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F2F4F9"/>
            <w:tcMar>
              <w:top w:w="70" w:type="dxa"/>
              <w:left w:w="110" w:type="dxa"/>
              <w:bottom w:w="70" w:type="dxa"/>
              <w:right w:w="110" w:type="dxa"/>
            </w:tcMar>
            <w:vAlign w:val="center"/>
          </w:tcPr>
          <w:p w14:paraId="6DCDB68D">
            <w:pPr>
              <w:jc w:val="left"/>
            </w:pPr>
            <w:r>
              <w:rPr>
                <w:rFonts w:ascii="Times New Roman" w:hAnsi="Times New Roman" w:eastAsia="Times New Roman" w:cs="Times New Roman"/>
                <w:b w:val="0"/>
                <w:bCs w:val="0"/>
                <w:i w:val="0"/>
                <w:iCs w:val="0"/>
                <w:color w:val="000000"/>
                <w:sz w:val="18"/>
                <w:szCs w:val="18"/>
              </w:rPr>
              <w:t>Morgan Stanley (MS)</w:t>
            </w:r>
          </w:p>
        </w:tc>
        <w:tc>
          <w:tcPr>
            <w:tcW w:w="1800" w:type="dxa"/>
            <w:tcBorders>
              <w:top w:val="single" w:color="000000" w:sz="4" w:space="0"/>
              <w:left w:val="single" w:color="000000" w:sz="4" w:space="0"/>
              <w:bottom w:val="single" w:color="000000" w:sz="4" w:space="0"/>
              <w:right w:val="single" w:color="000000" w:sz="4" w:space="0"/>
            </w:tcBorders>
            <w:shd w:val="clear" w:color="auto" w:fill="F2F4F9"/>
            <w:tcMar>
              <w:top w:w="70" w:type="dxa"/>
              <w:left w:w="110" w:type="dxa"/>
              <w:bottom w:w="70" w:type="dxa"/>
              <w:right w:w="110" w:type="dxa"/>
            </w:tcMar>
            <w:vAlign w:val="center"/>
          </w:tcPr>
          <w:p w14:paraId="6343C097">
            <w:pPr>
              <w:jc w:val="center"/>
            </w:pPr>
            <w:r>
              <w:rPr>
                <w:rFonts w:ascii="Times New Roman" w:hAnsi="Times New Roman" w:eastAsia="Times New Roman" w:cs="Times New Roman"/>
                <w:b w:val="0"/>
                <w:bCs w:val="0"/>
                <w:i w:val="0"/>
                <w:iCs w:val="0"/>
                <w:color w:val="000000"/>
                <w:sz w:val="18"/>
                <w:szCs w:val="18"/>
              </w:rPr>
              <w:t>0.00</w:t>
            </w:r>
          </w:p>
        </w:tc>
        <w:tc>
          <w:tcPr>
            <w:tcW w:w="1700" w:type="dxa"/>
            <w:tcBorders>
              <w:top w:val="single" w:color="000000" w:sz="4" w:space="0"/>
              <w:left w:val="single" w:color="000000" w:sz="4" w:space="0"/>
              <w:bottom w:val="single" w:color="000000" w:sz="4" w:space="0"/>
              <w:right w:val="single" w:color="000000" w:sz="4" w:space="0"/>
            </w:tcBorders>
            <w:shd w:val="clear" w:color="auto" w:fill="F2F4F9"/>
            <w:tcMar>
              <w:top w:w="70" w:type="dxa"/>
              <w:left w:w="110" w:type="dxa"/>
              <w:bottom w:w="70" w:type="dxa"/>
              <w:right w:w="110" w:type="dxa"/>
            </w:tcMar>
            <w:vAlign w:val="center"/>
          </w:tcPr>
          <w:p w14:paraId="03AD15E8">
            <w:pPr>
              <w:jc w:val="center"/>
            </w:pPr>
            <w:r>
              <w:rPr>
                <w:rFonts w:ascii="Times New Roman" w:hAnsi="Times New Roman" w:eastAsia="Times New Roman" w:cs="Times New Roman"/>
                <w:b w:val="0"/>
                <w:bCs w:val="0"/>
                <w:i w:val="0"/>
                <w:iCs w:val="0"/>
                <w:color w:val="000000"/>
                <w:sz w:val="18"/>
                <w:szCs w:val="18"/>
              </w:rPr>
              <w:t>—</w:t>
            </w:r>
          </w:p>
        </w:tc>
        <w:tc>
          <w:tcPr>
            <w:tcW w:w="1800" w:type="dxa"/>
            <w:tcBorders>
              <w:top w:val="single" w:color="000000" w:sz="4" w:space="0"/>
              <w:left w:val="single" w:color="000000" w:sz="4" w:space="0"/>
              <w:bottom w:val="single" w:color="000000" w:sz="4" w:space="0"/>
              <w:right w:val="single" w:color="000000" w:sz="4" w:space="0"/>
            </w:tcBorders>
            <w:shd w:val="clear" w:color="auto" w:fill="F2F4F9"/>
            <w:tcMar>
              <w:top w:w="70" w:type="dxa"/>
              <w:left w:w="110" w:type="dxa"/>
              <w:bottom w:w="70" w:type="dxa"/>
              <w:right w:w="110" w:type="dxa"/>
            </w:tcMar>
            <w:vAlign w:val="center"/>
          </w:tcPr>
          <w:p w14:paraId="79F0A93E">
            <w:pPr>
              <w:jc w:val="center"/>
            </w:pPr>
            <w:r>
              <w:rPr>
                <w:rFonts w:ascii="Times New Roman" w:hAnsi="Times New Roman" w:eastAsia="Times New Roman" w:cs="Times New Roman"/>
                <w:b w:val="0"/>
                <w:bCs w:val="0"/>
                <w:i w:val="0"/>
                <w:iCs w:val="0"/>
                <w:color w:val="000000"/>
                <w:sz w:val="18"/>
                <w:szCs w:val="18"/>
              </w:rPr>
              <w:t>$0</w:t>
            </w:r>
          </w:p>
        </w:tc>
      </w:tr>
      <w:tr w14:paraId="2D43B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vAlign w:val="center"/>
          </w:tcPr>
          <w:p w14:paraId="6C901072">
            <w:pPr>
              <w:jc w:val="left"/>
            </w:pPr>
            <w:r>
              <w:rPr>
                <w:rFonts w:ascii="Times New Roman" w:hAnsi="Times New Roman" w:eastAsia="Times New Roman" w:cs="Times New Roman"/>
                <w:b w:val="0"/>
                <w:bCs w:val="0"/>
                <w:i w:val="0"/>
                <w:iCs w:val="0"/>
                <w:color w:val="000000"/>
                <w:sz w:val="18"/>
                <w:szCs w:val="18"/>
              </w:rPr>
              <w:t>Bank of America (BAC)</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vAlign w:val="center"/>
          </w:tcPr>
          <w:p w14:paraId="54C42E56">
            <w:pPr>
              <w:jc w:val="center"/>
            </w:pPr>
            <w:r>
              <w:rPr>
                <w:rFonts w:ascii="Times New Roman" w:hAnsi="Times New Roman" w:eastAsia="Times New Roman" w:cs="Times New Roman"/>
                <w:b/>
                <w:bCs/>
                <w:i w:val="0"/>
                <w:iCs w:val="0"/>
                <w:color w:val="000000"/>
                <w:sz w:val="18"/>
                <w:szCs w:val="18"/>
              </w:rPr>
              <w:t>100.00</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vAlign w:val="center"/>
          </w:tcPr>
          <w:p w14:paraId="16DE9E5D">
            <w:pPr>
              <w:jc w:val="center"/>
            </w:pPr>
            <w:r>
              <w:rPr>
                <w:rFonts w:ascii="Times New Roman" w:hAnsi="Times New Roman" w:eastAsia="Times New Roman" w:cs="Times New Roman"/>
                <w:b/>
                <w:bCs/>
                <w:i w:val="0"/>
                <w:iCs w:val="0"/>
                <w:color w:val="000000"/>
                <w:sz w:val="18"/>
                <w:szCs w:val="18"/>
              </w:rPr>
              <w:t>17.42</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vAlign w:val="center"/>
          </w:tcPr>
          <w:p w14:paraId="55FBE456">
            <w:pPr>
              <w:jc w:val="center"/>
            </w:pPr>
            <w:r>
              <w:rPr>
                <w:rFonts w:ascii="Times New Roman" w:hAnsi="Times New Roman" w:eastAsia="Times New Roman" w:cs="Times New Roman"/>
                <w:b/>
                <w:bCs/>
                <w:i w:val="0"/>
                <w:iCs w:val="0"/>
                <w:color w:val="000000"/>
                <w:sz w:val="18"/>
                <w:szCs w:val="18"/>
              </w:rPr>
              <w:t>$1,000,000</w:t>
            </w:r>
          </w:p>
        </w:tc>
      </w:tr>
      <w:tr w14:paraId="2A812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D9E2F3"/>
            <w:tcMar>
              <w:top w:w="70" w:type="dxa"/>
              <w:left w:w="110" w:type="dxa"/>
              <w:bottom w:w="70" w:type="dxa"/>
              <w:right w:w="110" w:type="dxa"/>
            </w:tcMar>
            <w:vAlign w:val="center"/>
          </w:tcPr>
          <w:p w14:paraId="22E04500">
            <w:pPr>
              <w:jc w:val="left"/>
            </w:pPr>
            <w:r>
              <w:rPr>
                <w:rFonts w:ascii="Times New Roman" w:hAnsi="Times New Roman" w:eastAsia="Times New Roman" w:cs="Times New Roman"/>
                <w:b/>
                <w:bCs/>
                <w:i w:val="0"/>
                <w:iCs w:val="0"/>
                <w:color w:val="000000"/>
                <w:sz w:val="18"/>
                <w:szCs w:val="18"/>
              </w:rPr>
              <w:t>Portfolio Total</w:t>
            </w:r>
          </w:p>
        </w:tc>
        <w:tc>
          <w:tcPr>
            <w:tcW w:w="1800" w:type="dxa"/>
            <w:tcBorders>
              <w:top w:val="single" w:color="000000" w:sz="4" w:space="0"/>
              <w:left w:val="single" w:color="000000" w:sz="4" w:space="0"/>
              <w:bottom w:val="single" w:color="000000" w:sz="4" w:space="0"/>
              <w:right w:val="single" w:color="000000" w:sz="4" w:space="0"/>
            </w:tcBorders>
            <w:shd w:val="clear" w:color="auto" w:fill="D9E2F3"/>
            <w:tcMar>
              <w:top w:w="70" w:type="dxa"/>
              <w:left w:w="110" w:type="dxa"/>
              <w:bottom w:w="70" w:type="dxa"/>
              <w:right w:w="110" w:type="dxa"/>
            </w:tcMar>
            <w:vAlign w:val="center"/>
          </w:tcPr>
          <w:p w14:paraId="29B5E731">
            <w:pPr>
              <w:jc w:val="center"/>
            </w:pPr>
            <w:r>
              <w:rPr>
                <w:rFonts w:ascii="Times New Roman" w:hAnsi="Times New Roman" w:eastAsia="Times New Roman" w:cs="Times New Roman"/>
                <w:b/>
                <w:bCs/>
                <w:i w:val="0"/>
                <w:iCs w:val="0"/>
                <w:color w:val="000000"/>
                <w:sz w:val="18"/>
                <w:szCs w:val="18"/>
              </w:rPr>
              <w:t>100.00</w:t>
            </w:r>
          </w:p>
        </w:tc>
        <w:tc>
          <w:tcPr>
            <w:tcW w:w="1700" w:type="dxa"/>
            <w:tcBorders>
              <w:top w:val="single" w:color="000000" w:sz="4" w:space="0"/>
              <w:left w:val="single" w:color="000000" w:sz="4" w:space="0"/>
              <w:bottom w:val="single" w:color="000000" w:sz="4" w:space="0"/>
              <w:right w:val="single" w:color="000000" w:sz="4" w:space="0"/>
            </w:tcBorders>
            <w:shd w:val="clear" w:color="auto" w:fill="D9E2F3"/>
            <w:tcMar>
              <w:top w:w="70" w:type="dxa"/>
              <w:left w:w="110" w:type="dxa"/>
              <w:bottom w:w="70" w:type="dxa"/>
              <w:right w:w="110" w:type="dxa"/>
            </w:tcMar>
            <w:vAlign w:val="center"/>
          </w:tcPr>
          <w:p w14:paraId="263622B5">
            <w:pPr>
              <w:jc w:val="center"/>
            </w:pPr>
            <w:r>
              <w:rPr>
                <w:rFonts w:ascii="Times New Roman" w:hAnsi="Times New Roman" w:eastAsia="Times New Roman" w:cs="Times New Roman"/>
                <w:b/>
                <w:bCs/>
                <w:i w:val="0"/>
                <w:iCs w:val="0"/>
                <w:color w:val="000000"/>
                <w:sz w:val="18"/>
                <w:szCs w:val="18"/>
              </w:rPr>
              <w:t>17.42 (ann.)</w:t>
            </w:r>
          </w:p>
        </w:tc>
        <w:tc>
          <w:tcPr>
            <w:tcW w:w="1800" w:type="dxa"/>
            <w:tcBorders>
              <w:top w:val="single" w:color="000000" w:sz="4" w:space="0"/>
              <w:left w:val="single" w:color="000000" w:sz="4" w:space="0"/>
              <w:bottom w:val="single" w:color="000000" w:sz="4" w:space="0"/>
              <w:right w:val="single" w:color="000000" w:sz="4" w:space="0"/>
            </w:tcBorders>
            <w:shd w:val="clear" w:color="auto" w:fill="D9E2F3"/>
            <w:tcMar>
              <w:top w:w="70" w:type="dxa"/>
              <w:left w:w="110" w:type="dxa"/>
              <w:bottom w:w="70" w:type="dxa"/>
              <w:right w:w="110" w:type="dxa"/>
            </w:tcMar>
            <w:vAlign w:val="center"/>
          </w:tcPr>
          <w:p w14:paraId="6903C5F0">
            <w:pPr>
              <w:jc w:val="center"/>
            </w:pPr>
            <w:r>
              <w:rPr>
                <w:rFonts w:ascii="Times New Roman" w:hAnsi="Times New Roman" w:eastAsia="Times New Roman" w:cs="Times New Roman"/>
                <w:b/>
                <w:bCs/>
                <w:i w:val="0"/>
                <w:iCs w:val="0"/>
                <w:color w:val="000000"/>
                <w:sz w:val="18"/>
                <w:szCs w:val="18"/>
              </w:rPr>
              <w:t>$1,000,000</w:t>
            </w:r>
          </w:p>
        </w:tc>
      </w:tr>
    </w:tbl>
    <w:p w14:paraId="22D59049">
      <w:pPr>
        <w:spacing w:before="80" w:after="0" w:line="240" w:lineRule="auto"/>
      </w:pPr>
    </w:p>
    <w:p w14:paraId="1BE6EE1E">
      <w:pPr>
        <w:spacing w:before="80" w:after="40" w:line="240" w:lineRule="auto"/>
        <w:jc w:val="center"/>
      </w:pPr>
      <w:r>
        <w:rPr>
          <w:rFonts w:ascii="Times New Roman" w:hAnsi="Times New Roman" w:eastAsia="Times New Roman" w:cs="Times New Roman"/>
          <w:b/>
          <w:bCs/>
          <w:i w:val="0"/>
          <w:iCs w:val="0"/>
          <w:color w:val="000000"/>
          <w:sz w:val="18"/>
          <w:szCs w:val="18"/>
        </w:rPr>
        <w:t>TABLE II.  PORTFOLIO RISK METRICS</w:t>
      </w:r>
    </w:p>
    <w:tbl>
      <w:tblPr>
        <w:tblStyle w:val="9"/>
        <w:tblW w:w="7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000"/>
        <w:gridCol w:w="2100"/>
      </w:tblGrid>
      <w:tr w14:paraId="50B40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00" w:type="dxa"/>
            <w:tcBorders>
              <w:top w:val="single" w:color="000000" w:sz="4" w:space="0"/>
              <w:left w:val="single" w:color="000000" w:sz="4" w:space="0"/>
              <w:bottom w:val="single" w:color="000000" w:sz="4" w:space="0"/>
              <w:right w:val="single" w:color="000000" w:sz="4" w:space="0"/>
            </w:tcBorders>
            <w:shd w:val="clear" w:color="auto" w:fill="1F3864"/>
            <w:tcMar>
              <w:top w:w="70" w:type="dxa"/>
              <w:left w:w="110" w:type="dxa"/>
              <w:bottom w:w="70" w:type="dxa"/>
              <w:right w:w="110" w:type="dxa"/>
            </w:tcMar>
            <w:vAlign w:val="center"/>
          </w:tcPr>
          <w:p w14:paraId="6EF2D8E0">
            <w:pPr>
              <w:jc w:val="center"/>
            </w:pPr>
            <w:r>
              <w:rPr>
                <w:rFonts w:ascii="Times New Roman" w:hAnsi="Times New Roman" w:eastAsia="Times New Roman" w:cs="Times New Roman"/>
                <w:b/>
                <w:bCs/>
                <w:i w:val="0"/>
                <w:iCs w:val="0"/>
                <w:color w:val="FFFFFF"/>
                <w:sz w:val="18"/>
                <w:szCs w:val="18"/>
              </w:rPr>
              <w:t>Metric</w:t>
            </w:r>
          </w:p>
        </w:tc>
        <w:tc>
          <w:tcPr>
            <w:tcW w:w="2000" w:type="dxa"/>
            <w:tcBorders>
              <w:top w:val="single" w:color="000000" w:sz="4" w:space="0"/>
              <w:left w:val="single" w:color="000000" w:sz="4" w:space="0"/>
              <w:bottom w:val="single" w:color="000000" w:sz="4" w:space="0"/>
              <w:right w:val="single" w:color="000000" w:sz="4" w:space="0"/>
            </w:tcBorders>
            <w:shd w:val="clear" w:color="auto" w:fill="1F3864"/>
            <w:tcMar>
              <w:top w:w="70" w:type="dxa"/>
              <w:left w:w="110" w:type="dxa"/>
              <w:bottom w:w="70" w:type="dxa"/>
              <w:right w:w="110" w:type="dxa"/>
            </w:tcMar>
            <w:vAlign w:val="center"/>
          </w:tcPr>
          <w:p w14:paraId="0156C94D">
            <w:pPr>
              <w:jc w:val="center"/>
            </w:pPr>
            <w:r>
              <w:rPr>
                <w:rFonts w:ascii="Times New Roman" w:hAnsi="Times New Roman" w:eastAsia="Times New Roman" w:cs="Times New Roman"/>
                <w:b/>
                <w:bCs/>
                <w:i w:val="0"/>
                <w:iCs w:val="0"/>
                <w:color w:val="FFFFFF"/>
                <w:sz w:val="18"/>
                <w:szCs w:val="18"/>
              </w:rPr>
              <w:t>Value</w:t>
            </w:r>
          </w:p>
        </w:tc>
        <w:tc>
          <w:tcPr>
            <w:tcW w:w="2100" w:type="dxa"/>
            <w:tcBorders>
              <w:top w:val="single" w:color="000000" w:sz="4" w:space="0"/>
              <w:left w:val="single" w:color="000000" w:sz="4" w:space="0"/>
              <w:bottom w:val="single" w:color="000000" w:sz="4" w:space="0"/>
              <w:right w:val="single" w:color="000000" w:sz="4" w:space="0"/>
            </w:tcBorders>
            <w:shd w:val="clear" w:color="auto" w:fill="1F3864"/>
            <w:tcMar>
              <w:top w:w="70" w:type="dxa"/>
              <w:left w:w="110" w:type="dxa"/>
              <w:bottom w:w="70" w:type="dxa"/>
              <w:right w:w="110" w:type="dxa"/>
            </w:tcMar>
            <w:vAlign w:val="center"/>
          </w:tcPr>
          <w:p w14:paraId="48CA2A31">
            <w:pPr>
              <w:jc w:val="center"/>
            </w:pPr>
            <w:r>
              <w:rPr>
                <w:rFonts w:ascii="Times New Roman" w:hAnsi="Times New Roman" w:eastAsia="Times New Roman" w:cs="Times New Roman"/>
                <w:b/>
                <w:bCs/>
                <w:i w:val="0"/>
                <w:iCs w:val="0"/>
                <w:color w:val="FFFFFF"/>
                <w:sz w:val="18"/>
                <w:szCs w:val="18"/>
              </w:rPr>
              <w:t>Notes</w:t>
            </w:r>
          </w:p>
        </w:tc>
      </w:tr>
      <w:tr w14:paraId="02C72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vAlign w:val="center"/>
          </w:tcPr>
          <w:p w14:paraId="56F8BDF7">
            <w:pPr>
              <w:jc w:val="left"/>
            </w:pPr>
            <w:r>
              <w:rPr>
                <w:rFonts w:ascii="Times New Roman" w:hAnsi="Times New Roman" w:eastAsia="Times New Roman" w:cs="Times New Roman"/>
                <w:b w:val="0"/>
                <w:bCs w:val="0"/>
                <w:i w:val="0"/>
                <w:iCs w:val="0"/>
                <w:color w:val="000000"/>
                <w:sz w:val="18"/>
                <w:szCs w:val="18"/>
              </w:rPr>
              <w:t>Annual Return</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vAlign w:val="center"/>
          </w:tcPr>
          <w:p w14:paraId="584B4033">
            <w:pPr>
              <w:jc w:val="center"/>
            </w:pPr>
            <w:r>
              <w:rPr>
                <w:rFonts w:ascii="Times New Roman" w:hAnsi="Times New Roman" w:eastAsia="Times New Roman" w:cs="Times New Roman"/>
                <w:b w:val="0"/>
                <w:bCs w:val="0"/>
                <w:i w:val="0"/>
                <w:iCs w:val="0"/>
                <w:color w:val="000000"/>
                <w:sz w:val="18"/>
                <w:szCs w:val="18"/>
              </w:rPr>
              <w:t>17.42%</w:t>
            </w:r>
          </w:p>
        </w:tc>
        <w:tc>
          <w:tcPr>
            <w:tcW w:w="21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vAlign w:val="center"/>
          </w:tcPr>
          <w:p w14:paraId="50293345">
            <w:pPr>
              <w:jc w:val="center"/>
            </w:pPr>
            <w:r>
              <w:rPr>
                <w:rFonts w:ascii="Times New Roman" w:hAnsi="Times New Roman" w:eastAsia="Times New Roman" w:cs="Times New Roman"/>
                <w:b w:val="0"/>
                <w:bCs w:val="0"/>
                <w:i/>
                <w:iCs/>
                <w:color w:val="000000"/>
                <w:sz w:val="18"/>
                <w:szCs w:val="18"/>
              </w:rPr>
              <w:t>Max-Sharpe optimal</w:t>
            </w:r>
          </w:p>
        </w:tc>
      </w:tr>
      <w:tr w14:paraId="6A59A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shd w:val="clear" w:color="auto" w:fill="F2F4F9"/>
            <w:tcMar>
              <w:top w:w="70" w:type="dxa"/>
              <w:left w:w="110" w:type="dxa"/>
              <w:bottom w:w="70" w:type="dxa"/>
              <w:right w:w="110" w:type="dxa"/>
            </w:tcMar>
            <w:vAlign w:val="center"/>
          </w:tcPr>
          <w:p w14:paraId="3A6467A3">
            <w:pPr>
              <w:jc w:val="left"/>
            </w:pPr>
            <w:r>
              <w:rPr>
                <w:rFonts w:ascii="Times New Roman" w:hAnsi="Times New Roman" w:eastAsia="Times New Roman" w:cs="Times New Roman"/>
                <w:b w:val="0"/>
                <w:bCs w:val="0"/>
                <w:i w:val="0"/>
                <w:iCs w:val="0"/>
                <w:color w:val="000000"/>
                <w:sz w:val="18"/>
                <w:szCs w:val="18"/>
              </w:rPr>
              <w:t>Annual Volatility</w:t>
            </w:r>
          </w:p>
        </w:tc>
        <w:tc>
          <w:tcPr>
            <w:tcW w:w="2000" w:type="dxa"/>
            <w:tcBorders>
              <w:top w:val="single" w:color="000000" w:sz="4" w:space="0"/>
              <w:left w:val="single" w:color="000000" w:sz="4" w:space="0"/>
              <w:bottom w:val="single" w:color="000000" w:sz="4" w:space="0"/>
              <w:right w:val="single" w:color="000000" w:sz="4" w:space="0"/>
            </w:tcBorders>
            <w:shd w:val="clear" w:color="auto" w:fill="F2F4F9"/>
            <w:tcMar>
              <w:top w:w="70" w:type="dxa"/>
              <w:left w:w="110" w:type="dxa"/>
              <w:bottom w:w="70" w:type="dxa"/>
              <w:right w:w="110" w:type="dxa"/>
            </w:tcMar>
            <w:vAlign w:val="center"/>
          </w:tcPr>
          <w:p w14:paraId="26DCDC61">
            <w:pPr>
              <w:jc w:val="center"/>
            </w:pPr>
            <w:r>
              <w:rPr>
                <w:rFonts w:ascii="Times New Roman" w:hAnsi="Times New Roman" w:eastAsia="Times New Roman" w:cs="Times New Roman"/>
                <w:b w:val="0"/>
                <w:bCs w:val="0"/>
                <w:i w:val="0"/>
                <w:iCs w:val="0"/>
                <w:color w:val="000000"/>
                <w:sz w:val="18"/>
                <w:szCs w:val="18"/>
              </w:rPr>
              <w:t>22.40%</w:t>
            </w:r>
          </w:p>
        </w:tc>
        <w:tc>
          <w:tcPr>
            <w:tcW w:w="2100" w:type="dxa"/>
            <w:tcBorders>
              <w:top w:val="single" w:color="000000" w:sz="4" w:space="0"/>
              <w:left w:val="single" w:color="000000" w:sz="4" w:space="0"/>
              <w:bottom w:val="single" w:color="000000" w:sz="4" w:space="0"/>
              <w:right w:val="single" w:color="000000" w:sz="4" w:space="0"/>
            </w:tcBorders>
            <w:shd w:val="clear" w:color="auto" w:fill="F2F4F9"/>
            <w:tcMar>
              <w:top w:w="70" w:type="dxa"/>
              <w:left w:w="110" w:type="dxa"/>
              <w:bottom w:w="70" w:type="dxa"/>
              <w:right w:w="110" w:type="dxa"/>
            </w:tcMar>
            <w:vAlign w:val="center"/>
          </w:tcPr>
          <w:p w14:paraId="509D74BC">
            <w:pPr>
              <w:jc w:val="center"/>
            </w:pPr>
            <w:r>
              <w:rPr>
                <w:rFonts w:ascii="Times New Roman" w:hAnsi="Times New Roman" w:eastAsia="Times New Roman" w:cs="Times New Roman"/>
                <w:b w:val="0"/>
                <w:bCs w:val="0"/>
                <w:i/>
                <w:iCs/>
                <w:color w:val="000000"/>
                <w:sz w:val="18"/>
                <w:szCs w:val="18"/>
              </w:rPr>
              <w:t>σₚ = √(wᵀΣw)</w:t>
            </w:r>
          </w:p>
        </w:tc>
      </w:tr>
      <w:tr w14:paraId="3CF45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vAlign w:val="center"/>
          </w:tcPr>
          <w:p w14:paraId="1722EE2E">
            <w:pPr>
              <w:jc w:val="left"/>
            </w:pPr>
            <w:r>
              <w:rPr>
                <w:rFonts w:ascii="Times New Roman" w:hAnsi="Times New Roman" w:eastAsia="Times New Roman" w:cs="Times New Roman"/>
                <w:b w:val="0"/>
                <w:bCs w:val="0"/>
                <w:i w:val="0"/>
                <w:iCs w:val="0"/>
                <w:color w:val="000000"/>
                <w:sz w:val="18"/>
                <w:szCs w:val="18"/>
              </w:rPr>
              <w:t>Sharpe Ratio</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vAlign w:val="center"/>
          </w:tcPr>
          <w:p w14:paraId="0BB7610F">
            <w:pPr>
              <w:jc w:val="center"/>
            </w:pPr>
            <w:r>
              <w:rPr>
                <w:rFonts w:ascii="Times New Roman" w:hAnsi="Times New Roman" w:eastAsia="Times New Roman" w:cs="Times New Roman"/>
                <w:b w:val="0"/>
                <w:bCs w:val="0"/>
                <w:i w:val="0"/>
                <w:iCs w:val="0"/>
                <w:color w:val="000000"/>
                <w:sz w:val="18"/>
                <w:szCs w:val="18"/>
              </w:rPr>
              <w:t>0.5542</w:t>
            </w:r>
          </w:p>
        </w:tc>
        <w:tc>
          <w:tcPr>
            <w:tcW w:w="21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vAlign w:val="center"/>
          </w:tcPr>
          <w:p w14:paraId="7C5E7D02">
            <w:pPr>
              <w:jc w:val="center"/>
            </w:pPr>
            <w:r>
              <w:rPr>
                <w:rFonts w:ascii="Times New Roman" w:hAnsi="Times New Roman" w:eastAsia="Times New Roman" w:cs="Times New Roman"/>
                <w:b w:val="0"/>
                <w:bCs w:val="0"/>
                <w:i/>
                <w:iCs/>
                <w:color w:val="000000"/>
                <w:sz w:val="18"/>
                <w:szCs w:val="18"/>
              </w:rPr>
              <w:t>Rƒ = 5.00%</w:t>
            </w:r>
          </w:p>
        </w:tc>
      </w:tr>
      <w:tr w14:paraId="6C98C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shd w:val="clear" w:color="auto" w:fill="F2F4F9"/>
            <w:tcMar>
              <w:top w:w="70" w:type="dxa"/>
              <w:left w:w="110" w:type="dxa"/>
              <w:bottom w:w="70" w:type="dxa"/>
              <w:right w:w="110" w:type="dxa"/>
            </w:tcMar>
            <w:vAlign w:val="center"/>
          </w:tcPr>
          <w:p w14:paraId="259B507A">
            <w:pPr>
              <w:jc w:val="left"/>
            </w:pPr>
            <w:r>
              <w:rPr>
                <w:rFonts w:ascii="Times New Roman" w:hAnsi="Times New Roman" w:eastAsia="Times New Roman" w:cs="Times New Roman"/>
                <w:b w:val="0"/>
                <w:bCs w:val="0"/>
                <w:i w:val="0"/>
                <w:iCs w:val="0"/>
                <w:color w:val="000000"/>
                <w:sz w:val="18"/>
                <w:szCs w:val="18"/>
              </w:rPr>
              <w:t>Portfolio Value</w:t>
            </w:r>
          </w:p>
        </w:tc>
        <w:tc>
          <w:tcPr>
            <w:tcW w:w="2000" w:type="dxa"/>
            <w:tcBorders>
              <w:top w:val="single" w:color="000000" w:sz="4" w:space="0"/>
              <w:left w:val="single" w:color="000000" w:sz="4" w:space="0"/>
              <w:bottom w:val="single" w:color="000000" w:sz="4" w:space="0"/>
              <w:right w:val="single" w:color="000000" w:sz="4" w:space="0"/>
            </w:tcBorders>
            <w:shd w:val="clear" w:color="auto" w:fill="F2F4F9"/>
            <w:tcMar>
              <w:top w:w="70" w:type="dxa"/>
              <w:left w:w="110" w:type="dxa"/>
              <w:bottom w:w="70" w:type="dxa"/>
              <w:right w:w="110" w:type="dxa"/>
            </w:tcMar>
            <w:vAlign w:val="center"/>
          </w:tcPr>
          <w:p w14:paraId="199435D4">
            <w:pPr>
              <w:jc w:val="center"/>
            </w:pPr>
            <w:r>
              <w:rPr>
                <w:rFonts w:ascii="Times New Roman" w:hAnsi="Times New Roman" w:eastAsia="Times New Roman" w:cs="Times New Roman"/>
                <w:b w:val="0"/>
                <w:bCs w:val="0"/>
                <w:i w:val="0"/>
                <w:iCs w:val="0"/>
                <w:color w:val="000000"/>
                <w:sz w:val="18"/>
                <w:szCs w:val="18"/>
              </w:rPr>
              <w:t>$1,000,000</w:t>
            </w:r>
          </w:p>
        </w:tc>
        <w:tc>
          <w:tcPr>
            <w:tcW w:w="2100" w:type="dxa"/>
            <w:tcBorders>
              <w:top w:val="single" w:color="000000" w:sz="4" w:space="0"/>
              <w:left w:val="single" w:color="000000" w:sz="4" w:space="0"/>
              <w:bottom w:val="single" w:color="000000" w:sz="4" w:space="0"/>
              <w:right w:val="single" w:color="000000" w:sz="4" w:space="0"/>
            </w:tcBorders>
            <w:shd w:val="clear" w:color="auto" w:fill="F2F4F9"/>
            <w:tcMar>
              <w:top w:w="70" w:type="dxa"/>
              <w:left w:w="110" w:type="dxa"/>
              <w:bottom w:w="70" w:type="dxa"/>
              <w:right w:w="110" w:type="dxa"/>
            </w:tcMar>
            <w:vAlign w:val="center"/>
          </w:tcPr>
          <w:p w14:paraId="1A0A8146">
            <w:pPr>
              <w:jc w:val="center"/>
            </w:pPr>
            <w:r>
              <w:rPr>
                <w:rFonts w:ascii="Times New Roman" w:hAnsi="Times New Roman" w:eastAsia="Times New Roman" w:cs="Times New Roman"/>
                <w:b w:val="0"/>
                <w:bCs w:val="0"/>
                <w:i/>
                <w:iCs/>
                <w:color w:val="000000"/>
                <w:sz w:val="18"/>
                <w:szCs w:val="18"/>
              </w:rPr>
              <w:t>Notional capital</w:t>
            </w:r>
          </w:p>
        </w:tc>
      </w:tr>
      <w:tr w14:paraId="3B7D3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vAlign w:val="center"/>
          </w:tcPr>
          <w:p w14:paraId="2230A165">
            <w:pPr>
              <w:jc w:val="left"/>
            </w:pPr>
            <w:r>
              <w:rPr>
                <w:rFonts w:ascii="Times New Roman" w:hAnsi="Times New Roman" w:eastAsia="Times New Roman" w:cs="Times New Roman"/>
                <w:b w:val="0"/>
                <w:bCs w:val="0"/>
                <w:i w:val="0"/>
                <w:iCs w:val="0"/>
                <w:color w:val="000000"/>
                <w:sz w:val="18"/>
                <w:szCs w:val="18"/>
              </w:rPr>
              <w:t>Observation Period</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vAlign w:val="center"/>
          </w:tcPr>
          <w:p w14:paraId="0BCF391E">
            <w:pPr>
              <w:jc w:val="center"/>
            </w:pPr>
            <w:r>
              <w:rPr>
                <w:rFonts w:ascii="Times New Roman" w:hAnsi="Times New Roman" w:eastAsia="Times New Roman" w:cs="Times New Roman"/>
                <w:b w:val="0"/>
                <w:bCs w:val="0"/>
                <w:i w:val="0"/>
                <w:iCs w:val="0"/>
                <w:color w:val="000000"/>
                <w:sz w:val="18"/>
                <w:szCs w:val="18"/>
              </w:rPr>
              <w:t>1,565 days</w:t>
            </w:r>
          </w:p>
        </w:tc>
        <w:tc>
          <w:tcPr>
            <w:tcW w:w="21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vAlign w:val="center"/>
          </w:tcPr>
          <w:p w14:paraId="04EF4107">
            <w:pPr>
              <w:jc w:val="center"/>
            </w:pPr>
            <w:r>
              <w:rPr>
                <w:rFonts w:ascii="Times New Roman" w:hAnsi="Times New Roman" w:eastAsia="Times New Roman" w:cs="Times New Roman"/>
                <w:b w:val="0"/>
                <w:bCs w:val="0"/>
                <w:i/>
                <w:iCs/>
                <w:color w:val="000000"/>
                <w:sz w:val="18"/>
                <w:szCs w:val="18"/>
              </w:rPr>
              <w:t>Jan 2019 – Dec 2024</w:t>
            </w:r>
          </w:p>
        </w:tc>
      </w:tr>
    </w:tbl>
    <w:p w14:paraId="0241293A">
      <w:pPr>
        <w:spacing w:before="80" w:after="0" w:line="240" w:lineRule="auto"/>
      </w:pPr>
    </w:p>
    <w:p w14:paraId="76391712">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The optimiser allocates the full portfolio weight to Bank of America (BAC), which exhibits the best risk-adjusted return profile over the estimation window. This corner solution is a well-known characteristic of unconstrained Max-Sharpe optimisation on small asset universes; in practice, additional diversification constraints or regularisation (e.g., maximum weight of 60%) would be imposed to prevent such concentration.</w:t>
      </w:r>
    </w:p>
    <w:p w14:paraId="3EAB668A">
      <w:pPr>
        <w:spacing w:before="160" w:after="80" w:line="240" w:lineRule="auto"/>
        <w:jc w:val="center"/>
      </w:pPr>
      <w:r>
        <w:rPr>
          <w:rFonts w:ascii="Times New Roman" w:hAnsi="Times New Roman" w:eastAsia="Times New Roman" w:cs="Times New Roman"/>
          <w:b/>
          <w:bCs/>
          <w:i w:val="0"/>
          <w:iCs w:val="0"/>
          <w:color w:val="000000"/>
          <w:sz w:val="22"/>
          <w:szCs w:val="22"/>
        </w:rPr>
        <w:t>IV.  VALUE AT RISK METHODOLOGIES</w:t>
      </w:r>
    </w:p>
    <w:p w14:paraId="6C4C677E">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Three standard VaR estimation methodologies are implemented and compared at the 99% confidence level (1-day holding period) for a $1,000,000 portfolio.</w:t>
      </w:r>
    </w:p>
    <w:p w14:paraId="5C898BB8">
      <w:pPr>
        <w:spacing w:before="120" w:after="60" w:line="240" w:lineRule="auto"/>
        <w:jc w:val="left"/>
      </w:pPr>
      <w:r>
        <w:rPr>
          <w:rFonts w:ascii="Times New Roman" w:hAnsi="Times New Roman" w:eastAsia="Times New Roman" w:cs="Times New Roman"/>
          <w:b/>
          <w:bCs/>
          <w:i/>
          <w:iCs/>
          <w:color w:val="000000"/>
          <w:sz w:val="20"/>
          <w:szCs w:val="20"/>
        </w:rPr>
        <w:t>A. Historical Simulation</w:t>
      </w:r>
    </w:p>
    <w:p w14:paraId="064DDA92">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Historical Simulation (HS) is a non-parametric method that makes no distributional assumptions. It treats the historical empirical distribution of portfolio returns as the best estimate of the future return distribution [2].</w:t>
      </w:r>
    </w:p>
    <w:p w14:paraId="520AD96F">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The procedure is as follows:</w:t>
      </w:r>
    </w:p>
    <w:p w14:paraId="20BDBBFF">
      <w:pPr>
        <w:spacing w:before="0" w:after="60" w:line="240" w:lineRule="auto"/>
        <w:ind w:left="440" w:hanging="220"/>
        <w:jc w:val="both"/>
      </w:pPr>
      <w:r>
        <w:rPr>
          <w:rFonts w:ascii="Times New Roman" w:hAnsi="Times New Roman" w:eastAsia="Times New Roman" w:cs="Times New Roman"/>
          <w:b w:val="0"/>
          <w:bCs w:val="0"/>
          <w:i w:val="0"/>
          <w:iCs w:val="0"/>
          <w:color w:val="000000"/>
          <w:sz w:val="20"/>
          <w:szCs w:val="20"/>
        </w:rPr>
        <w:t xml:space="preserve">•  </w:t>
      </w:r>
      <w:r>
        <w:rPr>
          <w:rFonts w:ascii="Times New Roman" w:hAnsi="Times New Roman" w:eastAsia="Times New Roman" w:cs="Times New Roman"/>
          <w:b/>
          <w:bCs/>
          <w:i w:val="0"/>
          <w:iCs w:val="0"/>
          <w:color w:val="000000"/>
          <w:sz w:val="20"/>
          <w:szCs w:val="20"/>
        </w:rPr>
        <w:t>Step 1.</w:t>
      </w:r>
      <w:r>
        <w:rPr>
          <w:rFonts w:ascii="Times New Roman" w:hAnsi="Times New Roman" w:eastAsia="Times New Roman" w:cs="Times New Roman"/>
          <w:b w:val="0"/>
          <w:bCs w:val="0"/>
          <w:i w:val="0"/>
          <w:iCs w:val="0"/>
          <w:color w:val="000000"/>
          <w:sz w:val="20"/>
          <w:szCs w:val="20"/>
        </w:rPr>
        <w:t> Compute the weighted daily portfolio return series: rₚₜ = wᵀ rₜ.</w:t>
      </w:r>
    </w:p>
    <w:p w14:paraId="169AE0C2">
      <w:pPr>
        <w:spacing w:before="0" w:after="60" w:line="240" w:lineRule="auto"/>
        <w:ind w:left="440" w:hanging="220"/>
        <w:jc w:val="both"/>
      </w:pPr>
      <w:r>
        <w:rPr>
          <w:rFonts w:ascii="Times New Roman" w:hAnsi="Times New Roman" w:eastAsia="Times New Roman" w:cs="Times New Roman"/>
          <w:b w:val="0"/>
          <w:bCs w:val="0"/>
          <w:i w:val="0"/>
          <w:iCs w:val="0"/>
          <w:color w:val="000000"/>
          <w:sz w:val="20"/>
          <w:szCs w:val="20"/>
        </w:rPr>
        <w:t xml:space="preserve">•  </w:t>
      </w:r>
      <w:r>
        <w:rPr>
          <w:rFonts w:ascii="Times New Roman" w:hAnsi="Times New Roman" w:eastAsia="Times New Roman" w:cs="Times New Roman"/>
          <w:b/>
          <w:bCs/>
          <w:i w:val="0"/>
          <w:iCs w:val="0"/>
          <w:color w:val="000000"/>
          <w:sz w:val="20"/>
          <w:szCs w:val="20"/>
        </w:rPr>
        <w:t>Step 2.</w:t>
      </w:r>
      <w:r>
        <w:rPr>
          <w:rFonts w:ascii="Times New Roman" w:hAnsi="Times New Roman" w:eastAsia="Times New Roman" w:cs="Times New Roman"/>
          <w:b w:val="0"/>
          <w:bCs w:val="0"/>
          <w:i w:val="0"/>
          <w:iCs w:val="0"/>
          <w:color w:val="000000"/>
          <w:sz w:val="20"/>
          <w:szCs w:val="20"/>
        </w:rPr>
        <w:t> Sort the T return observations in ascending order (worst to best).</w:t>
      </w:r>
    </w:p>
    <w:p w14:paraId="2AF4F7AA">
      <w:pPr>
        <w:spacing w:before="0" w:after="60" w:line="240" w:lineRule="auto"/>
        <w:ind w:left="440" w:hanging="220"/>
        <w:jc w:val="both"/>
      </w:pPr>
      <w:r>
        <w:rPr>
          <w:rFonts w:ascii="Times New Roman" w:hAnsi="Times New Roman" w:eastAsia="Times New Roman" w:cs="Times New Roman"/>
          <w:b w:val="0"/>
          <w:bCs w:val="0"/>
          <w:i w:val="0"/>
          <w:iCs w:val="0"/>
          <w:color w:val="000000"/>
          <w:sz w:val="20"/>
          <w:szCs w:val="20"/>
        </w:rPr>
        <w:t xml:space="preserve">•  </w:t>
      </w:r>
      <w:r>
        <w:rPr>
          <w:rFonts w:ascii="Times New Roman" w:hAnsi="Times New Roman" w:eastAsia="Times New Roman" w:cs="Times New Roman"/>
          <w:b/>
          <w:bCs/>
          <w:i w:val="0"/>
          <w:iCs w:val="0"/>
          <w:color w:val="000000"/>
          <w:sz w:val="20"/>
          <w:szCs w:val="20"/>
        </w:rPr>
        <w:t>Step 3.</w:t>
      </w:r>
      <w:r>
        <w:rPr>
          <w:rFonts w:ascii="Times New Roman" w:hAnsi="Times New Roman" w:eastAsia="Times New Roman" w:cs="Times New Roman"/>
          <w:b w:val="0"/>
          <w:bCs w:val="0"/>
          <w:i w:val="0"/>
          <w:iCs w:val="0"/>
          <w:color w:val="000000"/>
          <w:sz w:val="20"/>
          <w:szCs w:val="20"/>
        </w:rPr>
        <w:t> The VaR rank is k = ⌈(1−α)·T⌉; the VaR return is rₚ₍ₖ₎.</w:t>
      </w:r>
    </w:p>
    <w:p w14:paraId="24EAF963">
      <w:pPr>
        <w:spacing w:before="0" w:after="60" w:line="240" w:lineRule="auto"/>
        <w:ind w:left="440" w:hanging="220"/>
        <w:jc w:val="both"/>
      </w:pPr>
      <w:r>
        <w:rPr>
          <w:rFonts w:ascii="Times New Roman" w:hAnsi="Times New Roman" w:eastAsia="Times New Roman" w:cs="Times New Roman"/>
          <w:b w:val="0"/>
          <w:bCs w:val="0"/>
          <w:i w:val="0"/>
          <w:iCs w:val="0"/>
          <w:color w:val="000000"/>
          <w:sz w:val="20"/>
          <w:szCs w:val="20"/>
        </w:rPr>
        <w:t xml:space="preserve">•  </w:t>
      </w:r>
      <w:r>
        <w:rPr>
          <w:rFonts w:ascii="Times New Roman" w:hAnsi="Times New Roman" w:eastAsia="Times New Roman" w:cs="Times New Roman"/>
          <w:b/>
          <w:bCs/>
          <w:i w:val="0"/>
          <w:iCs w:val="0"/>
          <w:color w:val="000000"/>
          <w:sz w:val="20"/>
          <w:szCs w:val="20"/>
        </w:rPr>
        <w:t>Step 4.</w:t>
      </w:r>
      <w:r>
        <w:rPr>
          <w:rFonts w:ascii="Times New Roman" w:hAnsi="Times New Roman" w:eastAsia="Times New Roman" w:cs="Times New Roman"/>
          <w:b w:val="0"/>
          <w:bCs w:val="0"/>
          <w:i w:val="0"/>
          <w:iCs w:val="0"/>
          <w:color w:val="000000"/>
          <w:sz w:val="20"/>
          <w:szCs w:val="20"/>
        </w:rPr>
        <w:t> VaR ($) = |rₚ₍ₖ₎| × P × √Δt; ES ($) = |ē[rₚₜ : rₚₜ &lt; rₚ₍ₖ₎]| × P.</w:t>
      </w:r>
    </w:p>
    <w:p w14:paraId="2B997C57">
      <w:pPr>
        <w:spacing w:before="40" w:after="0" w:line="240" w:lineRule="auto"/>
      </w:pPr>
    </w:p>
    <w:p w14:paraId="5B7CFEC8">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With T = 1,565 observations and α = 99%, k = ⌈16⌉ = 16. The 16th worst daily return is −3.2054%, yielding a 1-day VaR of $32,054 and ES of $35,888.</w:t>
      </w:r>
    </w:p>
    <w:p w14:paraId="7288DC03">
      <w:pPr>
        <w:spacing w:before="120" w:after="60" w:line="240" w:lineRule="auto"/>
        <w:jc w:val="left"/>
      </w:pPr>
      <w:r>
        <w:rPr>
          <w:rFonts w:ascii="Times New Roman" w:hAnsi="Times New Roman" w:eastAsia="Times New Roman" w:cs="Times New Roman"/>
          <w:b/>
          <w:bCs/>
          <w:i/>
          <w:iCs/>
          <w:color w:val="000000"/>
          <w:sz w:val="20"/>
          <w:szCs w:val="20"/>
        </w:rPr>
        <w:t>B. Variance-Covariance Method</w:t>
      </w:r>
    </w:p>
    <w:p w14:paraId="5FDD7C64">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The Variance-Covariance (VC) method, also called the parametric or delta-normal method, assumes that asset returns are jointly normally distributed [3]. Under this assumption, the portfolio return is also normal with mean μₚ and volatility σₚ:</w:t>
      </w:r>
    </w:p>
    <w:p w14:paraId="6945EC18">
      <w:pPr>
        <w:spacing w:before="60" w:after="60" w:line="240" w:lineRule="auto"/>
        <w:jc w:val="center"/>
      </w:pPr>
      <w:r>
        <w:rPr>
          <w:rFonts w:ascii="Courier New" w:hAnsi="Courier New" w:eastAsia="Courier New" w:cs="Courier New"/>
          <w:b w:val="0"/>
          <w:bCs w:val="0"/>
          <w:i w:val="0"/>
          <w:iCs w:val="0"/>
          <w:color w:val="000000"/>
          <w:sz w:val="18"/>
          <w:szCs w:val="18"/>
        </w:rPr>
        <w:t>μₚ = wᵀμ,     σₚ = √(wᵀΣw)</w:t>
      </w:r>
    </w:p>
    <w:p w14:paraId="1E099E9D">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The VaR and ES are given analytically by:</w:t>
      </w:r>
    </w:p>
    <w:p w14:paraId="24587F37">
      <w:pPr>
        <w:spacing w:before="60" w:after="60" w:line="240" w:lineRule="auto"/>
        <w:jc w:val="center"/>
      </w:pPr>
      <w:r>
        <w:rPr>
          <w:rFonts w:ascii="Courier New" w:hAnsi="Courier New" w:eastAsia="Courier New" w:cs="Courier New"/>
          <w:b w:val="0"/>
          <w:bCs w:val="0"/>
          <w:i w:val="0"/>
          <w:iCs w:val="0"/>
          <w:color w:val="000000"/>
          <w:sz w:val="18"/>
          <w:szCs w:val="18"/>
        </w:rPr>
        <w:t>VaRα = −(μₚ + zα σₚ) × P,     zα = Φ⁻¹(1−α)</w:t>
      </w:r>
    </w:p>
    <w:p w14:paraId="6FAB7A2C">
      <w:pPr>
        <w:spacing w:before="60" w:after="60" w:line="240" w:lineRule="auto"/>
        <w:jc w:val="center"/>
      </w:pPr>
      <w:r>
        <w:rPr>
          <w:rFonts w:ascii="Courier New" w:hAnsi="Courier New" w:eastAsia="Courier New" w:cs="Courier New"/>
          <w:b w:val="0"/>
          <w:bCs w:val="0"/>
          <w:i w:val="0"/>
          <w:iCs w:val="0"/>
          <w:color w:val="000000"/>
          <w:sz w:val="18"/>
          <w:szCs w:val="18"/>
        </w:rPr>
        <w:t>ESα = −(μₚ − σₚ · φ(zα)/(1−α)) × P</w:t>
      </w:r>
    </w:p>
    <w:p w14:paraId="1CCA1ED5">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where Φ⁻¹ is the standard normal inverse CDF and φ is the standard normal PDF. At 99% CI, z₀.₀₁ = −2.3263. The method yields VaR = $32,141 and ES = $36,923.</w:t>
      </w:r>
    </w:p>
    <w:p w14:paraId="2B26C6B5">
      <w:pPr>
        <w:spacing w:before="120" w:after="60" w:line="240" w:lineRule="auto"/>
        <w:jc w:val="left"/>
      </w:pPr>
      <w:r>
        <w:rPr>
          <w:rFonts w:ascii="Times New Roman" w:hAnsi="Times New Roman" w:eastAsia="Times New Roman" w:cs="Times New Roman"/>
          <w:b/>
          <w:bCs/>
          <w:i/>
          <w:iCs/>
          <w:color w:val="000000"/>
          <w:sz w:val="20"/>
          <w:szCs w:val="20"/>
        </w:rPr>
        <w:t>C. Monte Carlo Simulation</w:t>
      </w:r>
    </w:p>
    <w:p w14:paraId="3E7E15A0">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The Monte Carlo (MC) method generates a large number of hypothetical future portfolio returns by simulating asset prices via Geometric Brownian Motion (GBM) with correlated Wiener processes. It is the most flexible method, capable of handling non-linear instruments such as options [4].</w:t>
      </w:r>
    </w:p>
    <w:p w14:paraId="0C7D8007">
      <w:pPr>
        <w:spacing w:before="80" w:after="40" w:line="240" w:lineRule="auto"/>
        <w:ind w:firstLine="440"/>
        <w:jc w:val="left"/>
      </w:pPr>
      <w:r>
        <w:rPr>
          <w:rFonts w:ascii="Times New Roman" w:hAnsi="Times New Roman" w:eastAsia="Times New Roman" w:cs="Times New Roman"/>
          <w:b/>
          <w:bCs/>
          <w:i w:val="0"/>
          <w:iCs w:val="0"/>
          <w:color w:val="000000"/>
          <w:sz w:val="20"/>
          <w:szCs w:val="20"/>
        </w:rPr>
        <w:t>1) GBM Stock Price Model:</w:t>
      </w:r>
    </w:p>
    <w:p w14:paraId="3645C3D7">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The simulated price of asset i at time t is:</w:t>
      </w:r>
    </w:p>
    <w:p w14:paraId="51D62105">
      <w:pPr>
        <w:spacing w:before="60" w:after="60" w:line="240" w:lineRule="auto"/>
        <w:jc w:val="center"/>
      </w:pPr>
      <w:r>
        <w:rPr>
          <w:rFonts w:ascii="Courier New" w:hAnsi="Courier New" w:eastAsia="Courier New" w:cs="Courier New"/>
          <w:b w:val="0"/>
          <w:bCs w:val="0"/>
          <w:i w:val="0"/>
          <w:iCs w:val="0"/>
          <w:color w:val="000000"/>
          <w:sz w:val="18"/>
          <w:szCs w:val="18"/>
        </w:rPr>
        <w:t>Sᵢₜ = Sᵢ₀ exp[((μᵢ − σᵢ²/2)Δt + σᵢ Wᵢₜ)]</w:t>
      </w:r>
    </w:p>
    <w:p w14:paraId="17D50243">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where μᵢ is the drift (estimated from historical daily mean returns), σᵢ is the daily volatility (historical standard deviation), and Wᵢₜ is the Wiener process (Brownian motion) increment.</w:t>
      </w:r>
    </w:p>
    <w:p w14:paraId="17B88AB0">
      <w:pPr>
        <w:spacing w:before="80" w:after="40" w:line="240" w:lineRule="auto"/>
        <w:ind w:firstLine="440"/>
        <w:jc w:val="left"/>
      </w:pPr>
      <w:r>
        <w:rPr>
          <w:rFonts w:ascii="Times New Roman" w:hAnsi="Times New Roman" w:eastAsia="Times New Roman" w:cs="Times New Roman"/>
          <w:b/>
          <w:bCs/>
          <w:i w:val="0"/>
          <w:iCs w:val="0"/>
          <w:color w:val="000000"/>
          <w:sz w:val="20"/>
          <w:szCs w:val="20"/>
        </w:rPr>
        <w:t>2) Cholesky Decomposition for Correlated Shocks:</w:t>
      </w:r>
    </w:p>
    <w:p w14:paraId="0118D4A3">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To incorporate inter-asset correlation, uncorrelated standard normal shocks Z ∼ N(0, I) are transformed into correlated shocks W via the lower-triangular Cholesky factor L of the historical correlation matrix Σρ:</w:t>
      </w:r>
    </w:p>
    <w:p w14:paraId="47D67973">
      <w:pPr>
        <w:spacing w:before="60" w:after="60" w:line="240" w:lineRule="auto"/>
        <w:jc w:val="center"/>
      </w:pPr>
      <w:r>
        <w:rPr>
          <w:rFonts w:ascii="Courier New" w:hAnsi="Courier New" w:eastAsia="Courier New" w:cs="Courier New"/>
          <w:b w:val="0"/>
          <w:bCs w:val="0"/>
          <w:i w:val="0"/>
          <w:iCs w:val="0"/>
          <w:color w:val="000000"/>
          <w:sz w:val="18"/>
          <w:szCs w:val="18"/>
        </w:rPr>
        <w:t>Σρ = L Lᵀ,     W = Z Lᵀ</w:t>
      </w:r>
    </w:p>
    <w:p w14:paraId="23FC2826">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This ensures that Cov(Wᵢ, Wⱼ) = ρᵢⱼ, accurately replicating the empirical co-movement structure among JPM, MS, and BAC.</w:t>
      </w:r>
    </w:p>
    <w:p w14:paraId="75DB014C">
      <w:pPr>
        <w:spacing w:before="80" w:after="40" w:line="240" w:lineRule="auto"/>
        <w:ind w:firstLine="440"/>
        <w:jc w:val="left"/>
      </w:pPr>
      <w:r>
        <w:rPr>
          <w:rFonts w:ascii="Times New Roman" w:hAnsi="Times New Roman" w:eastAsia="Times New Roman" w:cs="Times New Roman"/>
          <w:b/>
          <w:bCs/>
          <w:i w:val="0"/>
          <w:iCs w:val="0"/>
          <w:color w:val="000000"/>
          <w:sz w:val="20"/>
          <w:szCs w:val="20"/>
        </w:rPr>
        <w:t>3) VaR Estimation:</w:t>
      </w:r>
    </w:p>
    <w:p w14:paraId="30560B66">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Ten thousand (10,000) correlated 1-day return scenarios are generated. For each scenario s, the portfolio return is rₚₜₛ = wᵀ rₜₛ, where rₜₛ is the vector of simulated asset returns. The simulated returns are sorted in ascending order and the VaR is extracted at the (1−α) percentile. The MC method yields VaR = $31,676 and ES = $36,392.</w:t>
      </w:r>
    </w:p>
    <w:p w14:paraId="7CD0AFBF">
      <w:pPr>
        <w:spacing w:before="120" w:after="60" w:line="240" w:lineRule="auto"/>
        <w:jc w:val="left"/>
      </w:pPr>
      <w:r>
        <w:rPr>
          <w:rFonts w:ascii="Times New Roman" w:hAnsi="Times New Roman" w:eastAsia="Times New Roman" w:cs="Times New Roman"/>
          <w:b/>
          <w:bCs/>
          <w:i/>
          <w:iCs/>
          <w:color w:val="000000"/>
          <w:sz w:val="20"/>
          <w:szCs w:val="20"/>
        </w:rPr>
        <w:t>D. Comparative Summary</w:t>
      </w:r>
    </w:p>
    <w:p w14:paraId="24894E61">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Table III presents the complete VaR and ES estimates across all three methods.</w:t>
      </w:r>
    </w:p>
    <w:p w14:paraId="166312D0">
      <w:pPr>
        <w:spacing w:before="80" w:after="40" w:line="240" w:lineRule="auto"/>
        <w:jc w:val="center"/>
      </w:pPr>
      <w:r>
        <w:rPr>
          <w:rFonts w:ascii="Times New Roman" w:hAnsi="Times New Roman" w:eastAsia="Times New Roman" w:cs="Times New Roman"/>
          <w:b/>
          <w:bCs/>
          <w:i w:val="0"/>
          <w:iCs w:val="0"/>
          <w:color w:val="000000"/>
          <w:sz w:val="18"/>
          <w:szCs w:val="18"/>
        </w:rPr>
        <w:t>TABLE III.  VaR AND ES ESTIMATES (99% CI, 1-DAY, $1M PORTFOLIO)</w:t>
      </w:r>
    </w:p>
    <w:tbl>
      <w:tblPr>
        <w:tblStyle w:val="9"/>
        <w:tblW w:w="7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200"/>
        <w:gridCol w:w="1200"/>
        <w:gridCol w:w="1200"/>
        <w:gridCol w:w="1200"/>
        <w:gridCol w:w="700"/>
      </w:tblGrid>
      <w:tr w14:paraId="01F04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1F3864"/>
            <w:tcMar>
              <w:top w:w="70" w:type="dxa"/>
              <w:left w:w="110" w:type="dxa"/>
              <w:bottom w:w="70" w:type="dxa"/>
              <w:right w:w="110" w:type="dxa"/>
            </w:tcMar>
            <w:vAlign w:val="center"/>
          </w:tcPr>
          <w:p w14:paraId="48CD8E3C">
            <w:pPr>
              <w:jc w:val="center"/>
            </w:pPr>
            <w:r>
              <w:rPr>
                <w:rFonts w:ascii="Times New Roman" w:hAnsi="Times New Roman" w:eastAsia="Times New Roman" w:cs="Times New Roman"/>
                <w:b/>
                <w:bCs/>
                <w:i w:val="0"/>
                <w:iCs w:val="0"/>
                <w:color w:val="FFFFFF"/>
                <w:sz w:val="18"/>
                <w:szCs w:val="18"/>
              </w:rPr>
              <w:t>Method</w:t>
            </w:r>
          </w:p>
        </w:tc>
        <w:tc>
          <w:tcPr>
            <w:tcW w:w="1200" w:type="dxa"/>
            <w:tcBorders>
              <w:top w:val="single" w:color="000000" w:sz="4" w:space="0"/>
              <w:left w:val="single" w:color="000000" w:sz="4" w:space="0"/>
              <w:bottom w:val="single" w:color="000000" w:sz="4" w:space="0"/>
              <w:right w:val="single" w:color="000000" w:sz="4" w:space="0"/>
            </w:tcBorders>
            <w:shd w:val="clear" w:color="auto" w:fill="1F3864"/>
            <w:tcMar>
              <w:top w:w="70" w:type="dxa"/>
              <w:left w:w="110" w:type="dxa"/>
              <w:bottom w:w="70" w:type="dxa"/>
              <w:right w:w="110" w:type="dxa"/>
            </w:tcMar>
            <w:vAlign w:val="center"/>
          </w:tcPr>
          <w:p w14:paraId="2C544B3A">
            <w:pPr>
              <w:jc w:val="center"/>
            </w:pPr>
            <w:r>
              <w:rPr>
                <w:rFonts w:ascii="Times New Roman" w:hAnsi="Times New Roman" w:eastAsia="Times New Roman" w:cs="Times New Roman"/>
                <w:b/>
                <w:bCs/>
                <w:i w:val="0"/>
                <w:iCs w:val="0"/>
                <w:color w:val="FFFFFF"/>
                <w:sz w:val="18"/>
                <w:szCs w:val="18"/>
              </w:rPr>
              <w:t>VaR Return (%)</w:t>
            </w:r>
          </w:p>
        </w:tc>
        <w:tc>
          <w:tcPr>
            <w:tcW w:w="1200" w:type="dxa"/>
            <w:tcBorders>
              <w:top w:val="single" w:color="000000" w:sz="4" w:space="0"/>
              <w:left w:val="single" w:color="000000" w:sz="4" w:space="0"/>
              <w:bottom w:val="single" w:color="000000" w:sz="4" w:space="0"/>
              <w:right w:val="single" w:color="000000" w:sz="4" w:space="0"/>
            </w:tcBorders>
            <w:shd w:val="clear" w:color="auto" w:fill="1F3864"/>
            <w:tcMar>
              <w:top w:w="70" w:type="dxa"/>
              <w:left w:w="110" w:type="dxa"/>
              <w:bottom w:w="70" w:type="dxa"/>
              <w:right w:w="110" w:type="dxa"/>
            </w:tcMar>
            <w:vAlign w:val="center"/>
          </w:tcPr>
          <w:p w14:paraId="27133E7F">
            <w:pPr>
              <w:jc w:val="center"/>
            </w:pPr>
            <w:r>
              <w:rPr>
                <w:rFonts w:ascii="Times New Roman" w:hAnsi="Times New Roman" w:eastAsia="Times New Roman" w:cs="Times New Roman"/>
                <w:b/>
                <w:bCs/>
                <w:i w:val="0"/>
                <w:iCs w:val="0"/>
                <w:color w:val="FFFFFF"/>
                <w:sz w:val="18"/>
                <w:szCs w:val="18"/>
              </w:rPr>
              <w:t>VaR ($)</w:t>
            </w:r>
          </w:p>
        </w:tc>
        <w:tc>
          <w:tcPr>
            <w:tcW w:w="1200" w:type="dxa"/>
            <w:tcBorders>
              <w:top w:val="single" w:color="000000" w:sz="4" w:space="0"/>
              <w:left w:val="single" w:color="000000" w:sz="4" w:space="0"/>
              <w:bottom w:val="single" w:color="000000" w:sz="4" w:space="0"/>
              <w:right w:val="single" w:color="000000" w:sz="4" w:space="0"/>
            </w:tcBorders>
            <w:shd w:val="clear" w:color="auto" w:fill="1F3864"/>
            <w:tcMar>
              <w:top w:w="70" w:type="dxa"/>
              <w:left w:w="110" w:type="dxa"/>
              <w:bottom w:w="70" w:type="dxa"/>
              <w:right w:w="110" w:type="dxa"/>
            </w:tcMar>
            <w:vAlign w:val="center"/>
          </w:tcPr>
          <w:p w14:paraId="4016900B">
            <w:pPr>
              <w:jc w:val="center"/>
            </w:pPr>
            <w:r>
              <w:rPr>
                <w:rFonts w:ascii="Times New Roman" w:hAnsi="Times New Roman" w:eastAsia="Times New Roman" w:cs="Times New Roman"/>
                <w:b/>
                <w:bCs/>
                <w:i w:val="0"/>
                <w:iCs w:val="0"/>
                <w:color w:val="FFFFFF"/>
                <w:sz w:val="18"/>
                <w:szCs w:val="18"/>
              </w:rPr>
              <w:t>ES ($)</w:t>
            </w:r>
          </w:p>
        </w:tc>
        <w:tc>
          <w:tcPr>
            <w:tcW w:w="1200" w:type="dxa"/>
            <w:tcBorders>
              <w:top w:val="single" w:color="000000" w:sz="4" w:space="0"/>
              <w:left w:val="single" w:color="000000" w:sz="4" w:space="0"/>
              <w:bottom w:val="single" w:color="000000" w:sz="4" w:space="0"/>
              <w:right w:val="single" w:color="000000" w:sz="4" w:space="0"/>
            </w:tcBorders>
            <w:shd w:val="clear" w:color="auto" w:fill="1F3864"/>
            <w:tcMar>
              <w:top w:w="70" w:type="dxa"/>
              <w:left w:w="110" w:type="dxa"/>
              <w:bottom w:w="70" w:type="dxa"/>
              <w:right w:w="110" w:type="dxa"/>
            </w:tcMar>
            <w:vAlign w:val="center"/>
          </w:tcPr>
          <w:p w14:paraId="1EFA75AF">
            <w:pPr>
              <w:jc w:val="center"/>
            </w:pPr>
            <w:r>
              <w:rPr>
                <w:rFonts w:ascii="Times New Roman" w:hAnsi="Times New Roman" w:eastAsia="Times New Roman" w:cs="Times New Roman"/>
                <w:b/>
                <w:bCs/>
                <w:i w:val="0"/>
                <w:iCs w:val="0"/>
                <w:color w:val="FFFFFF"/>
                <w:sz w:val="18"/>
                <w:szCs w:val="18"/>
              </w:rPr>
              <w:t>CI</w:t>
            </w:r>
          </w:p>
        </w:tc>
        <w:tc>
          <w:tcPr>
            <w:tcW w:w="700" w:type="dxa"/>
            <w:tcBorders>
              <w:top w:val="single" w:color="000000" w:sz="4" w:space="0"/>
              <w:left w:val="single" w:color="000000" w:sz="4" w:space="0"/>
              <w:bottom w:val="single" w:color="000000" w:sz="4" w:space="0"/>
              <w:right w:val="single" w:color="000000" w:sz="4" w:space="0"/>
            </w:tcBorders>
            <w:shd w:val="clear" w:color="auto" w:fill="1F3864"/>
            <w:tcMar>
              <w:top w:w="70" w:type="dxa"/>
              <w:left w:w="110" w:type="dxa"/>
              <w:bottom w:w="70" w:type="dxa"/>
              <w:right w:w="110" w:type="dxa"/>
            </w:tcMar>
            <w:vAlign w:val="center"/>
          </w:tcPr>
          <w:p w14:paraId="206059A9">
            <w:pPr>
              <w:jc w:val="center"/>
            </w:pPr>
            <w:r>
              <w:rPr>
                <w:rFonts w:ascii="Times New Roman" w:hAnsi="Times New Roman" w:eastAsia="Times New Roman" w:cs="Times New Roman"/>
                <w:b/>
                <w:bCs/>
                <w:i w:val="0"/>
                <w:iCs w:val="0"/>
                <w:color w:val="FFFFFF"/>
                <w:sz w:val="18"/>
                <w:szCs w:val="18"/>
              </w:rPr>
              <w:t>Days</w:t>
            </w:r>
          </w:p>
        </w:tc>
      </w:tr>
      <w:tr w14:paraId="35178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vAlign w:val="center"/>
          </w:tcPr>
          <w:p w14:paraId="1CFBF9B7">
            <w:pPr>
              <w:jc w:val="left"/>
            </w:pPr>
            <w:r>
              <w:rPr>
                <w:rFonts w:ascii="Times New Roman" w:hAnsi="Times New Roman" w:eastAsia="Times New Roman" w:cs="Times New Roman"/>
                <w:b w:val="0"/>
                <w:bCs w:val="0"/>
                <w:i w:val="0"/>
                <w:iCs w:val="0"/>
                <w:color w:val="000000"/>
                <w:sz w:val="18"/>
                <w:szCs w:val="18"/>
              </w:rPr>
              <w:t>Historical Simulation</w:t>
            </w:r>
          </w:p>
        </w:tc>
        <w:tc>
          <w:tcPr>
            <w:tcW w:w="12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vAlign w:val="center"/>
          </w:tcPr>
          <w:p w14:paraId="185A0C44">
            <w:pPr>
              <w:jc w:val="center"/>
            </w:pPr>
            <w:r>
              <w:rPr>
                <w:rFonts w:ascii="Times New Roman" w:hAnsi="Times New Roman" w:eastAsia="Times New Roman" w:cs="Times New Roman"/>
                <w:b w:val="0"/>
                <w:bCs w:val="0"/>
                <w:i w:val="0"/>
                <w:iCs w:val="0"/>
                <w:color w:val="000000"/>
                <w:sz w:val="18"/>
                <w:szCs w:val="18"/>
              </w:rPr>
              <w:t>−3.2054%</w:t>
            </w:r>
          </w:p>
        </w:tc>
        <w:tc>
          <w:tcPr>
            <w:tcW w:w="12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vAlign w:val="center"/>
          </w:tcPr>
          <w:p w14:paraId="03097A4B">
            <w:pPr>
              <w:jc w:val="center"/>
            </w:pPr>
            <w:r>
              <w:rPr>
                <w:rFonts w:ascii="Times New Roman" w:hAnsi="Times New Roman" w:eastAsia="Times New Roman" w:cs="Times New Roman"/>
                <w:b w:val="0"/>
                <w:bCs w:val="0"/>
                <w:i w:val="0"/>
                <w:iCs w:val="0"/>
                <w:color w:val="000000"/>
                <w:sz w:val="18"/>
                <w:szCs w:val="18"/>
              </w:rPr>
              <w:t>$32,054</w:t>
            </w:r>
          </w:p>
        </w:tc>
        <w:tc>
          <w:tcPr>
            <w:tcW w:w="12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vAlign w:val="center"/>
          </w:tcPr>
          <w:p w14:paraId="3DD39DB6">
            <w:pPr>
              <w:jc w:val="center"/>
            </w:pPr>
            <w:r>
              <w:rPr>
                <w:rFonts w:ascii="Times New Roman" w:hAnsi="Times New Roman" w:eastAsia="Times New Roman" w:cs="Times New Roman"/>
                <w:b w:val="0"/>
                <w:bCs w:val="0"/>
                <w:i w:val="0"/>
                <w:iCs w:val="0"/>
                <w:color w:val="000000"/>
                <w:sz w:val="18"/>
                <w:szCs w:val="18"/>
              </w:rPr>
              <w:t>$35,888</w:t>
            </w:r>
          </w:p>
        </w:tc>
        <w:tc>
          <w:tcPr>
            <w:tcW w:w="12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vAlign w:val="center"/>
          </w:tcPr>
          <w:p w14:paraId="47BC5666">
            <w:pPr>
              <w:jc w:val="center"/>
            </w:pPr>
            <w:r>
              <w:rPr>
                <w:rFonts w:ascii="Times New Roman" w:hAnsi="Times New Roman" w:eastAsia="Times New Roman" w:cs="Times New Roman"/>
                <w:b w:val="0"/>
                <w:bCs w:val="0"/>
                <w:i w:val="0"/>
                <w:iCs w:val="0"/>
                <w:color w:val="000000"/>
                <w:sz w:val="18"/>
                <w:szCs w:val="18"/>
              </w:rPr>
              <w:t>99%</w:t>
            </w:r>
          </w:p>
        </w:tc>
        <w:tc>
          <w:tcPr>
            <w:tcW w:w="7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10" w:type="dxa"/>
              <w:bottom w:w="70" w:type="dxa"/>
              <w:right w:w="110" w:type="dxa"/>
            </w:tcMar>
            <w:vAlign w:val="center"/>
          </w:tcPr>
          <w:p w14:paraId="0EBB070B">
            <w:pPr>
              <w:jc w:val="center"/>
            </w:pPr>
            <w:r>
              <w:rPr>
                <w:rFonts w:ascii="Times New Roman" w:hAnsi="Times New Roman" w:eastAsia="Times New Roman" w:cs="Times New Roman"/>
                <w:b w:val="0"/>
                <w:bCs w:val="0"/>
                <w:i w:val="0"/>
                <w:iCs w:val="0"/>
                <w:color w:val="000000"/>
                <w:sz w:val="18"/>
                <w:szCs w:val="18"/>
              </w:rPr>
              <w:t>1</w:t>
            </w:r>
          </w:p>
        </w:tc>
      </w:tr>
      <w:tr w14:paraId="42476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2F4F9"/>
            <w:tcMar>
              <w:top w:w="70" w:type="dxa"/>
              <w:left w:w="110" w:type="dxa"/>
              <w:bottom w:w="70" w:type="dxa"/>
              <w:right w:w="110" w:type="dxa"/>
            </w:tcMar>
            <w:vAlign w:val="center"/>
          </w:tcPr>
          <w:p w14:paraId="2F547045">
            <w:pPr>
              <w:jc w:val="left"/>
            </w:pPr>
            <w:r>
              <w:rPr>
                <w:rFonts w:ascii="Times New Roman" w:hAnsi="Times New Roman" w:eastAsia="Times New Roman" w:cs="Times New Roman"/>
                <w:b w:val="0"/>
                <w:bCs w:val="0"/>
                <w:i w:val="0"/>
                <w:iCs w:val="0"/>
                <w:color w:val="000000"/>
                <w:sz w:val="18"/>
                <w:szCs w:val="18"/>
              </w:rPr>
              <w:t>Variance-Covariance</w:t>
            </w:r>
          </w:p>
        </w:tc>
        <w:tc>
          <w:tcPr>
            <w:tcW w:w="1200" w:type="dxa"/>
            <w:tcBorders>
              <w:top w:val="single" w:color="000000" w:sz="4" w:space="0"/>
              <w:left w:val="single" w:color="000000" w:sz="4" w:space="0"/>
              <w:bottom w:val="single" w:color="000000" w:sz="4" w:space="0"/>
              <w:right w:val="single" w:color="000000" w:sz="4" w:space="0"/>
            </w:tcBorders>
            <w:shd w:val="clear" w:color="auto" w:fill="F2F4F9"/>
            <w:tcMar>
              <w:top w:w="70" w:type="dxa"/>
              <w:left w:w="110" w:type="dxa"/>
              <w:bottom w:w="70" w:type="dxa"/>
              <w:right w:w="110" w:type="dxa"/>
            </w:tcMar>
            <w:vAlign w:val="center"/>
          </w:tcPr>
          <w:p w14:paraId="195B1A72">
            <w:pPr>
              <w:jc w:val="center"/>
            </w:pPr>
            <w:r>
              <w:rPr>
                <w:rFonts w:ascii="Times New Roman" w:hAnsi="Times New Roman" w:eastAsia="Times New Roman" w:cs="Times New Roman"/>
                <w:b w:val="0"/>
                <w:bCs w:val="0"/>
                <w:i w:val="0"/>
                <w:iCs w:val="0"/>
                <w:color w:val="000000"/>
                <w:sz w:val="18"/>
                <w:szCs w:val="18"/>
              </w:rPr>
              <w:t>−3.2141%</w:t>
            </w:r>
          </w:p>
        </w:tc>
        <w:tc>
          <w:tcPr>
            <w:tcW w:w="1200" w:type="dxa"/>
            <w:tcBorders>
              <w:top w:val="single" w:color="000000" w:sz="4" w:space="0"/>
              <w:left w:val="single" w:color="000000" w:sz="4" w:space="0"/>
              <w:bottom w:val="single" w:color="000000" w:sz="4" w:space="0"/>
              <w:right w:val="single" w:color="000000" w:sz="4" w:space="0"/>
            </w:tcBorders>
            <w:shd w:val="clear" w:color="auto" w:fill="F2F4F9"/>
            <w:tcMar>
              <w:top w:w="70" w:type="dxa"/>
              <w:left w:w="110" w:type="dxa"/>
              <w:bottom w:w="70" w:type="dxa"/>
              <w:right w:w="110" w:type="dxa"/>
            </w:tcMar>
            <w:vAlign w:val="center"/>
          </w:tcPr>
          <w:p w14:paraId="26E76F0A">
            <w:pPr>
              <w:jc w:val="center"/>
            </w:pPr>
            <w:r>
              <w:rPr>
                <w:rFonts w:ascii="Times New Roman" w:hAnsi="Times New Roman" w:eastAsia="Times New Roman" w:cs="Times New Roman"/>
                <w:b w:val="0"/>
                <w:bCs w:val="0"/>
                <w:i w:val="0"/>
                <w:iCs w:val="0"/>
                <w:color w:val="000000"/>
                <w:sz w:val="18"/>
                <w:szCs w:val="18"/>
              </w:rPr>
              <w:t>$32,141</w:t>
            </w:r>
          </w:p>
        </w:tc>
        <w:tc>
          <w:tcPr>
            <w:tcW w:w="1200" w:type="dxa"/>
            <w:tcBorders>
              <w:top w:val="single" w:color="000000" w:sz="4" w:space="0"/>
              <w:left w:val="single" w:color="000000" w:sz="4" w:space="0"/>
              <w:bottom w:val="single" w:color="000000" w:sz="4" w:space="0"/>
              <w:right w:val="single" w:color="000000" w:sz="4" w:space="0"/>
            </w:tcBorders>
            <w:shd w:val="clear" w:color="auto" w:fill="F2F4F9"/>
            <w:tcMar>
              <w:top w:w="70" w:type="dxa"/>
              <w:left w:w="110" w:type="dxa"/>
              <w:bottom w:w="70" w:type="dxa"/>
              <w:right w:w="110" w:type="dxa"/>
            </w:tcMar>
            <w:vAlign w:val="center"/>
          </w:tcPr>
          <w:p w14:paraId="51FA215E">
            <w:pPr>
              <w:jc w:val="center"/>
            </w:pPr>
            <w:r>
              <w:rPr>
                <w:rFonts w:ascii="Times New Roman" w:hAnsi="Times New Roman" w:eastAsia="Times New Roman" w:cs="Times New Roman"/>
                <w:b w:val="0"/>
                <w:bCs w:val="0"/>
                <w:i w:val="0"/>
                <w:iCs w:val="0"/>
                <w:color w:val="000000"/>
                <w:sz w:val="18"/>
                <w:szCs w:val="18"/>
              </w:rPr>
              <w:t>$36,923</w:t>
            </w:r>
          </w:p>
        </w:tc>
        <w:tc>
          <w:tcPr>
            <w:tcW w:w="1200" w:type="dxa"/>
            <w:tcBorders>
              <w:top w:val="single" w:color="000000" w:sz="4" w:space="0"/>
              <w:left w:val="single" w:color="000000" w:sz="4" w:space="0"/>
              <w:bottom w:val="single" w:color="000000" w:sz="4" w:space="0"/>
              <w:right w:val="single" w:color="000000" w:sz="4" w:space="0"/>
            </w:tcBorders>
            <w:shd w:val="clear" w:color="auto" w:fill="F2F4F9"/>
            <w:tcMar>
              <w:top w:w="70" w:type="dxa"/>
              <w:left w:w="110" w:type="dxa"/>
              <w:bottom w:w="70" w:type="dxa"/>
              <w:right w:w="110" w:type="dxa"/>
            </w:tcMar>
            <w:vAlign w:val="center"/>
          </w:tcPr>
          <w:p w14:paraId="03785898">
            <w:pPr>
              <w:jc w:val="center"/>
            </w:pPr>
            <w:r>
              <w:rPr>
                <w:rFonts w:ascii="Times New Roman" w:hAnsi="Times New Roman" w:eastAsia="Times New Roman" w:cs="Times New Roman"/>
                <w:b w:val="0"/>
                <w:bCs w:val="0"/>
                <w:i w:val="0"/>
                <w:iCs w:val="0"/>
                <w:color w:val="000000"/>
                <w:sz w:val="18"/>
                <w:szCs w:val="18"/>
              </w:rPr>
              <w:t>99%</w:t>
            </w:r>
          </w:p>
        </w:tc>
        <w:tc>
          <w:tcPr>
            <w:tcW w:w="700" w:type="dxa"/>
            <w:tcBorders>
              <w:top w:val="single" w:color="000000" w:sz="4" w:space="0"/>
              <w:left w:val="single" w:color="000000" w:sz="4" w:space="0"/>
              <w:bottom w:val="single" w:color="000000" w:sz="4" w:space="0"/>
              <w:right w:val="single" w:color="000000" w:sz="4" w:space="0"/>
            </w:tcBorders>
            <w:shd w:val="clear" w:color="auto" w:fill="F2F4F9"/>
            <w:tcMar>
              <w:top w:w="70" w:type="dxa"/>
              <w:left w:w="110" w:type="dxa"/>
              <w:bottom w:w="70" w:type="dxa"/>
              <w:right w:w="110" w:type="dxa"/>
            </w:tcMar>
            <w:vAlign w:val="center"/>
          </w:tcPr>
          <w:p w14:paraId="470F3763">
            <w:pPr>
              <w:jc w:val="center"/>
            </w:pPr>
            <w:r>
              <w:rPr>
                <w:rFonts w:ascii="Times New Roman" w:hAnsi="Times New Roman" w:eastAsia="Times New Roman" w:cs="Times New Roman"/>
                <w:b w:val="0"/>
                <w:bCs w:val="0"/>
                <w:i w:val="0"/>
                <w:iCs w:val="0"/>
                <w:color w:val="000000"/>
                <w:sz w:val="18"/>
                <w:szCs w:val="18"/>
              </w:rPr>
              <w:t>1</w:t>
            </w:r>
          </w:p>
        </w:tc>
      </w:tr>
      <w:tr w14:paraId="16F10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C6EFCE"/>
            <w:tcMar>
              <w:top w:w="70" w:type="dxa"/>
              <w:left w:w="110" w:type="dxa"/>
              <w:bottom w:w="70" w:type="dxa"/>
              <w:right w:w="110" w:type="dxa"/>
            </w:tcMar>
            <w:vAlign w:val="center"/>
          </w:tcPr>
          <w:p w14:paraId="2BD2855F">
            <w:pPr>
              <w:jc w:val="left"/>
            </w:pPr>
            <w:r>
              <w:rPr>
                <w:rFonts w:ascii="Times New Roman" w:hAnsi="Times New Roman" w:eastAsia="Times New Roman" w:cs="Times New Roman"/>
                <w:b/>
                <w:bCs/>
                <w:i w:val="0"/>
                <w:iCs w:val="0"/>
                <w:color w:val="000000"/>
                <w:sz w:val="18"/>
                <w:szCs w:val="18"/>
              </w:rPr>
              <w:t>Monte Carlo (GBM)</w:t>
            </w:r>
          </w:p>
        </w:tc>
        <w:tc>
          <w:tcPr>
            <w:tcW w:w="1200" w:type="dxa"/>
            <w:tcBorders>
              <w:top w:val="single" w:color="000000" w:sz="4" w:space="0"/>
              <w:left w:val="single" w:color="000000" w:sz="4" w:space="0"/>
              <w:bottom w:val="single" w:color="000000" w:sz="4" w:space="0"/>
              <w:right w:val="single" w:color="000000" w:sz="4" w:space="0"/>
            </w:tcBorders>
            <w:shd w:val="clear" w:color="auto" w:fill="C6EFCE"/>
            <w:tcMar>
              <w:top w:w="70" w:type="dxa"/>
              <w:left w:w="110" w:type="dxa"/>
              <w:bottom w:w="70" w:type="dxa"/>
              <w:right w:w="110" w:type="dxa"/>
            </w:tcMar>
            <w:vAlign w:val="center"/>
          </w:tcPr>
          <w:p w14:paraId="22F0BDB4">
            <w:pPr>
              <w:jc w:val="center"/>
            </w:pPr>
            <w:r>
              <w:rPr>
                <w:rFonts w:ascii="Times New Roman" w:hAnsi="Times New Roman" w:eastAsia="Times New Roman" w:cs="Times New Roman"/>
                <w:b/>
                <w:bCs/>
                <w:i w:val="0"/>
                <w:iCs w:val="0"/>
                <w:color w:val="000000"/>
                <w:sz w:val="18"/>
                <w:szCs w:val="18"/>
              </w:rPr>
              <w:t>−3.1676%</w:t>
            </w:r>
          </w:p>
        </w:tc>
        <w:tc>
          <w:tcPr>
            <w:tcW w:w="1200" w:type="dxa"/>
            <w:tcBorders>
              <w:top w:val="single" w:color="000000" w:sz="4" w:space="0"/>
              <w:left w:val="single" w:color="000000" w:sz="4" w:space="0"/>
              <w:bottom w:val="single" w:color="000000" w:sz="4" w:space="0"/>
              <w:right w:val="single" w:color="000000" w:sz="4" w:space="0"/>
            </w:tcBorders>
            <w:shd w:val="clear" w:color="auto" w:fill="C6EFCE"/>
            <w:tcMar>
              <w:top w:w="70" w:type="dxa"/>
              <w:left w:w="110" w:type="dxa"/>
              <w:bottom w:w="70" w:type="dxa"/>
              <w:right w:w="110" w:type="dxa"/>
            </w:tcMar>
            <w:vAlign w:val="center"/>
          </w:tcPr>
          <w:p w14:paraId="4C99BF0A">
            <w:pPr>
              <w:jc w:val="center"/>
            </w:pPr>
            <w:r>
              <w:rPr>
                <w:rFonts w:ascii="Times New Roman" w:hAnsi="Times New Roman" w:eastAsia="Times New Roman" w:cs="Times New Roman"/>
                <w:b/>
                <w:bCs/>
                <w:i w:val="0"/>
                <w:iCs w:val="0"/>
                <w:color w:val="000000"/>
                <w:sz w:val="18"/>
                <w:szCs w:val="18"/>
              </w:rPr>
              <w:t>$31,676</w:t>
            </w:r>
          </w:p>
        </w:tc>
        <w:tc>
          <w:tcPr>
            <w:tcW w:w="1200" w:type="dxa"/>
            <w:tcBorders>
              <w:top w:val="single" w:color="000000" w:sz="4" w:space="0"/>
              <w:left w:val="single" w:color="000000" w:sz="4" w:space="0"/>
              <w:bottom w:val="single" w:color="000000" w:sz="4" w:space="0"/>
              <w:right w:val="single" w:color="000000" w:sz="4" w:space="0"/>
            </w:tcBorders>
            <w:shd w:val="clear" w:color="auto" w:fill="C6EFCE"/>
            <w:tcMar>
              <w:top w:w="70" w:type="dxa"/>
              <w:left w:w="110" w:type="dxa"/>
              <w:bottom w:w="70" w:type="dxa"/>
              <w:right w:w="110" w:type="dxa"/>
            </w:tcMar>
            <w:vAlign w:val="center"/>
          </w:tcPr>
          <w:p w14:paraId="1F292A44">
            <w:pPr>
              <w:jc w:val="center"/>
            </w:pPr>
            <w:r>
              <w:rPr>
                <w:rFonts w:ascii="Times New Roman" w:hAnsi="Times New Roman" w:eastAsia="Times New Roman" w:cs="Times New Roman"/>
                <w:b/>
                <w:bCs/>
                <w:i w:val="0"/>
                <w:iCs w:val="0"/>
                <w:color w:val="000000"/>
                <w:sz w:val="18"/>
                <w:szCs w:val="18"/>
              </w:rPr>
              <w:t>$36,392</w:t>
            </w:r>
          </w:p>
        </w:tc>
        <w:tc>
          <w:tcPr>
            <w:tcW w:w="1200" w:type="dxa"/>
            <w:tcBorders>
              <w:top w:val="single" w:color="000000" w:sz="4" w:space="0"/>
              <w:left w:val="single" w:color="000000" w:sz="4" w:space="0"/>
              <w:bottom w:val="single" w:color="000000" w:sz="4" w:space="0"/>
              <w:right w:val="single" w:color="000000" w:sz="4" w:space="0"/>
            </w:tcBorders>
            <w:shd w:val="clear" w:color="auto" w:fill="C6EFCE"/>
            <w:tcMar>
              <w:top w:w="70" w:type="dxa"/>
              <w:left w:w="110" w:type="dxa"/>
              <w:bottom w:w="70" w:type="dxa"/>
              <w:right w:w="110" w:type="dxa"/>
            </w:tcMar>
            <w:vAlign w:val="center"/>
          </w:tcPr>
          <w:p w14:paraId="3EF210BF">
            <w:pPr>
              <w:jc w:val="center"/>
            </w:pPr>
            <w:r>
              <w:rPr>
                <w:rFonts w:ascii="Times New Roman" w:hAnsi="Times New Roman" w:eastAsia="Times New Roman" w:cs="Times New Roman"/>
                <w:b/>
                <w:bCs/>
                <w:i w:val="0"/>
                <w:iCs w:val="0"/>
                <w:color w:val="000000"/>
                <w:sz w:val="18"/>
                <w:szCs w:val="18"/>
              </w:rPr>
              <w:t>99%</w:t>
            </w:r>
          </w:p>
        </w:tc>
        <w:tc>
          <w:tcPr>
            <w:tcW w:w="700" w:type="dxa"/>
            <w:tcBorders>
              <w:top w:val="single" w:color="000000" w:sz="4" w:space="0"/>
              <w:left w:val="single" w:color="000000" w:sz="4" w:space="0"/>
              <w:bottom w:val="single" w:color="000000" w:sz="4" w:space="0"/>
              <w:right w:val="single" w:color="000000" w:sz="4" w:space="0"/>
            </w:tcBorders>
            <w:shd w:val="clear" w:color="auto" w:fill="C6EFCE"/>
            <w:tcMar>
              <w:top w:w="70" w:type="dxa"/>
              <w:left w:w="110" w:type="dxa"/>
              <w:bottom w:w="70" w:type="dxa"/>
              <w:right w:w="110" w:type="dxa"/>
            </w:tcMar>
            <w:vAlign w:val="center"/>
          </w:tcPr>
          <w:p w14:paraId="3B4F6D6F">
            <w:pPr>
              <w:jc w:val="center"/>
            </w:pPr>
            <w:r>
              <w:rPr>
                <w:rFonts w:ascii="Times New Roman" w:hAnsi="Times New Roman" w:eastAsia="Times New Roman" w:cs="Times New Roman"/>
                <w:b/>
                <w:bCs/>
                <w:i w:val="0"/>
                <w:iCs w:val="0"/>
                <w:color w:val="000000"/>
                <w:sz w:val="18"/>
                <w:szCs w:val="18"/>
              </w:rPr>
              <w:t>1</w:t>
            </w:r>
          </w:p>
        </w:tc>
      </w:tr>
    </w:tbl>
    <w:p w14:paraId="4239DAFA">
      <w:pPr>
        <w:spacing w:before="40" w:after="80" w:line="240" w:lineRule="auto"/>
        <w:jc w:val="center"/>
      </w:pPr>
      <w:r>
        <w:rPr>
          <w:rFonts w:ascii="Times New Roman" w:hAnsi="Times New Roman" w:eastAsia="Times New Roman" w:cs="Times New Roman"/>
          <w:b w:val="0"/>
          <w:bCs w:val="0"/>
          <w:i/>
          <w:iCs/>
          <w:color w:val="555555"/>
          <w:sz w:val="16"/>
          <w:szCs w:val="16"/>
        </w:rPr>
        <w:t>Green row indicates the Monte Carlo result (selected reference model).</w:t>
      </w:r>
    </w:p>
    <w:p w14:paraId="6662ED9C">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The three methods produce substantially consistent estimates, with VaR ranging from $31,676 (MC) to $32,141 (VC) — a spread of only $465. This convergence is reassuring and reflects the approximately normal empirical return distribution of the portfolio over the estimation window. ES estimates are uniformly higher than VaR by approximately $3,800–$4,800, quantifying the average severity of tail losses beyond the VaR threshold.</w:t>
      </w:r>
    </w:p>
    <w:p w14:paraId="7E566315">
      <w:pPr>
        <w:spacing w:before="160" w:after="80" w:line="240" w:lineRule="auto"/>
        <w:jc w:val="center"/>
      </w:pPr>
      <w:r>
        <w:rPr>
          <w:rFonts w:ascii="Times New Roman" w:hAnsi="Times New Roman" w:eastAsia="Times New Roman" w:cs="Times New Roman"/>
          <w:b/>
          <w:bCs/>
          <w:i w:val="0"/>
          <w:iCs w:val="0"/>
          <w:color w:val="000000"/>
          <w:sz w:val="22"/>
          <w:szCs w:val="22"/>
        </w:rPr>
        <w:t>V.  VAR BACKTESTING</w:t>
      </w:r>
    </w:p>
    <w:p w14:paraId="0E699975">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Backtesting evaluates whether historical losses are consistent with VaR model predictions. A breach (or violation) is recorded on day t if the actual portfolio loss exceeds the VaR estimate. Two complementary backtesting procedures are applied to the Historical Simulation VaR.</w:t>
      </w:r>
    </w:p>
    <w:p w14:paraId="485BE3A9">
      <w:pPr>
        <w:spacing w:before="120" w:after="60" w:line="240" w:lineRule="auto"/>
        <w:jc w:val="left"/>
      </w:pPr>
      <w:r>
        <w:rPr>
          <w:rFonts w:ascii="Times New Roman" w:hAnsi="Times New Roman" w:eastAsia="Times New Roman" w:cs="Times New Roman"/>
          <w:b/>
          <w:bCs/>
          <w:i/>
          <w:iCs/>
          <w:color w:val="000000"/>
          <w:sz w:val="20"/>
          <w:szCs w:val="20"/>
        </w:rPr>
        <w:t>A. Traffic Light Approach (Basel III)</w:t>
      </w:r>
    </w:p>
    <w:p w14:paraId="2C5915EB">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The Traffic Light Approach, mandated by the Basel Committee on Banking Supervision, counts the number of breaches over a rolling 250-trading-day window (approximately one calendar year) and classifies the model into one of three risk zones [5]. Table IV defines the zone boundaries.</w:t>
      </w:r>
    </w:p>
    <w:p w14:paraId="494B55BD">
      <w:pPr>
        <w:spacing w:before="80" w:after="40" w:line="240" w:lineRule="auto"/>
        <w:jc w:val="center"/>
      </w:pPr>
      <w:r>
        <w:rPr>
          <w:rFonts w:ascii="Times New Roman" w:hAnsi="Times New Roman" w:eastAsia="Times New Roman" w:cs="Times New Roman"/>
          <w:b/>
          <w:bCs/>
          <w:i w:val="0"/>
          <w:iCs w:val="0"/>
          <w:color w:val="000000"/>
          <w:sz w:val="18"/>
          <w:szCs w:val="18"/>
        </w:rPr>
        <w:t>TABLE IV.  BASEL III TRAFFIC LIGHT ZONE CLASSIFICATION</w:t>
      </w:r>
    </w:p>
    <w:tbl>
      <w:tblPr>
        <w:tblStyle w:val="9"/>
        <w:tblW w:w="7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300"/>
        <w:gridCol w:w="1600"/>
        <w:gridCol w:w="3400"/>
      </w:tblGrid>
      <w:tr w14:paraId="404BD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shd w:val="clear" w:color="auto" w:fill="1F3864"/>
            <w:tcMar>
              <w:top w:w="70" w:type="dxa"/>
              <w:left w:w="110" w:type="dxa"/>
              <w:bottom w:w="70" w:type="dxa"/>
              <w:right w:w="110" w:type="dxa"/>
            </w:tcMar>
            <w:vAlign w:val="center"/>
          </w:tcPr>
          <w:p w14:paraId="4DACBF97">
            <w:pPr>
              <w:jc w:val="center"/>
            </w:pPr>
            <w:r>
              <w:rPr>
                <w:rFonts w:ascii="Times New Roman" w:hAnsi="Times New Roman" w:eastAsia="Times New Roman" w:cs="Times New Roman"/>
                <w:b/>
                <w:bCs/>
                <w:i w:val="0"/>
                <w:iCs w:val="0"/>
                <w:color w:val="FFFFFF"/>
                <w:sz w:val="18"/>
                <w:szCs w:val="18"/>
              </w:rPr>
              <w:t>Zone</w:t>
            </w:r>
          </w:p>
        </w:tc>
        <w:tc>
          <w:tcPr>
            <w:tcW w:w="1300" w:type="dxa"/>
            <w:tcBorders>
              <w:top w:val="single" w:color="000000" w:sz="4" w:space="0"/>
              <w:left w:val="single" w:color="000000" w:sz="4" w:space="0"/>
              <w:bottom w:val="single" w:color="000000" w:sz="4" w:space="0"/>
              <w:right w:val="single" w:color="000000" w:sz="4" w:space="0"/>
            </w:tcBorders>
            <w:shd w:val="clear" w:color="auto" w:fill="1F3864"/>
            <w:tcMar>
              <w:top w:w="70" w:type="dxa"/>
              <w:left w:w="110" w:type="dxa"/>
              <w:bottom w:w="70" w:type="dxa"/>
              <w:right w:w="110" w:type="dxa"/>
            </w:tcMar>
            <w:vAlign w:val="center"/>
          </w:tcPr>
          <w:p w14:paraId="15447F44">
            <w:pPr>
              <w:jc w:val="center"/>
            </w:pPr>
            <w:r>
              <w:rPr>
                <w:rFonts w:ascii="Times New Roman" w:hAnsi="Times New Roman" w:eastAsia="Times New Roman" w:cs="Times New Roman"/>
                <w:b/>
                <w:bCs/>
                <w:i w:val="0"/>
                <w:iCs w:val="0"/>
                <w:color w:val="FFFFFF"/>
                <w:sz w:val="18"/>
                <w:szCs w:val="18"/>
              </w:rPr>
              <w:t>Breaches</w:t>
            </w:r>
          </w:p>
        </w:tc>
        <w:tc>
          <w:tcPr>
            <w:tcW w:w="1600" w:type="dxa"/>
            <w:tcBorders>
              <w:top w:val="single" w:color="000000" w:sz="4" w:space="0"/>
              <w:left w:val="single" w:color="000000" w:sz="4" w:space="0"/>
              <w:bottom w:val="single" w:color="000000" w:sz="4" w:space="0"/>
              <w:right w:val="single" w:color="000000" w:sz="4" w:space="0"/>
            </w:tcBorders>
            <w:shd w:val="clear" w:color="auto" w:fill="1F3864"/>
            <w:tcMar>
              <w:top w:w="70" w:type="dxa"/>
              <w:left w:w="110" w:type="dxa"/>
              <w:bottom w:w="70" w:type="dxa"/>
              <w:right w:w="110" w:type="dxa"/>
            </w:tcMar>
            <w:vAlign w:val="center"/>
          </w:tcPr>
          <w:p w14:paraId="7C346E3E">
            <w:pPr>
              <w:jc w:val="center"/>
            </w:pPr>
            <w:r>
              <w:rPr>
                <w:rFonts w:ascii="Times New Roman" w:hAnsi="Times New Roman" w:eastAsia="Times New Roman" w:cs="Times New Roman"/>
                <w:b/>
                <w:bCs/>
                <w:i w:val="0"/>
                <w:iCs w:val="0"/>
                <w:color w:val="FFFFFF"/>
                <w:sz w:val="18"/>
                <w:szCs w:val="18"/>
              </w:rPr>
              <w:t>Risk Level</w:t>
            </w:r>
          </w:p>
        </w:tc>
        <w:tc>
          <w:tcPr>
            <w:tcW w:w="3400" w:type="dxa"/>
            <w:tcBorders>
              <w:top w:val="single" w:color="000000" w:sz="4" w:space="0"/>
              <w:left w:val="single" w:color="000000" w:sz="4" w:space="0"/>
              <w:bottom w:val="single" w:color="000000" w:sz="4" w:space="0"/>
              <w:right w:val="single" w:color="000000" w:sz="4" w:space="0"/>
            </w:tcBorders>
            <w:shd w:val="clear" w:color="auto" w:fill="1F3864"/>
            <w:tcMar>
              <w:top w:w="70" w:type="dxa"/>
              <w:left w:w="110" w:type="dxa"/>
              <w:bottom w:w="70" w:type="dxa"/>
              <w:right w:w="110" w:type="dxa"/>
            </w:tcMar>
            <w:vAlign w:val="center"/>
          </w:tcPr>
          <w:p w14:paraId="15E957E5">
            <w:pPr>
              <w:jc w:val="center"/>
            </w:pPr>
            <w:r>
              <w:rPr>
                <w:rFonts w:ascii="Times New Roman" w:hAnsi="Times New Roman" w:eastAsia="Times New Roman" w:cs="Times New Roman"/>
                <w:b/>
                <w:bCs/>
                <w:i w:val="0"/>
                <w:iCs w:val="0"/>
                <w:color w:val="FFFFFF"/>
                <w:sz w:val="18"/>
                <w:szCs w:val="18"/>
              </w:rPr>
              <w:t>Implication</w:t>
            </w:r>
          </w:p>
        </w:tc>
      </w:tr>
      <w:tr w14:paraId="369D2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shd w:val="clear" w:color="auto" w:fill="C6EFCE"/>
            <w:tcMar>
              <w:top w:w="70" w:type="dxa"/>
              <w:left w:w="110" w:type="dxa"/>
              <w:bottom w:w="70" w:type="dxa"/>
              <w:right w:w="110" w:type="dxa"/>
            </w:tcMar>
            <w:vAlign w:val="center"/>
          </w:tcPr>
          <w:p w14:paraId="4F702317">
            <w:pPr>
              <w:jc w:val="center"/>
            </w:pPr>
            <w:r>
              <w:rPr>
                <w:rFonts w:ascii="Times New Roman" w:hAnsi="Times New Roman" w:eastAsia="Times New Roman" w:cs="Times New Roman"/>
                <w:b/>
                <w:bCs/>
                <w:i w:val="0"/>
                <w:iCs w:val="0"/>
                <w:color w:val="375623"/>
                <w:sz w:val="18"/>
                <w:szCs w:val="18"/>
              </w:rPr>
              <w:t>GREEN</w:t>
            </w:r>
          </w:p>
        </w:tc>
        <w:tc>
          <w:tcPr>
            <w:tcW w:w="1300" w:type="dxa"/>
            <w:tcBorders>
              <w:top w:val="single" w:color="000000" w:sz="4" w:space="0"/>
              <w:left w:val="single" w:color="000000" w:sz="4" w:space="0"/>
              <w:bottom w:val="single" w:color="000000" w:sz="4" w:space="0"/>
              <w:right w:val="single" w:color="000000" w:sz="4" w:space="0"/>
            </w:tcBorders>
            <w:shd w:val="clear" w:color="auto" w:fill="C6EFCE"/>
            <w:tcMar>
              <w:top w:w="70" w:type="dxa"/>
              <w:left w:w="110" w:type="dxa"/>
              <w:bottom w:w="70" w:type="dxa"/>
              <w:right w:w="110" w:type="dxa"/>
            </w:tcMar>
            <w:vAlign w:val="center"/>
          </w:tcPr>
          <w:p w14:paraId="7154FA79">
            <w:pPr>
              <w:jc w:val="center"/>
            </w:pPr>
            <w:r>
              <w:rPr>
                <w:rFonts w:ascii="Times New Roman" w:hAnsi="Times New Roman" w:eastAsia="Times New Roman" w:cs="Times New Roman"/>
                <w:b w:val="0"/>
                <w:bCs w:val="0"/>
                <w:i w:val="0"/>
                <w:iCs w:val="0"/>
                <w:color w:val="000000"/>
                <w:sz w:val="18"/>
                <w:szCs w:val="18"/>
              </w:rPr>
              <w:t>0 – 4</w:t>
            </w:r>
          </w:p>
        </w:tc>
        <w:tc>
          <w:tcPr>
            <w:tcW w:w="1600" w:type="dxa"/>
            <w:tcBorders>
              <w:top w:val="single" w:color="000000" w:sz="4" w:space="0"/>
              <w:left w:val="single" w:color="000000" w:sz="4" w:space="0"/>
              <w:bottom w:val="single" w:color="000000" w:sz="4" w:space="0"/>
              <w:right w:val="single" w:color="000000" w:sz="4" w:space="0"/>
            </w:tcBorders>
            <w:shd w:val="clear" w:color="auto" w:fill="C6EFCE"/>
            <w:tcMar>
              <w:top w:w="70" w:type="dxa"/>
              <w:left w:w="110" w:type="dxa"/>
              <w:bottom w:w="70" w:type="dxa"/>
              <w:right w:w="110" w:type="dxa"/>
            </w:tcMar>
            <w:vAlign w:val="center"/>
          </w:tcPr>
          <w:p w14:paraId="1FF60430">
            <w:pPr>
              <w:jc w:val="center"/>
            </w:pPr>
            <w:r>
              <w:rPr>
                <w:rFonts w:ascii="Times New Roman" w:hAnsi="Times New Roman" w:eastAsia="Times New Roman" w:cs="Times New Roman"/>
                <w:b w:val="0"/>
                <w:bCs w:val="0"/>
                <w:i w:val="0"/>
                <w:iCs w:val="0"/>
                <w:color w:val="000000"/>
                <w:sz w:val="18"/>
                <w:szCs w:val="18"/>
              </w:rPr>
              <w:t>Low Risk</w:t>
            </w:r>
          </w:p>
        </w:tc>
        <w:tc>
          <w:tcPr>
            <w:tcW w:w="3400" w:type="dxa"/>
            <w:tcBorders>
              <w:top w:val="single" w:color="000000" w:sz="4" w:space="0"/>
              <w:left w:val="single" w:color="000000" w:sz="4" w:space="0"/>
              <w:bottom w:val="single" w:color="000000" w:sz="4" w:space="0"/>
              <w:right w:val="single" w:color="000000" w:sz="4" w:space="0"/>
            </w:tcBorders>
            <w:shd w:val="clear" w:color="auto" w:fill="C6EFCE"/>
            <w:tcMar>
              <w:top w:w="70" w:type="dxa"/>
              <w:left w:w="110" w:type="dxa"/>
              <w:bottom w:w="70" w:type="dxa"/>
              <w:right w:w="110" w:type="dxa"/>
            </w:tcMar>
            <w:vAlign w:val="center"/>
          </w:tcPr>
          <w:p w14:paraId="7BB7CAD0">
            <w:pPr>
              <w:jc w:val="left"/>
            </w:pPr>
            <w:r>
              <w:rPr>
                <w:rFonts w:ascii="Times New Roman" w:hAnsi="Times New Roman" w:eastAsia="Times New Roman" w:cs="Times New Roman"/>
                <w:b w:val="0"/>
                <w:bCs w:val="0"/>
                <w:i w:val="0"/>
                <w:iCs w:val="0"/>
                <w:color w:val="000000"/>
                <w:sz w:val="18"/>
                <w:szCs w:val="18"/>
              </w:rPr>
              <w:t>Model performs within tolerance; normal operation.</w:t>
            </w:r>
          </w:p>
        </w:tc>
      </w:tr>
      <w:tr w14:paraId="259AF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shd w:val="clear" w:color="auto" w:fill="FFEB9C"/>
            <w:tcMar>
              <w:top w:w="70" w:type="dxa"/>
              <w:left w:w="110" w:type="dxa"/>
              <w:bottom w:w="70" w:type="dxa"/>
              <w:right w:w="110" w:type="dxa"/>
            </w:tcMar>
            <w:vAlign w:val="center"/>
          </w:tcPr>
          <w:p w14:paraId="327B46C3">
            <w:pPr>
              <w:jc w:val="center"/>
            </w:pPr>
            <w:r>
              <w:rPr>
                <w:rFonts w:ascii="Times New Roman" w:hAnsi="Times New Roman" w:eastAsia="Times New Roman" w:cs="Times New Roman"/>
                <w:b/>
                <w:bCs/>
                <w:i w:val="0"/>
                <w:iCs w:val="0"/>
                <w:color w:val="9C5700"/>
                <w:sz w:val="18"/>
                <w:szCs w:val="18"/>
              </w:rPr>
              <w:t>YELLOW</w:t>
            </w:r>
          </w:p>
        </w:tc>
        <w:tc>
          <w:tcPr>
            <w:tcW w:w="1300" w:type="dxa"/>
            <w:tcBorders>
              <w:top w:val="single" w:color="000000" w:sz="4" w:space="0"/>
              <w:left w:val="single" w:color="000000" w:sz="4" w:space="0"/>
              <w:bottom w:val="single" w:color="000000" w:sz="4" w:space="0"/>
              <w:right w:val="single" w:color="000000" w:sz="4" w:space="0"/>
            </w:tcBorders>
            <w:shd w:val="clear" w:color="auto" w:fill="FFEB9C"/>
            <w:tcMar>
              <w:top w:w="70" w:type="dxa"/>
              <w:left w:w="110" w:type="dxa"/>
              <w:bottom w:w="70" w:type="dxa"/>
              <w:right w:w="110" w:type="dxa"/>
            </w:tcMar>
            <w:vAlign w:val="center"/>
          </w:tcPr>
          <w:p w14:paraId="6500B55C">
            <w:pPr>
              <w:jc w:val="center"/>
            </w:pPr>
            <w:r>
              <w:rPr>
                <w:rFonts w:ascii="Times New Roman" w:hAnsi="Times New Roman" w:eastAsia="Times New Roman" w:cs="Times New Roman"/>
                <w:b w:val="0"/>
                <w:bCs w:val="0"/>
                <w:i w:val="0"/>
                <w:iCs w:val="0"/>
                <w:color w:val="000000"/>
                <w:sz w:val="18"/>
                <w:szCs w:val="18"/>
              </w:rPr>
              <w:t>5 – 9</w:t>
            </w:r>
          </w:p>
        </w:tc>
        <w:tc>
          <w:tcPr>
            <w:tcW w:w="1600" w:type="dxa"/>
            <w:tcBorders>
              <w:top w:val="single" w:color="000000" w:sz="4" w:space="0"/>
              <w:left w:val="single" w:color="000000" w:sz="4" w:space="0"/>
              <w:bottom w:val="single" w:color="000000" w:sz="4" w:space="0"/>
              <w:right w:val="single" w:color="000000" w:sz="4" w:space="0"/>
            </w:tcBorders>
            <w:shd w:val="clear" w:color="auto" w:fill="FFEB9C"/>
            <w:tcMar>
              <w:top w:w="70" w:type="dxa"/>
              <w:left w:w="110" w:type="dxa"/>
              <w:bottom w:w="70" w:type="dxa"/>
              <w:right w:w="110" w:type="dxa"/>
            </w:tcMar>
            <w:vAlign w:val="center"/>
          </w:tcPr>
          <w:p w14:paraId="1D1851B1">
            <w:pPr>
              <w:jc w:val="center"/>
            </w:pPr>
            <w:r>
              <w:rPr>
                <w:rFonts w:ascii="Times New Roman" w:hAnsi="Times New Roman" w:eastAsia="Times New Roman" w:cs="Times New Roman"/>
                <w:b w:val="0"/>
                <w:bCs w:val="0"/>
                <w:i w:val="0"/>
                <w:iCs w:val="0"/>
                <w:color w:val="000000"/>
                <w:sz w:val="18"/>
                <w:szCs w:val="18"/>
              </w:rPr>
              <w:t>Moderate Risk</w:t>
            </w:r>
          </w:p>
        </w:tc>
        <w:tc>
          <w:tcPr>
            <w:tcW w:w="3400" w:type="dxa"/>
            <w:tcBorders>
              <w:top w:val="single" w:color="000000" w:sz="4" w:space="0"/>
              <w:left w:val="single" w:color="000000" w:sz="4" w:space="0"/>
              <w:bottom w:val="single" w:color="000000" w:sz="4" w:space="0"/>
              <w:right w:val="single" w:color="000000" w:sz="4" w:space="0"/>
            </w:tcBorders>
            <w:shd w:val="clear" w:color="auto" w:fill="FFEB9C"/>
            <w:tcMar>
              <w:top w:w="70" w:type="dxa"/>
              <w:left w:w="110" w:type="dxa"/>
              <w:bottom w:w="70" w:type="dxa"/>
              <w:right w:w="110" w:type="dxa"/>
            </w:tcMar>
            <w:vAlign w:val="center"/>
          </w:tcPr>
          <w:p w14:paraId="31A10B48">
            <w:pPr>
              <w:jc w:val="left"/>
            </w:pPr>
            <w:r>
              <w:rPr>
                <w:rFonts w:ascii="Times New Roman" w:hAnsi="Times New Roman" w:eastAsia="Times New Roman" w:cs="Times New Roman"/>
                <w:b w:val="0"/>
                <w:bCs w:val="0"/>
                <w:i w:val="0"/>
                <w:iCs w:val="0"/>
                <w:color w:val="000000"/>
                <w:sz w:val="18"/>
                <w:szCs w:val="18"/>
              </w:rPr>
              <w:t>Increased scrutiny; daily monitoring advised.</w:t>
            </w:r>
          </w:p>
        </w:tc>
      </w:tr>
      <w:tr w14:paraId="29F08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shd w:val="clear" w:color="auto" w:fill="FFC7CE"/>
            <w:tcMar>
              <w:top w:w="70" w:type="dxa"/>
              <w:left w:w="110" w:type="dxa"/>
              <w:bottom w:w="70" w:type="dxa"/>
              <w:right w:w="110" w:type="dxa"/>
            </w:tcMar>
            <w:vAlign w:val="center"/>
          </w:tcPr>
          <w:p w14:paraId="0DF63E8F">
            <w:pPr>
              <w:jc w:val="center"/>
            </w:pPr>
            <w:r>
              <w:rPr>
                <w:rFonts w:ascii="Times New Roman" w:hAnsi="Times New Roman" w:eastAsia="Times New Roman" w:cs="Times New Roman"/>
                <w:b/>
                <w:bCs/>
                <w:i w:val="0"/>
                <w:iCs w:val="0"/>
                <w:color w:val="9C0006"/>
                <w:sz w:val="18"/>
                <w:szCs w:val="18"/>
              </w:rPr>
              <w:t>RED</w:t>
            </w:r>
          </w:p>
        </w:tc>
        <w:tc>
          <w:tcPr>
            <w:tcW w:w="1300" w:type="dxa"/>
            <w:tcBorders>
              <w:top w:val="single" w:color="000000" w:sz="4" w:space="0"/>
              <w:left w:val="single" w:color="000000" w:sz="4" w:space="0"/>
              <w:bottom w:val="single" w:color="000000" w:sz="4" w:space="0"/>
              <w:right w:val="single" w:color="000000" w:sz="4" w:space="0"/>
            </w:tcBorders>
            <w:shd w:val="clear" w:color="auto" w:fill="FFC7CE"/>
            <w:tcMar>
              <w:top w:w="70" w:type="dxa"/>
              <w:left w:w="110" w:type="dxa"/>
              <w:bottom w:w="70" w:type="dxa"/>
              <w:right w:w="110" w:type="dxa"/>
            </w:tcMar>
            <w:vAlign w:val="center"/>
          </w:tcPr>
          <w:p w14:paraId="4FBE5182">
            <w:pPr>
              <w:jc w:val="center"/>
            </w:pPr>
            <w:r>
              <w:rPr>
                <w:rFonts w:ascii="Times New Roman" w:hAnsi="Times New Roman" w:eastAsia="Times New Roman" w:cs="Times New Roman"/>
                <w:b w:val="0"/>
                <w:bCs w:val="0"/>
                <w:i w:val="0"/>
                <w:iCs w:val="0"/>
                <w:color w:val="000000"/>
                <w:sz w:val="18"/>
                <w:szCs w:val="18"/>
              </w:rPr>
              <w:t>≥ 10</w:t>
            </w:r>
          </w:p>
        </w:tc>
        <w:tc>
          <w:tcPr>
            <w:tcW w:w="1600" w:type="dxa"/>
            <w:tcBorders>
              <w:top w:val="single" w:color="000000" w:sz="4" w:space="0"/>
              <w:left w:val="single" w:color="000000" w:sz="4" w:space="0"/>
              <w:bottom w:val="single" w:color="000000" w:sz="4" w:space="0"/>
              <w:right w:val="single" w:color="000000" w:sz="4" w:space="0"/>
            </w:tcBorders>
            <w:shd w:val="clear" w:color="auto" w:fill="FFC7CE"/>
            <w:tcMar>
              <w:top w:w="70" w:type="dxa"/>
              <w:left w:w="110" w:type="dxa"/>
              <w:bottom w:w="70" w:type="dxa"/>
              <w:right w:w="110" w:type="dxa"/>
            </w:tcMar>
            <w:vAlign w:val="center"/>
          </w:tcPr>
          <w:p w14:paraId="5FA7D6D2">
            <w:pPr>
              <w:jc w:val="center"/>
            </w:pPr>
            <w:r>
              <w:rPr>
                <w:rFonts w:ascii="Times New Roman" w:hAnsi="Times New Roman" w:eastAsia="Times New Roman" w:cs="Times New Roman"/>
                <w:b w:val="0"/>
                <w:bCs w:val="0"/>
                <w:i w:val="0"/>
                <w:iCs w:val="0"/>
                <w:color w:val="000000"/>
                <w:sz w:val="18"/>
                <w:szCs w:val="18"/>
              </w:rPr>
              <w:t>High Risk</w:t>
            </w:r>
          </w:p>
        </w:tc>
        <w:tc>
          <w:tcPr>
            <w:tcW w:w="3400" w:type="dxa"/>
            <w:tcBorders>
              <w:top w:val="single" w:color="000000" w:sz="4" w:space="0"/>
              <w:left w:val="single" w:color="000000" w:sz="4" w:space="0"/>
              <w:bottom w:val="single" w:color="000000" w:sz="4" w:space="0"/>
              <w:right w:val="single" w:color="000000" w:sz="4" w:space="0"/>
            </w:tcBorders>
            <w:shd w:val="clear" w:color="auto" w:fill="FFC7CE"/>
            <w:tcMar>
              <w:top w:w="70" w:type="dxa"/>
              <w:left w:w="110" w:type="dxa"/>
              <w:bottom w:w="70" w:type="dxa"/>
              <w:right w:w="110" w:type="dxa"/>
            </w:tcMar>
            <w:vAlign w:val="center"/>
          </w:tcPr>
          <w:p w14:paraId="0EDE26B7">
            <w:pPr>
              <w:jc w:val="left"/>
            </w:pPr>
            <w:r>
              <w:rPr>
                <w:rFonts w:ascii="Times New Roman" w:hAnsi="Times New Roman" w:eastAsia="Times New Roman" w:cs="Times New Roman"/>
                <w:b w:val="0"/>
                <w:bCs w:val="0"/>
                <w:i w:val="0"/>
                <w:iCs w:val="0"/>
                <w:color w:val="000000"/>
                <w:sz w:val="18"/>
                <w:szCs w:val="18"/>
              </w:rPr>
              <w:t>Immediate recalibration of the VaR model required.</w:t>
            </w:r>
          </w:p>
        </w:tc>
      </w:tr>
    </w:tbl>
    <w:p w14:paraId="15B5DAF3">
      <w:pPr>
        <w:spacing w:before="80" w:after="0" w:line="240" w:lineRule="auto"/>
      </w:pPr>
    </w:p>
    <w:p w14:paraId="0892481C">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Under the 99% VaR, the expected number of breaches in 250 days is (1−0.99)×250 = 2.50. The observed breach count over the most recent 250-day window is 4, which falls within the Green Zone (0–4 breaches), indicating that the model performs within acceptable tolerance and no immediate recalibration is required.</w:t>
      </w:r>
    </w:p>
    <w:p w14:paraId="51E678E8">
      <w:pPr>
        <w:spacing w:before="120" w:after="60" w:line="240" w:lineRule="auto"/>
        <w:jc w:val="left"/>
      </w:pPr>
      <w:r>
        <w:rPr>
          <w:rFonts w:ascii="Times New Roman" w:hAnsi="Times New Roman" w:eastAsia="Times New Roman" w:cs="Times New Roman"/>
          <w:b/>
          <w:bCs/>
          <w:i/>
          <w:iCs/>
          <w:color w:val="000000"/>
          <w:sz w:val="20"/>
          <w:szCs w:val="20"/>
        </w:rPr>
        <w:t>B. Kupiec Proportion of Failures (POF) Test</w:t>
      </w:r>
    </w:p>
    <w:p w14:paraId="5542D024">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The Kupiec POF test [6] provides a rigorous statistical framework for assessing whether the observed failure rate p̂ = x/n is consistent with the theoretical failure rate p = 1−α, where x is the number of breaches and n is the total number of observations.</w:t>
      </w:r>
    </w:p>
    <w:p w14:paraId="39038BF9">
      <w:pPr>
        <w:spacing w:before="80" w:after="40" w:line="240" w:lineRule="auto"/>
        <w:ind w:firstLine="440"/>
        <w:jc w:val="left"/>
      </w:pPr>
      <w:r>
        <w:rPr>
          <w:rFonts w:ascii="Times New Roman" w:hAnsi="Times New Roman" w:eastAsia="Times New Roman" w:cs="Times New Roman"/>
          <w:b/>
          <w:bCs/>
          <w:i w:val="0"/>
          <w:iCs w:val="0"/>
          <w:color w:val="000000"/>
          <w:sz w:val="20"/>
          <w:szCs w:val="20"/>
        </w:rPr>
        <w:t>1) Hypothesis:</w:t>
      </w:r>
    </w:p>
    <w:p w14:paraId="2CE27C48">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H₀: p̂ = p (the model is correctly calibrated).</w:t>
      </w:r>
    </w:p>
    <w:p w14:paraId="2324E681">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H₁: p̂ ≠ p (the model is mis-specified).</w:t>
      </w:r>
    </w:p>
    <w:p w14:paraId="13FCA237">
      <w:pPr>
        <w:spacing w:before="80" w:after="40" w:line="240" w:lineRule="auto"/>
        <w:ind w:firstLine="440"/>
        <w:jc w:val="left"/>
      </w:pPr>
      <w:r>
        <w:rPr>
          <w:rFonts w:ascii="Times New Roman" w:hAnsi="Times New Roman" w:eastAsia="Times New Roman" w:cs="Times New Roman"/>
          <w:b/>
          <w:bCs/>
          <w:i w:val="0"/>
          <w:iCs w:val="0"/>
          <w:color w:val="000000"/>
          <w:sz w:val="20"/>
          <w:szCs w:val="20"/>
        </w:rPr>
        <w:t>2) Test Statistic:</w:t>
      </w:r>
    </w:p>
    <w:p w14:paraId="6985AA81">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The likelihood ratio statistic is:</w:t>
      </w:r>
    </w:p>
    <w:p w14:paraId="537349FE">
      <w:pPr>
        <w:spacing w:before="60" w:after="60" w:line="240" w:lineRule="auto"/>
        <w:jc w:val="center"/>
      </w:pPr>
      <w:r>
        <w:rPr>
          <w:rFonts w:ascii="Courier New" w:hAnsi="Courier New" w:eastAsia="Courier New" w:cs="Courier New"/>
          <w:b w:val="0"/>
          <w:bCs w:val="0"/>
          <w:i w:val="0"/>
          <w:iCs w:val="0"/>
          <w:color w:val="000000"/>
          <w:sz w:val="18"/>
          <w:szCs w:val="18"/>
        </w:rPr>
        <w:t>LRₚₒⁱ = −2 ln[ pˣ(1−p)ⁿ⁻ˣ / p̂ˣ(1−p̂)ⁿ⁻ˣ ]</w:t>
      </w:r>
    </w:p>
    <w:p w14:paraId="156D2C04">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Under H₀, LRₚₒⁱ follows a χ²(1) distribution with one degree of freedom (one parameter being tested: the failure rate). The null is rejected at significance level γ if LRₚₒⁱ &gt; χ²₁₋γ(1). The critical value at γ = 5% is 3.8415.</w:t>
      </w:r>
    </w:p>
    <w:p w14:paraId="4C83325E">
      <w:pPr>
        <w:spacing w:before="80" w:after="40" w:line="240" w:lineRule="auto"/>
        <w:ind w:firstLine="440"/>
        <w:jc w:val="left"/>
      </w:pPr>
      <w:r>
        <w:rPr>
          <w:rFonts w:ascii="Times New Roman" w:hAnsi="Times New Roman" w:eastAsia="Times New Roman" w:cs="Times New Roman"/>
          <w:b/>
          <w:bCs/>
          <w:i w:val="0"/>
          <w:iCs w:val="0"/>
          <w:color w:val="000000"/>
          <w:sz w:val="20"/>
          <w:szCs w:val="20"/>
        </w:rPr>
        <w:t>3) Results:</w:t>
      </w:r>
    </w:p>
    <w:p w14:paraId="644D88DF">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Applying the Kupiec test to the full 1,565-day observation window with x = 15 breaches (vs. expected 15.65 at 99% CI):</w:t>
      </w:r>
    </w:p>
    <w:p w14:paraId="52B59CCC">
      <w:pPr>
        <w:spacing w:before="60" w:after="60" w:line="240" w:lineRule="auto"/>
        <w:jc w:val="center"/>
      </w:pPr>
      <w:r>
        <w:rPr>
          <w:rFonts w:ascii="Courier New" w:hAnsi="Courier New" w:eastAsia="Courier New" w:cs="Courier New"/>
          <w:b w:val="0"/>
          <w:bCs w:val="0"/>
          <w:i w:val="0"/>
          <w:iCs w:val="0"/>
          <w:color w:val="000000"/>
          <w:sz w:val="18"/>
          <w:szCs w:val="18"/>
        </w:rPr>
        <w:t>p̂ = 15/1565 = 0.9585%,     p = 1.00%</w:t>
      </w:r>
    </w:p>
    <w:p w14:paraId="0CAF20E6">
      <w:pPr>
        <w:spacing w:before="60" w:after="60" w:line="240" w:lineRule="auto"/>
        <w:jc w:val="center"/>
      </w:pPr>
      <w:r>
        <w:rPr>
          <w:rFonts w:ascii="Courier New" w:hAnsi="Courier New" w:eastAsia="Courier New" w:cs="Courier New"/>
          <w:b w:val="0"/>
          <w:bCs w:val="0"/>
          <w:i w:val="0"/>
          <w:iCs w:val="0"/>
          <w:color w:val="000000"/>
          <w:sz w:val="18"/>
          <w:szCs w:val="18"/>
        </w:rPr>
        <w:t>LRₚₒⁱ = 0.0277   &lt;   χ²₀.₉₅(1) = 3.8415</w:t>
      </w:r>
    </w:p>
    <w:p w14:paraId="3CDAB1F8">
      <w:pPr>
        <w:spacing w:before="60" w:after="60" w:line="240" w:lineRule="auto"/>
        <w:jc w:val="center"/>
      </w:pPr>
      <w:r>
        <w:rPr>
          <w:rFonts w:ascii="Courier New" w:hAnsi="Courier New" w:eastAsia="Courier New" w:cs="Courier New"/>
          <w:b w:val="0"/>
          <w:bCs w:val="0"/>
          <w:i w:val="0"/>
          <w:iCs w:val="0"/>
          <w:color w:val="000000"/>
          <w:sz w:val="18"/>
          <w:szCs w:val="18"/>
        </w:rPr>
        <w:t>p-value = 0.8679   &gt;   0.05</w:t>
      </w:r>
    </w:p>
    <w:p w14:paraId="067E7D94">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We fail to reject H₀ at the 5% significance level. The model is statistically adequate: the observed failure rate of 0.96% is not significantly different from the theoretical 1.00%. Table V summarises all backtesting results.</w:t>
      </w:r>
    </w:p>
    <w:p w14:paraId="57D4DBF6">
      <w:pPr>
        <w:spacing w:before="80" w:after="40" w:line="240" w:lineRule="auto"/>
        <w:jc w:val="center"/>
      </w:pPr>
      <w:r>
        <w:rPr>
          <w:rFonts w:ascii="Times New Roman" w:hAnsi="Times New Roman" w:eastAsia="Times New Roman" w:cs="Times New Roman"/>
          <w:b/>
          <w:bCs/>
          <w:i w:val="0"/>
          <w:iCs w:val="0"/>
          <w:color w:val="000000"/>
          <w:sz w:val="18"/>
          <w:szCs w:val="18"/>
        </w:rPr>
        <w:t>TABLE V.  BACKTESTING RESULTS SUMMARY</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63"/>
        <w:gridCol w:w="867"/>
        <w:gridCol w:w="920"/>
        <w:gridCol w:w="930"/>
        <w:gridCol w:w="981"/>
        <w:gridCol w:w="878"/>
        <w:gridCol w:w="861"/>
      </w:tblGrid>
      <w:tr w14:paraId="57A86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shd w:val="clear" w:color="auto" w:fill="1F3864"/>
            <w:tcMar>
              <w:top w:w="70" w:type="dxa"/>
              <w:left w:w="110" w:type="dxa"/>
              <w:bottom w:w="70" w:type="dxa"/>
              <w:right w:w="110" w:type="dxa"/>
            </w:tcMar>
            <w:vAlign w:val="center"/>
          </w:tcPr>
          <w:p w14:paraId="7098BF20">
            <w:pPr>
              <w:jc w:val="center"/>
            </w:pPr>
            <w:r>
              <w:rPr>
                <w:rFonts w:ascii="Times New Roman" w:hAnsi="Times New Roman" w:eastAsia="Times New Roman" w:cs="Times New Roman"/>
                <w:b/>
                <w:bCs/>
                <w:i w:val="0"/>
                <w:iCs w:val="0"/>
                <w:color w:val="FFFFFF"/>
                <w:sz w:val="18"/>
                <w:szCs w:val="18"/>
              </w:rPr>
              <w:t>Test</w:t>
            </w:r>
          </w:p>
        </w:tc>
        <w:tc>
          <w:tcPr>
            <w:tcW w:w="900" w:type="dxa"/>
            <w:tcBorders>
              <w:top w:val="single" w:color="000000" w:sz="4" w:space="0"/>
              <w:left w:val="single" w:color="000000" w:sz="4" w:space="0"/>
              <w:bottom w:val="single" w:color="000000" w:sz="4" w:space="0"/>
              <w:right w:val="single" w:color="000000" w:sz="4" w:space="0"/>
            </w:tcBorders>
            <w:shd w:val="clear" w:color="auto" w:fill="1F3864"/>
            <w:tcMar>
              <w:top w:w="70" w:type="dxa"/>
              <w:left w:w="110" w:type="dxa"/>
              <w:bottom w:w="70" w:type="dxa"/>
              <w:right w:w="110" w:type="dxa"/>
            </w:tcMar>
            <w:vAlign w:val="center"/>
          </w:tcPr>
          <w:p w14:paraId="1A407FFA">
            <w:pPr>
              <w:jc w:val="center"/>
            </w:pPr>
            <w:r>
              <w:rPr>
                <w:rFonts w:ascii="Times New Roman" w:hAnsi="Times New Roman" w:eastAsia="Times New Roman" w:cs="Times New Roman"/>
                <w:b/>
                <w:bCs/>
                <w:i w:val="0"/>
                <w:iCs w:val="0"/>
                <w:color w:val="FFFFFF"/>
                <w:sz w:val="18"/>
                <w:szCs w:val="18"/>
              </w:rPr>
              <w:t>N Obs</w:t>
            </w:r>
          </w:p>
        </w:tc>
        <w:tc>
          <w:tcPr>
            <w:tcW w:w="900" w:type="dxa"/>
            <w:tcBorders>
              <w:top w:val="single" w:color="000000" w:sz="4" w:space="0"/>
              <w:left w:val="single" w:color="000000" w:sz="4" w:space="0"/>
              <w:bottom w:val="single" w:color="000000" w:sz="4" w:space="0"/>
              <w:right w:val="single" w:color="000000" w:sz="4" w:space="0"/>
            </w:tcBorders>
            <w:shd w:val="clear" w:color="auto" w:fill="1F3864"/>
            <w:tcMar>
              <w:top w:w="70" w:type="dxa"/>
              <w:left w:w="110" w:type="dxa"/>
              <w:bottom w:w="70" w:type="dxa"/>
              <w:right w:w="110" w:type="dxa"/>
            </w:tcMar>
            <w:vAlign w:val="center"/>
          </w:tcPr>
          <w:p w14:paraId="3E41BE4A">
            <w:pPr>
              <w:jc w:val="center"/>
            </w:pPr>
            <w:r>
              <w:rPr>
                <w:rFonts w:ascii="Times New Roman" w:hAnsi="Times New Roman" w:eastAsia="Times New Roman" w:cs="Times New Roman"/>
                <w:b/>
                <w:bCs/>
                <w:i w:val="0"/>
                <w:iCs w:val="0"/>
                <w:color w:val="FFFFFF"/>
                <w:sz w:val="18"/>
                <w:szCs w:val="18"/>
              </w:rPr>
              <w:t>Breaches</w:t>
            </w:r>
          </w:p>
        </w:tc>
        <w:tc>
          <w:tcPr>
            <w:tcW w:w="900" w:type="dxa"/>
            <w:tcBorders>
              <w:top w:val="single" w:color="000000" w:sz="4" w:space="0"/>
              <w:left w:val="single" w:color="000000" w:sz="4" w:space="0"/>
              <w:bottom w:val="single" w:color="000000" w:sz="4" w:space="0"/>
              <w:right w:val="single" w:color="000000" w:sz="4" w:space="0"/>
            </w:tcBorders>
            <w:shd w:val="clear" w:color="auto" w:fill="1F3864"/>
            <w:tcMar>
              <w:top w:w="70" w:type="dxa"/>
              <w:left w:w="110" w:type="dxa"/>
              <w:bottom w:w="70" w:type="dxa"/>
              <w:right w:w="110" w:type="dxa"/>
            </w:tcMar>
            <w:vAlign w:val="center"/>
          </w:tcPr>
          <w:p w14:paraId="681199AE">
            <w:pPr>
              <w:jc w:val="center"/>
            </w:pPr>
            <w:r>
              <w:rPr>
                <w:rFonts w:ascii="Times New Roman" w:hAnsi="Times New Roman" w:eastAsia="Times New Roman" w:cs="Times New Roman"/>
                <w:b/>
                <w:bCs/>
                <w:i w:val="0"/>
                <w:iCs w:val="0"/>
                <w:color w:val="FFFFFF"/>
                <w:sz w:val="18"/>
                <w:szCs w:val="18"/>
              </w:rPr>
              <w:t>Expected</w:t>
            </w:r>
          </w:p>
        </w:tc>
        <w:tc>
          <w:tcPr>
            <w:tcW w:w="1000" w:type="dxa"/>
            <w:tcBorders>
              <w:top w:val="single" w:color="000000" w:sz="4" w:space="0"/>
              <w:left w:val="single" w:color="000000" w:sz="4" w:space="0"/>
              <w:bottom w:val="single" w:color="000000" w:sz="4" w:space="0"/>
              <w:right w:val="single" w:color="000000" w:sz="4" w:space="0"/>
            </w:tcBorders>
            <w:shd w:val="clear" w:color="auto" w:fill="1F3864"/>
            <w:tcMar>
              <w:top w:w="70" w:type="dxa"/>
              <w:left w:w="110" w:type="dxa"/>
              <w:bottom w:w="70" w:type="dxa"/>
              <w:right w:w="110" w:type="dxa"/>
            </w:tcMar>
            <w:vAlign w:val="center"/>
          </w:tcPr>
          <w:p w14:paraId="580A88D9">
            <w:pPr>
              <w:jc w:val="center"/>
            </w:pPr>
            <w:r>
              <w:rPr>
                <w:rFonts w:ascii="Times New Roman" w:hAnsi="Times New Roman" w:eastAsia="Times New Roman" w:cs="Times New Roman"/>
                <w:b/>
                <w:bCs/>
                <w:i w:val="0"/>
                <w:iCs w:val="0"/>
                <w:color w:val="FFFFFF"/>
                <w:sz w:val="18"/>
                <w:szCs w:val="18"/>
              </w:rPr>
              <w:t>Statistic</w:t>
            </w:r>
          </w:p>
        </w:tc>
        <w:tc>
          <w:tcPr>
            <w:tcW w:w="900" w:type="dxa"/>
            <w:tcBorders>
              <w:top w:val="single" w:color="000000" w:sz="4" w:space="0"/>
              <w:left w:val="single" w:color="000000" w:sz="4" w:space="0"/>
              <w:bottom w:val="single" w:color="000000" w:sz="4" w:space="0"/>
              <w:right w:val="single" w:color="000000" w:sz="4" w:space="0"/>
            </w:tcBorders>
            <w:shd w:val="clear" w:color="auto" w:fill="1F3864"/>
            <w:tcMar>
              <w:top w:w="70" w:type="dxa"/>
              <w:left w:w="110" w:type="dxa"/>
              <w:bottom w:w="70" w:type="dxa"/>
              <w:right w:w="110" w:type="dxa"/>
            </w:tcMar>
            <w:vAlign w:val="center"/>
          </w:tcPr>
          <w:p w14:paraId="4B5AC273">
            <w:pPr>
              <w:jc w:val="center"/>
            </w:pPr>
            <w:r>
              <w:rPr>
                <w:rFonts w:ascii="Times New Roman" w:hAnsi="Times New Roman" w:eastAsia="Times New Roman" w:cs="Times New Roman"/>
                <w:b/>
                <w:bCs/>
                <w:i w:val="0"/>
                <w:iCs w:val="0"/>
                <w:color w:val="FFFFFF"/>
                <w:sz w:val="18"/>
                <w:szCs w:val="18"/>
              </w:rPr>
              <w:t>p-value</w:t>
            </w:r>
          </w:p>
        </w:tc>
        <w:tc>
          <w:tcPr>
            <w:tcW w:w="700" w:type="dxa"/>
            <w:tcBorders>
              <w:top w:val="single" w:color="000000" w:sz="4" w:space="0"/>
              <w:left w:val="single" w:color="000000" w:sz="4" w:space="0"/>
              <w:bottom w:val="single" w:color="000000" w:sz="4" w:space="0"/>
              <w:right w:val="single" w:color="000000" w:sz="4" w:space="0"/>
            </w:tcBorders>
            <w:shd w:val="clear" w:color="auto" w:fill="1F3864"/>
            <w:tcMar>
              <w:top w:w="70" w:type="dxa"/>
              <w:left w:w="110" w:type="dxa"/>
              <w:bottom w:w="70" w:type="dxa"/>
              <w:right w:w="110" w:type="dxa"/>
            </w:tcMar>
            <w:vAlign w:val="center"/>
          </w:tcPr>
          <w:p w14:paraId="7141A151">
            <w:pPr>
              <w:jc w:val="center"/>
            </w:pPr>
            <w:r>
              <w:rPr>
                <w:rFonts w:ascii="Times New Roman" w:hAnsi="Times New Roman" w:eastAsia="Times New Roman" w:cs="Times New Roman"/>
                <w:b/>
                <w:bCs/>
                <w:i w:val="0"/>
                <w:iCs w:val="0"/>
                <w:color w:val="FFFFFF"/>
                <w:sz w:val="18"/>
                <w:szCs w:val="18"/>
              </w:rPr>
              <w:t>Verdict</w:t>
            </w:r>
          </w:p>
        </w:tc>
      </w:tr>
      <w:tr w14:paraId="473FC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shd w:val="clear" w:color="auto" w:fill="C6EFCE"/>
            <w:tcMar>
              <w:top w:w="70" w:type="dxa"/>
              <w:left w:w="110" w:type="dxa"/>
              <w:bottom w:w="70" w:type="dxa"/>
              <w:right w:w="110" w:type="dxa"/>
            </w:tcMar>
            <w:vAlign w:val="center"/>
          </w:tcPr>
          <w:p w14:paraId="56EC3029">
            <w:pPr>
              <w:jc w:val="left"/>
            </w:pPr>
            <w:r>
              <w:rPr>
                <w:rFonts w:ascii="Times New Roman" w:hAnsi="Times New Roman" w:eastAsia="Times New Roman" w:cs="Times New Roman"/>
                <w:b/>
                <w:bCs/>
                <w:i w:val="0"/>
                <w:iCs w:val="0"/>
                <w:color w:val="000000"/>
                <w:sz w:val="18"/>
                <w:szCs w:val="18"/>
              </w:rPr>
              <w:t>Traffic Light (Basel III)</w:t>
            </w:r>
          </w:p>
        </w:tc>
        <w:tc>
          <w:tcPr>
            <w:tcW w:w="900" w:type="dxa"/>
            <w:tcBorders>
              <w:top w:val="single" w:color="000000" w:sz="4" w:space="0"/>
              <w:left w:val="single" w:color="000000" w:sz="4" w:space="0"/>
              <w:bottom w:val="single" w:color="000000" w:sz="4" w:space="0"/>
              <w:right w:val="single" w:color="000000" w:sz="4" w:space="0"/>
            </w:tcBorders>
            <w:shd w:val="clear" w:color="auto" w:fill="C6EFCE"/>
            <w:tcMar>
              <w:top w:w="70" w:type="dxa"/>
              <w:left w:w="110" w:type="dxa"/>
              <w:bottom w:w="70" w:type="dxa"/>
              <w:right w:w="110" w:type="dxa"/>
            </w:tcMar>
            <w:vAlign w:val="center"/>
          </w:tcPr>
          <w:p w14:paraId="5409D475">
            <w:pPr>
              <w:jc w:val="center"/>
            </w:pPr>
            <w:r>
              <w:rPr>
                <w:rFonts w:ascii="Times New Roman" w:hAnsi="Times New Roman" w:eastAsia="Times New Roman" w:cs="Times New Roman"/>
                <w:b w:val="0"/>
                <w:bCs w:val="0"/>
                <w:i w:val="0"/>
                <w:iCs w:val="0"/>
                <w:color w:val="000000"/>
                <w:sz w:val="18"/>
                <w:szCs w:val="18"/>
              </w:rPr>
              <w:t>250</w:t>
            </w:r>
          </w:p>
        </w:tc>
        <w:tc>
          <w:tcPr>
            <w:tcW w:w="900" w:type="dxa"/>
            <w:tcBorders>
              <w:top w:val="single" w:color="000000" w:sz="4" w:space="0"/>
              <w:left w:val="single" w:color="000000" w:sz="4" w:space="0"/>
              <w:bottom w:val="single" w:color="000000" w:sz="4" w:space="0"/>
              <w:right w:val="single" w:color="000000" w:sz="4" w:space="0"/>
            </w:tcBorders>
            <w:shd w:val="clear" w:color="auto" w:fill="C6EFCE"/>
            <w:tcMar>
              <w:top w:w="70" w:type="dxa"/>
              <w:left w:w="110" w:type="dxa"/>
              <w:bottom w:w="70" w:type="dxa"/>
              <w:right w:w="110" w:type="dxa"/>
            </w:tcMar>
            <w:vAlign w:val="center"/>
          </w:tcPr>
          <w:p w14:paraId="7A20CCDD">
            <w:pPr>
              <w:jc w:val="center"/>
            </w:pPr>
            <w:r>
              <w:rPr>
                <w:rFonts w:ascii="Times New Roman" w:hAnsi="Times New Roman" w:eastAsia="Times New Roman" w:cs="Times New Roman"/>
                <w:b/>
                <w:bCs/>
                <w:i w:val="0"/>
                <w:iCs w:val="0"/>
                <w:color w:val="000000"/>
                <w:sz w:val="18"/>
                <w:szCs w:val="18"/>
              </w:rPr>
              <w:t>4</w:t>
            </w:r>
          </w:p>
        </w:tc>
        <w:tc>
          <w:tcPr>
            <w:tcW w:w="900" w:type="dxa"/>
            <w:tcBorders>
              <w:top w:val="single" w:color="000000" w:sz="4" w:space="0"/>
              <w:left w:val="single" w:color="000000" w:sz="4" w:space="0"/>
              <w:bottom w:val="single" w:color="000000" w:sz="4" w:space="0"/>
              <w:right w:val="single" w:color="000000" w:sz="4" w:space="0"/>
            </w:tcBorders>
            <w:shd w:val="clear" w:color="auto" w:fill="C6EFCE"/>
            <w:tcMar>
              <w:top w:w="70" w:type="dxa"/>
              <w:left w:w="110" w:type="dxa"/>
              <w:bottom w:w="70" w:type="dxa"/>
              <w:right w:w="110" w:type="dxa"/>
            </w:tcMar>
            <w:vAlign w:val="center"/>
          </w:tcPr>
          <w:p w14:paraId="2C65EFB3">
            <w:pPr>
              <w:jc w:val="center"/>
            </w:pPr>
            <w:r>
              <w:rPr>
                <w:rFonts w:ascii="Times New Roman" w:hAnsi="Times New Roman" w:eastAsia="Times New Roman" w:cs="Times New Roman"/>
                <w:b w:val="0"/>
                <w:bCs w:val="0"/>
                <w:i w:val="0"/>
                <w:iCs w:val="0"/>
                <w:color w:val="000000"/>
                <w:sz w:val="18"/>
                <w:szCs w:val="18"/>
              </w:rPr>
              <w:t>2.50</w:t>
            </w:r>
          </w:p>
        </w:tc>
        <w:tc>
          <w:tcPr>
            <w:tcW w:w="1000" w:type="dxa"/>
            <w:tcBorders>
              <w:top w:val="single" w:color="000000" w:sz="4" w:space="0"/>
              <w:left w:val="single" w:color="000000" w:sz="4" w:space="0"/>
              <w:bottom w:val="single" w:color="000000" w:sz="4" w:space="0"/>
              <w:right w:val="single" w:color="000000" w:sz="4" w:space="0"/>
            </w:tcBorders>
            <w:shd w:val="clear" w:color="auto" w:fill="C6EFCE"/>
            <w:tcMar>
              <w:top w:w="70" w:type="dxa"/>
              <w:left w:w="110" w:type="dxa"/>
              <w:bottom w:w="70" w:type="dxa"/>
              <w:right w:w="110" w:type="dxa"/>
            </w:tcMar>
            <w:vAlign w:val="center"/>
          </w:tcPr>
          <w:p w14:paraId="3FE41457">
            <w:pPr>
              <w:jc w:val="center"/>
            </w:pPr>
            <w:r>
              <w:rPr>
                <w:rFonts w:ascii="Times New Roman" w:hAnsi="Times New Roman" w:eastAsia="Times New Roman" w:cs="Times New Roman"/>
                <w:b w:val="0"/>
                <w:bCs w:val="0"/>
                <w:i w:val="0"/>
                <w:iCs w:val="0"/>
                <w:color w:val="000000"/>
                <w:sz w:val="18"/>
                <w:szCs w:val="18"/>
              </w:rPr>
              <w:t>—</w:t>
            </w:r>
          </w:p>
        </w:tc>
        <w:tc>
          <w:tcPr>
            <w:tcW w:w="900" w:type="dxa"/>
            <w:tcBorders>
              <w:top w:val="single" w:color="000000" w:sz="4" w:space="0"/>
              <w:left w:val="single" w:color="000000" w:sz="4" w:space="0"/>
              <w:bottom w:val="single" w:color="000000" w:sz="4" w:space="0"/>
              <w:right w:val="single" w:color="000000" w:sz="4" w:space="0"/>
            </w:tcBorders>
            <w:shd w:val="clear" w:color="auto" w:fill="C6EFCE"/>
            <w:tcMar>
              <w:top w:w="70" w:type="dxa"/>
              <w:left w:w="110" w:type="dxa"/>
              <w:bottom w:w="70" w:type="dxa"/>
              <w:right w:w="110" w:type="dxa"/>
            </w:tcMar>
            <w:vAlign w:val="center"/>
          </w:tcPr>
          <w:p w14:paraId="13BF8D3F">
            <w:pPr>
              <w:jc w:val="center"/>
            </w:pPr>
            <w:r>
              <w:rPr>
                <w:rFonts w:ascii="Times New Roman" w:hAnsi="Times New Roman" w:eastAsia="Times New Roman" w:cs="Times New Roman"/>
                <w:b w:val="0"/>
                <w:bCs w:val="0"/>
                <w:i w:val="0"/>
                <w:iCs w:val="0"/>
                <w:color w:val="000000"/>
                <w:sz w:val="18"/>
                <w:szCs w:val="18"/>
              </w:rPr>
              <w:t>—</w:t>
            </w:r>
          </w:p>
        </w:tc>
        <w:tc>
          <w:tcPr>
            <w:tcW w:w="700" w:type="dxa"/>
            <w:tcBorders>
              <w:top w:val="single" w:color="000000" w:sz="4" w:space="0"/>
              <w:left w:val="single" w:color="000000" w:sz="4" w:space="0"/>
              <w:bottom w:val="single" w:color="000000" w:sz="4" w:space="0"/>
              <w:right w:val="single" w:color="000000" w:sz="4" w:space="0"/>
            </w:tcBorders>
            <w:shd w:val="clear" w:color="auto" w:fill="C6EFCE"/>
            <w:tcMar>
              <w:top w:w="70" w:type="dxa"/>
              <w:left w:w="110" w:type="dxa"/>
              <w:bottom w:w="70" w:type="dxa"/>
              <w:right w:w="110" w:type="dxa"/>
            </w:tcMar>
            <w:vAlign w:val="center"/>
          </w:tcPr>
          <w:p w14:paraId="1C9D0A03">
            <w:pPr>
              <w:jc w:val="center"/>
            </w:pPr>
            <w:r>
              <w:rPr>
                <w:rFonts w:ascii="Times New Roman" w:hAnsi="Times New Roman" w:eastAsia="Times New Roman" w:cs="Times New Roman"/>
                <w:b/>
                <w:bCs/>
                <w:i w:val="0"/>
                <w:iCs w:val="0"/>
                <w:color w:val="375623"/>
                <w:sz w:val="18"/>
                <w:szCs w:val="18"/>
              </w:rPr>
              <w:t>GREEN</w:t>
            </w:r>
          </w:p>
        </w:tc>
      </w:tr>
      <w:tr w14:paraId="47786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shd w:val="clear" w:color="auto" w:fill="C6EFCE"/>
            <w:tcMar>
              <w:top w:w="70" w:type="dxa"/>
              <w:left w:w="110" w:type="dxa"/>
              <w:bottom w:w="70" w:type="dxa"/>
              <w:right w:w="110" w:type="dxa"/>
            </w:tcMar>
            <w:vAlign w:val="center"/>
          </w:tcPr>
          <w:p w14:paraId="3D6FE017">
            <w:pPr>
              <w:jc w:val="left"/>
            </w:pPr>
            <w:r>
              <w:rPr>
                <w:rFonts w:ascii="Times New Roman" w:hAnsi="Times New Roman" w:eastAsia="Times New Roman" w:cs="Times New Roman"/>
                <w:b/>
                <w:bCs/>
                <w:i w:val="0"/>
                <w:iCs w:val="0"/>
                <w:color w:val="000000"/>
                <w:sz w:val="18"/>
                <w:szCs w:val="18"/>
              </w:rPr>
              <w:t>Kupiec POF Test</w:t>
            </w:r>
          </w:p>
        </w:tc>
        <w:tc>
          <w:tcPr>
            <w:tcW w:w="900" w:type="dxa"/>
            <w:tcBorders>
              <w:top w:val="single" w:color="000000" w:sz="4" w:space="0"/>
              <w:left w:val="single" w:color="000000" w:sz="4" w:space="0"/>
              <w:bottom w:val="single" w:color="000000" w:sz="4" w:space="0"/>
              <w:right w:val="single" w:color="000000" w:sz="4" w:space="0"/>
            </w:tcBorders>
            <w:shd w:val="clear" w:color="auto" w:fill="C6EFCE"/>
            <w:tcMar>
              <w:top w:w="70" w:type="dxa"/>
              <w:left w:w="110" w:type="dxa"/>
              <w:bottom w:w="70" w:type="dxa"/>
              <w:right w:w="110" w:type="dxa"/>
            </w:tcMar>
            <w:vAlign w:val="center"/>
          </w:tcPr>
          <w:p w14:paraId="455D7E1A">
            <w:pPr>
              <w:jc w:val="center"/>
            </w:pPr>
            <w:r>
              <w:rPr>
                <w:rFonts w:ascii="Times New Roman" w:hAnsi="Times New Roman" w:eastAsia="Times New Roman" w:cs="Times New Roman"/>
                <w:b w:val="0"/>
                <w:bCs w:val="0"/>
                <w:i w:val="0"/>
                <w:iCs w:val="0"/>
                <w:color w:val="000000"/>
                <w:sz w:val="18"/>
                <w:szCs w:val="18"/>
              </w:rPr>
              <w:t>1,565</w:t>
            </w:r>
          </w:p>
        </w:tc>
        <w:tc>
          <w:tcPr>
            <w:tcW w:w="900" w:type="dxa"/>
            <w:tcBorders>
              <w:top w:val="single" w:color="000000" w:sz="4" w:space="0"/>
              <w:left w:val="single" w:color="000000" w:sz="4" w:space="0"/>
              <w:bottom w:val="single" w:color="000000" w:sz="4" w:space="0"/>
              <w:right w:val="single" w:color="000000" w:sz="4" w:space="0"/>
            </w:tcBorders>
            <w:shd w:val="clear" w:color="auto" w:fill="C6EFCE"/>
            <w:tcMar>
              <w:top w:w="70" w:type="dxa"/>
              <w:left w:w="110" w:type="dxa"/>
              <w:bottom w:w="70" w:type="dxa"/>
              <w:right w:w="110" w:type="dxa"/>
            </w:tcMar>
            <w:vAlign w:val="center"/>
          </w:tcPr>
          <w:p w14:paraId="22146128">
            <w:pPr>
              <w:jc w:val="center"/>
            </w:pPr>
            <w:r>
              <w:rPr>
                <w:rFonts w:ascii="Times New Roman" w:hAnsi="Times New Roman" w:eastAsia="Times New Roman" w:cs="Times New Roman"/>
                <w:b/>
                <w:bCs/>
                <w:i w:val="0"/>
                <w:iCs w:val="0"/>
                <w:color w:val="000000"/>
                <w:sz w:val="18"/>
                <w:szCs w:val="18"/>
              </w:rPr>
              <w:t>15</w:t>
            </w:r>
          </w:p>
        </w:tc>
        <w:tc>
          <w:tcPr>
            <w:tcW w:w="900" w:type="dxa"/>
            <w:tcBorders>
              <w:top w:val="single" w:color="000000" w:sz="4" w:space="0"/>
              <w:left w:val="single" w:color="000000" w:sz="4" w:space="0"/>
              <w:bottom w:val="single" w:color="000000" w:sz="4" w:space="0"/>
              <w:right w:val="single" w:color="000000" w:sz="4" w:space="0"/>
            </w:tcBorders>
            <w:shd w:val="clear" w:color="auto" w:fill="C6EFCE"/>
            <w:tcMar>
              <w:top w:w="70" w:type="dxa"/>
              <w:left w:w="110" w:type="dxa"/>
              <w:bottom w:w="70" w:type="dxa"/>
              <w:right w:w="110" w:type="dxa"/>
            </w:tcMar>
            <w:vAlign w:val="center"/>
          </w:tcPr>
          <w:p w14:paraId="664F9C47">
            <w:pPr>
              <w:jc w:val="center"/>
            </w:pPr>
            <w:r>
              <w:rPr>
                <w:rFonts w:ascii="Times New Roman" w:hAnsi="Times New Roman" w:eastAsia="Times New Roman" w:cs="Times New Roman"/>
                <w:b w:val="0"/>
                <w:bCs w:val="0"/>
                <w:i w:val="0"/>
                <w:iCs w:val="0"/>
                <w:color w:val="000000"/>
                <w:sz w:val="18"/>
                <w:szCs w:val="18"/>
              </w:rPr>
              <w:t>15.65</w:t>
            </w:r>
          </w:p>
        </w:tc>
        <w:tc>
          <w:tcPr>
            <w:tcW w:w="1000" w:type="dxa"/>
            <w:tcBorders>
              <w:top w:val="single" w:color="000000" w:sz="4" w:space="0"/>
              <w:left w:val="single" w:color="000000" w:sz="4" w:space="0"/>
              <w:bottom w:val="single" w:color="000000" w:sz="4" w:space="0"/>
              <w:right w:val="single" w:color="000000" w:sz="4" w:space="0"/>
            </w:tcBorders>
            <w:shd w:val="clear" w:color="auto" w:fill="C6EFCE"/>
            <w:tcMar>
              <w:top w:w="70" w:type="dxa"/>
              <w:left w:w="110" w:type="dxa"/>
              <w:bottom w:w="70" w:type="dxa"/>
              <w:right w:w="110" w:type="dxa"/>
            </w:tcMar>
            <w:vAlign w:val="center"/>
          </w:tcPr>
          <w:p w14:paraId="6871FCCF">
            <w:pPr>
              <w:jc w:val="center"/>
            </w:pPr>
            <w:r>
              <w:rPr>
                <w:rFonts w:ascii="Times New Roman" w:hAnsi="Times New Roman" w:eastAsia="Times New Roman" w:cs="Times New Roman"/>
                <w:b w:val="0"/>
                <w:bCs w:val="0"/>
                <w:i w:val="0"/>
                <w:iCs w:val="0"/>
                <w:color w:val="000000"/>
                <w:sz w:val="18"/>
                <w:szCs w:val="18"/>
              </w:rPr>
              <w:t>LR = 0.0277</w:t>
            </w:r>
          </w:p>
        </w:tc>
        <w:tc>
          <w:tcPr>
            <w:tcW w:w="900" w:type="dxa"/>
            <w:tcBorders>
              <w:top w:val="single" w:color="000000" w:sz="4" w:space="0"/>
              <w:left w:val="single" w:color="000000" w:sz="4" w:space="0"/>
              <w:bottom w:val="single" w:color="000000" w:sz="4" w:space="0"/>
              <w:right w:val="single" w:color="000000" w:sz="4" w:space="0"/>
            </w:tcBorders>
            <w:shd w:val="clear" w:color="auto" w:fill="C6EFCE"/>
            <w:tcMar>
              <w:top w:w="70" w:type="dxa"/>
              <w:left w:w="110" w:type="dxa"/>
              <w:bottom w:w="70" w:type="dxa"/>
              <w:right w:w="110" w:type="dxa"/>
            </w:tcMar>
            <w:vAlign w:val="center"/>
          </w:tcPr>
          <w:p w14:paraId="29117244">
            <w:pPr>
              <w:jc w:val="center"/>
            </w:pPr>
            <w:r>
              <w:rPr>
                <w:rFonts w:ascii="Times New Roman" w:hAnsi="Times New Roman" w:eastAsia="Times New Roman" w:cs="Times New Roman"/>
                <w:b w:val="0"/>
                <w:bCs w:val="0"/>
                <w:i w:val="0"/>
                <w:iCs w:val="0"/>
                <w:color w:val="000000"/>
                <w:sz w:val="18"/>
                <w:szCs w:val="18"/>
              </w:rPr>
              <w:t>0.8679</w:t>
            </w:r>
          </w:p>
        </w:tc>
        <w:tc>
          <w:tcPr>
            <w:tcW w:w="700" w:type="dxa"/>
            <w:tcBorders>
              <w:top w:val="single" w:color="000000" w:sz="4" w:space="0"/>
              <w:left w:val="single" w:color="000000" w:sz="4" w:space="0"/>
              <w:bottom w:val="single" w:color="000000" w:sz="4" w:space="0"/>
              <w:right w:val="single" w:color="000000" w:sz="4" w:space="0"/>
            </w:tcBorders>
            <w:shd w:val="clear" w:color="auto" w:fill="C6EFCE"/>
            <w:tcMar>
              <w:top w:w="70" w:type="dxa"/>
              <w:left w:w="110" w:type="dxa"/>
              <w:bottom w:w="70" w:type="dxa"/>
              <w:right w:w="110" w:type="dxa"/>
            </w:tcMar>
            <w:vAlign w:val="center"/>
          </w:tcPr>
          <w:p w14:paraId="24ECB892">
            <w:pPr>
              <w:jc w:val="center"/>
            </w:pPr>
            <w:r>
              <w:rPr>
                <w:rFonts w:ascii="Times New Roman" w:hAnsi="Times New Roman" w:eastAsia="Times New Roman" w:cs="Times New Roman"/>
                <w:b/>
                <w:bCs/>
                <w:i w:val="0"/>
                <w:iCs w:val="0"/>
                <w:color w:val="375623"/>
                <w:sz w:val="18"/>
                <w:szCs w:val="18"/>
              </w:rPr>
              <w:t>PASS</w:t>
            </w:r>
          </w:p>
        </w:tc>
      </w:tr>
    </w:tbl>
    <w:p w14:paraId="1C7B9E4D">
      <w:pPr>
        <w:spacing w:before="80" w:after="0" w:line="240" w:lineRule="auto"/>
      </w:pPr>
    </w:p>
    <w:p w14:paraId="3C00D6C2">
      <w:pPr>
        <w:spacing w:before="160" w:after="80" w:line="240" w:lineRule="auto"/>
        <w:jc w:val="center"/>
      </w:pPr>
      <w:r>
        <w:rPr>
          <w:rFonts w:ascii="Times New Roman" w:hAnsi="Times New Roman" w:eastAsia="Times New Roman" w:cs="Times New Roman"/>
          <w:b/>
          <w:bCs/>
          <w:i w:val="0"/>
          <w:iCs w:val="0"/>
          <w:color w:val="000000"/>
          <w:sz w:val="22"/>
          <w:szCs w:val="22"/>
        </w:rPr>
        <w:t>VI.  STREAMLIT WEB APPLICATION</w:t>
      </w:r>
    </w:p>
    <w:p w14:paraId="449CA300">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An interactive Streamlit [7] dashboard integrates all components of the risk modelling pipeline into a unified four-tab interface, enabling analysts to reproduce and explore all results without writing code.</w:t>
      </w:r>
    </w:p>
    <w:p w14:paraId="3528A1E6">
      <w:pPr>
        <w:spacing w:before="120" w:after="60" w:line="240" w:lineRule="auto"/>
        <w:jc w:val="left"/>
      </w:pPr>
      <w:r>
        <w:rPr>
          <w:rFonts w:ascii="Times New Roman" w:hAnsi="Times New Roman" w:eastAsia="Times New Roman" w:cs="Times New Roman"/>
          <w:b/>
          <w:bCs/>
          <w:i/>
          <w:iCs/>
          <w:color w:val="000000"/>
          <w:sz w:val="20"/>
          <w:szCs w:val="20"/>
        </w:rPr>
        <w:t>A. Tab 1 – Portfolio Construction</w:t>
      </w:r>
    </w:p>
    <w:p w14:paraId="0406EFDB">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The portfolio tab displays the optimal Markowitz weights as a donut chart and renders the efficient frontier from 5,000 Monte Carlo simulated portfolios, annotating the Max-Sharpe and Min-Variance portfolios. Cumulative return time series for individual stocks and the portfolio are plotted with interactive hover.</w:t>
      </w:r>
    </w:p>
    <w:p w14:paraId="115DC4D9">
      <w:pPr>
        <w:spacing w:before="120" w:after="60" w:line="240" w:lineRule="auto"/>
        <w:jc w:val="left"/>
      </w:pPr>
      <w:r>
        <w:rPr>
          <w:rFonts w:ascii="Times New Roman" w:hAnsi="Times New Roman" w:eastAsia="Times New Roman" w:cs="Times New Roman"/>
          <w:b/>
          <w:bCs/>
          <w:i/>
          <w:iCs/>
          <w:color w:val="000000"/>
          <w:sz w:val="20"/>
          <w:szCs w:val="20"/>
        </w:rPr>
        <w:t>B. Tab 2 – VaR Calculation</w:t>
      </w:r>
    </w:p>
    <w:p w14:paraId="5DFEDE09">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The VaR tab presents a comparative table of all three methods' VaR and ES estimates. It renders the empirical return distribution with the VaR threshold and tail highlighted (Historical Simulation), the fitted normal density curve with the tail area shaded (Variance-Covariance), and the Monte Carlo simulated return distribution with the VaR cut-off (Monte Carlo). Interactive sidebar controls allow the user to adjust the confidence level (95%, 99%, 99.9%), portfolio value, holding period, and number of MC simulations.</w:t>
      </w:r>
    </w:p>
    <w:p w14:paraId="35B87EE0">
      <w:pPr>
        <w:spacing w:before="120" w:after="60" w:line="240" w:lineRule="auto"/>
        <w:jc w:val="left"/>
      </w:pPr>
      <w:r>
        <w:rPr>
          <w:rFonts w:ascii="Times New Roman" w:hAnsi="Times New Roman" w:eastAsia="Times New Roman" w:cs="Times New Roman"/>
          <w:b/>
          <w:bCs/>
          <w:i/>
          <w:iCs/>
          <w:color w:val="000000"/>
          <w:sz w:val="20"/>
          <w:szCs w:val="20"/>
        </w:rPr>
        <w:t>C. Tab 3 – Backtesting</w:t>
      </w:r>
    </w:p>
    <w:p w14:paraId="7765C754">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The backtesting tab displays detailed results for both the Traffic Light Approach and the Kupiec POF test, colour-coded by zone (Green/Yellow/Red). A breach timeline chart plots actual daily returns against the VaR threshold, marking each breach with a red marker. A Basel zone classification bar renders the three-zone spectrum for visual reference.</w:t>
      </w:r>
    </w:p>
    <w:p w14:paraId="1D565F81">
      <w:pPr>
        <w:spacing w:before="120" w:after="60" w:line="240" w:lineRule="auto"/>
        <w:jc w:val="left"/>
      </w:pPr>
      <w:r>
        <w:rPr>
          <w:rFonts w:ascii="Times New Roman" w:hAnsi="Times New Roman" w:eastAsia="Times New Roman" w:cs="Times New Roman"/>
          <w:b/>
          <w:bCs/>
          <w:i/>
          <w:iCs/>
          <w:color w:val="000000"/>
          <w:sz w:val="20"/>
          <w:szCs w:val="20"/>
        </w:rPr>
        <w:t>D. Tab 4 – Summary</w:t>
      </w:r>
    </w:p>
    <w:p w14:paraId="1FBC6484">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The summary tab consolidates portfolio weights, VaR/ES estimates from all three methods, and backtesting verdicts in a single view. A grouped bar chart compares VaR and ES dollar amounts across methods. A collapsible methodology panel provides full theoretical and computational documentation for each component.</w:t>
      </w:r>
    </w:p>
    <w:p w14:paraId="252A5F48">
      <w:pPr>
        <w:spacing w:before="160" w:after="80" w:line="240" w:lineRule="auto"/>
        <w:jc w:val="center"/>
      </w:pPr>
      <w:r>
        <w:rPr>
          <w:rFonts w:ascii="Times New Roman" w:hAnsi="Times New Roman" w:eastAsia="Times New Roman" w:cs="Times New Roman"/>
          <w:b/>
          <w:bCs/>
          <w:i w:val="0"/>
          <w:iCs w:val="0"/>
          <w:color w:val="000000"/>
          <w:sz w:val="22"/>
          <w:szCs w:val="22"/>
        </w:rPr>
        <w:t>VII.  CONCLUSION</w:t>
      </w:r>
    </w:p>
    <w:p w14:paraId="04ACF77D">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This paper has presented an end-to-end risk modelling framework for an equity portfolio composed of three major US financial stocks. The Markowitz Max-Sharpe optimiser allocated the full $1,000,000 portfolio to Bank of America, yielding an annualised Sharpe ratio of 0.5542. Three VaR methodologies—Historical Simulation, Variance-Covariance, and Monte Carlo with GBM and Cholesky decomposition—produced consistent 1-day 99% VaR estimates ranging from $31,676 to $32,141, validating the robustness of the estimates across approaches.</w:t>
      </w:r>
    </w:p>
    <w:p w14:paraId="49961431">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Backtesting confirmed model adequacy: the Basel Traffic Light approach classified the model in the Green Zone with only 4 breaches in 250 days, and the Kupiec POF test returned a likelihood ratio statistic of 0.0277 (p = 0.8679), well below the 5% critical value of 3.8415. Expected Shortfall estimates of approximately $35,000–$37,000 quantify tail-loss severity beyond the VaR threshold, providing a more complete picture of downside risk.</w:t>
      </w:r>
    </w:p>
    <w:p w14:paraId="4B577288">
      <w:pPr>
        <w:spacing w:before="0" w:after="80" w:line="240" w:lineRule="auto"/>
        <w:ind w:firstLine="440"/>
        <w:jc w:val="both"/>
      </w:pPr>
      <w:r>
        <w:rPr>
          <w:rFonts w:ascii="Times New Roman" w:hAnsi="Times New Roman" w:eastAsia="Times New Roman" w:cs="Times New Roman"/>
          <w:b w:val="0"/>
          <w:bCs w:val="0"/>
          <w:i w:val="0"/>
          <w:iCs w:val="0"/>
          <w:color w:val="000000"/>
          <w:sz w:val="20"/>
          <w:szCs w:val="20"/>
        </w:rPr>
        <w:t>Future work will extend the framework in three directions. First, incorporating additional asset classes (fixed income, commodities, derivatives) will test the MC approach's ability to handle non-linear payoff structures. Second, time-varying volatility models (GARCH family) will be compared against the constant-volatility GBM baseline. Third, the Expected Shortfall backtesting methodology proposed under Basel IV (the ES regression test) will be implemented to complement the VaR-focused Kupiec procedure.</w:t>
      </w:r>
    </w:p>
    <w:p w14:paraId="7AE8FA98">
      <w:pPr>
        <w:pBdr>
          <w:bottom w:val="single" w:color="000000" w:sz="6" w:space="1"/>
        </w:pBdr>
        <w:spacing w:before="0" w:after="0" w:line="240" w:lineRule="auto"/>
      </w:pPr>
    </w:p>
    <w:p w14:paraId="2F101103">
      <w:pPr>
        <w:spacing w:before="80" w:after="0" w:line="240" w:lineRule="auto"/>
      </w:pPr>
    </w:p>
    <w:p w14:paraId="74D7EA73">
      <w:pPr>
        <w:spacing w:before="0" w:after="60" w:line="240" w:lineRule="auto"/>
        <w:jc w:val="center"/>
      </w:pPr>
      <w:r>
        <w:rPr>
          <w:rFonts w:ascii="Times New Roman" w:hAnsi="Times New Roman" w:eastAsia="Times New Roman" w:cs="Times New Roman"/>
          <w:b/>
          <w:bCs/>
          <w:i w:val="0"/>
          <w:iCs w:val="0"/>
          <w:color w:val="000000"/>
          <w:sz w:val="22"/>
          <w:szCs w:val="22"/>
        </w:rPr>
        <w:t>REFERENCES</w:t>
      </w:r>
    </w:p>
    <w:p w14:paraId="37E066F3">
      <w:pPr>
        <w:spacing w:before="0" w:after="60" w:line="240" w:lineRule="auto"/>
        <w:ind w:left="380" w:hanging="380"/>
        <w:jc w:val="both"/>
        <w:rPr>
          <w:rFonts w:hint="default"/>
          <w:lang w:val="en-IN"/>
        </w:rPr>
      </w:pPr>
      <w:r>
        <w:rPr>
          <w:rFonts w:hint="default"/>
          <w:lang w:val="en-IN"/>
        </w:rPr>
        <w:t>Github link --- https://github.com/Balkrishna5/Value-at-Risk-Var-</w:t>
      </w:r>
      <w:bookmarkStart w:id="0" w:name="_GoBack"/>
      <w:bookmarkEnd w:id="0"/>
    </w:p>
    <w:sectPr>
      <w:headerReference r:id="rId4" w:type="default"/>
      <w:footerReference r:id="rId5" w:type="default"/>
      <w:type w:val="continuous"/>
      <w:pgSz w:w="12240" w:h="15840"/>
      <w:pgMar w:top="1080" w:right="1080" w:bottom="1080" w:left="1080" w:header="708" w:footer="708" w:gutter="0"/>
      <w:cols w:space="72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7EA87">
    <w:pPr>
      <w:jc w:val="center"/>
    </w:pPr>
    <w:r>
      <w:rPr>
        <w:rFonts w:ascii="Times New Roman" w:hAnsi="Times New Roman" w:eastAsia="Times New Roman" w:cs="Times New Roman"/>
        <w:b w:val="0"/>
        <w:bCs w:val="0"/>
        <w:i w:val="0"/>
        <w:iCs w:val="0"/>
        <w:color w:val="888888"/>
        <w:sz w:val="16"/>
        <w:szCs w:val="16"/>
      </w:rPr>
      <w:t>978-X-XXXX-XXXX-X/XX/$31.00  ©  2024 IEEE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C8F58">
    <w:pPr>
      <w:pBdr>
        <w:top w:val="single" w:color="000000" w:sz="4" w:space="4"/>
      </w:pBdr>
      <w:spacing w:before="80" w:after="0" w:line="240" w:lineRule="auto"/>
      <w:jc w:val="center"/>
    </w:pPr>
    <w:r>
      <w:rPr>
        <w:rFonts w:ascii="Times New Roman" w:hAnsi="Times New Roman" w:eastAsia="Times New Roman" w:cs="Times New Roman"/>
        <w:b w:val="0"/>
        <w:bCs w:val="0"/>
        <w:i w:val="0"/>
        <w:iCs w:val="0"/>
        <w:color w:val="888888"/>
        <w:sz w:val="16"/>
        <w:szCs w:val="16"/>
      </w:rPr>
      <w:t>Authorized licensed use limited to IIT Guwahati. Restrictions apply.</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9CC91">
    <w:pPr>
      <w:rPr>
        <w:rFonts w:hint="default"/>
        <w:lang w:val="en-I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documentProtection w:enforcement="0"/>
  <w:compat>
    <w:compatSetting w:name="compatibilityMode" w:uri="http://schemas.microsoft.com/office/word" w:val="15"/>
  </w:compat>
  <w:rsids>
    <w:rsidRoot w:val="00000000"/>
    <w:rsid w:val="66B367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0"/>
      <w:szCs w:val="20"/>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0"/>
      <w:szCs w:val="20"/>
    </w:rPr>
  </w:style>
  <w:style w:type="paragraph" w:styleId="6">
    <w:name w:val="heading 5"/>
    <w:next w:val="1"/>
    <w:qFormat/>
    <w:uiPriority w:val="0"/>
    <w:rPr>
      <w:rFonts w:ascii="Times New Roman" w:hAnsi="Times New Roman" w:eastAsia="Times New Roman" w:cs="Times New Roman"/>
      <w:color w:val="2E74B5"/>
      <w:sz w:val="20"/>
      <w:szCs w:val="20"/>
    </w:rPr>
  </w:style>
  <w:style w:type="paragraph" w:styleId="7">
    <w:name w:val="heading 6"/>
    <w:next w:val="1"/>
    <w:qFormat/>
    <w:uiPriority w:val="0"/>
    <w:rPr>
      <w:rFonts w:ascii="Times New Roman" w:hAnsi="Times New Roman" w:eastAsia="Times New Roman" w:cs="Times New Roman"/>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1947</Words>
  <Characters>10833</Characters>
  <TotalTime>7</TotalTime>
  <ScaleCrop>false</ScaleCrop>
  <LinksUpToDate>false</LinksUpToDate>
  <CharactersWithSpaces>12650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2026-05-05T10:02:00Z</dcterms:created>
  <dc:creator>Un-named</dc:creator>
  <cp:lastModifiedBy>Purnanand Ware</cp:lastModifiedBy>
  <dcterms:modified xsi:type="dcterms:W3CDTF">2026-06-14T11:48:20Z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eyJoZGlkIjoiYzAzNjljNmRkMmYxYjc1MmZiYTU0MTY5MTI4OGZiOWMiLCJ1c2VySWQiOiI1NjczOTUwODk1ODUifQ==</vt:lpwstr>
  </property>
  <property fmtid="{D5CDD505-2E9C-101B-9397-08002B2CF9AE}" pid="3" name="KSOProductBuildVer">
    <vt:lpwstr>1033-12.1.0.26880</vt:lpwstr>
  </property>
  <property fmtid="{D5CDD505-2E9C-101B-9397-08002B2CF9AE}" pid="4" name="ICV">
    <vt:lpwstr>34225AAB793E41AD8A8B18B51B03BDE2_12</vt:lpwstr>
  </property>
</Properties>
</file>