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86" w:rsidRDefault="00512C86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512C86" w:rsidRDefault="00512C86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4-5-2016</w:t>
      </w:r>
    </w:p>
    <w:p w:rsidR="00512C86" w:rsidRDefault="00512C86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512C86" w:rsidRDefault="00512C86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</w:t>
      </w:r>
      <w:r>
        <w:rPr>
          <w:rFonts w:ascii="Calibri" w:hAnsi="Calibri" w:cs="Calibri"/>
          <w:lang w:val="en"/>
        </w:rPr>
        <w:t xml:space="preserve"> 5</w:t>
      </w:r>
      <w:r>
        <w:rPr>
          <w:rFonts w:ascii="Calibri" w:hAnsi="Calibri" w:cs="Calibri"/>
          <w:lang w:val="en"/>
        </w:rPr>
        <w:t xml:space="preserve"> review questions</w:t>
      </w:r>
    </w:p>
    <w:p w:rsidR="00EA6630" w:rsidRDefault="00EA6630" w:rsidP="00512C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EA6630" w:rsidRDefault="00EA6630" w:rsidP="00EA66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They exhibit two stable states</w:t>
      </w:r>
      <w:r w:rsidR="00063E20">
        <w:rPr>
          <w:rFonts w:ascii="Calibri" w:hAnsi="Calibri" w:cs="Calibri"/>
          <w:lang w:val="en"/>
        </w:rPr>
        <w:t>, which can be used to represent binary. They are capable of being written into, to set the state. They are capable of being read to sense the state.</w:t>
      </w:r>
    </w:p>
    <w:p w:rsidR="00063E20" w:rsidRPr="00EA6630" w:rsidRDefault="00063E20" w:rsidP="00EA66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two interpretation of random access memory are Dynamic and Static memory.</w:t>
      </w:r>
      <w:bookmarkStart w:id="0" w:name="_GoBack"/>
      <w:bookmarkEnd w:id="0"/>
    </w:p>
    <w:p w:rsidR="00F45868" w:rsidRDefault="00063E20"/>
    <w:sectPr w:rsidR="00F45868" w:rsidSect="002708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F27F4"/>
    <w:multiLevelType w:val="hybridMultilevel"/>
    <w:tmpl w:val="25744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86"/>
    <w:rsid w:val="00063E20"/>
    <w:rsid w:val="00512C86"/>
    <w:rsid w:val="00EA6630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C4B42-2822-4E29-9A23-311A0A81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2016-04-22T21:04:00Z</dcterms:created>
  <dcterms:modified xsi:type="dcterms:W3CDTF">2016-04-22T22:05:00Z</dcterms:modified>
</cp:coreProperties>
</file>