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DE6CE" w14:textId="77777777" w:rsidR="00FB7B6B" w:rsidRDefault="00000000">
      <w:pPr>
        <w:pStyle w:val="Heading1"/>
        <w:spacing w:line="480" w:lineRule="auto"/>
        <w:jc w:val="center"/>
        <w:rPr>
          <w:rFonts w:ascii="Google Sans" w:eastAsia="Google Sans" w:hAnsi="Google Sans" w:cs="Google Sans"/>
        </w:rPr>
      </w:pPr>
      <w:bookmarkStart w:id="0" w:name="_rkogpw759h9x" w:colFirst="0" w:colLast="0"/>
      <w:bookmarkEnd w:id="0"/>
      <w:r>
        <w:rPr>
          <w:rFonts w:ascii="Google Sans" w:eastAsia="Google Sans" w:hAnsi="Google Sans" w:cs="Google Sans"/>
        </w:rPr>
        <w:t xml:space="preserve">Security risk assessment report </w:t>
      </w:r>
    </w:p>
    <w:p w14:paraId="449C2389" w14:textId="77777777" w:rsidR="00FB7B6B" w:rsidRDefault="00FB7B6B">
      <w:pPr>
        <w:spacing w:line="480" w:lineRule="auto"/>
        <w:rPr>
          <w:rFonts w:ascii="Google Sans" w:eastAsia="Google Sans" w:hAnsi="Google Sans" w:cs="Google Sans"/>
          <w:b/>
          <w:sz w:val="26"/>
          <w:szCs w:val="26"/>
        </w:rPr>
      </w:pPr>
    </w:p>
    <w:tbl>
      <w:tblPr>
        <w:tblStyle w:val="a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FB7B6B" w14:paraId="29C8C4FD" w14:textId="77777777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C092D" w14:textId="77777777" w:rsidR="00FB7B6B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Part 1: Select up to three hardening tools and methods to implement</w:t>
            </w:r>
          </w:p>
        </w:tc>
      </w:tr>
      <w:tr w:rsidR="00FB7B6B" w14:paraId="43CF0CE1" w14:textId="77777777">
        <w:trPr>
          <w:trHeight w:val="300"/>
        </w:trPr>
        <w:tc>
          <w:tcPr>
            <w:tcW w:w="871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B6FF0" w14:textId="77777777" w:rsidR="00FB7B6B" w:rsidRPr="00A712DA" w:rsidRDefault="00A712DA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EE0000"/>
                <w:sz w:val="24"/>
                <w:szCs w:val="24"/>
              </w:rPr>
            </w:pPr>
            <w:r w:rsidRPr="00A712DA">
              <w:rPr>
                <w:rFonts w:ascii="Google Sans" w:eastAsia="Google Sans" w:hAnsi="Google Sans" w:cs="Google Sans"/>
                <w:color w:val="EE0000"/>
                <w:sz w:val="24"/>
                <w:szCs w:val="24"/>
              </w:rPr>
              <w:t>Firewall maintenance</w:t>
            </w:r>
          </w:p>
          <w:p w14:paraId="19D87C79" w14:textId="4EA24E48" w:rsidR="00A712DA" w:rsidRPr="00A712DA" w:rsidRDefault="00A712DA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EE0000"/>
                <w:sz w:val="24"/>
                <w:szCs w:val="24"/>
              </w:rPr>
            </w:pPr>
            <w:r w:rsidRPr="00A712DA">
              <w:rPr>
                <w:rFonts w:ascii="Google Sans" w:eastAsia="Google Sans" w:hAnsi="Google Sans" w:cs="Google Sans"/>
                <w:color w:val="EE0000"/>
                <w:sz w:val="24"/>
                <w:szCs w:val="24"/>
              </w:rPr>
              <w:t>Multifactor authentication</w:t>
            </w:r>
          </w:p>
          <w:p w14:paraId="1639D5E2" w14:textId="39A58556" w:rsidR="00A712DA" w:rsidRDefault="00A712DA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A712DA">
              <w:rPr>
                <w:rFonts w:ascii="Google Sans" w:eastAsia="Google Sans" w:hAnsi="Google Sans" w:cs="Google Sans"/>
                <w:color w:val="EE0000"/>
                <w:sz w:val="24"/>
                <w:szCs w:val="24"/>
              </w:rPr>
              <w:t>Password policies</w:t>
            </w:r>
          </w:p>
        </w:tc>
      </w:tr>
      <w:tr w:rsidR="00FB7B6B" w14:paraId="6F5F76B2" w14:textId="77777777">
        <w:trPr>
          <w:trHeight w:val="515"/>
        </w:trPr>
        <w:tc>
          <w:tcPr>
            <w:tcW w:w="871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DDC0A" w14:textId="77777777" w:rsidR="00FB7B6B" w:rsidRDefault="00FB7B6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</w:tbl>
    <w:p w14:paraId="3C598FAA" w14:textId="77777777" w:rsidR="00FB7B6B" w:rsidRDefault="00FB7B6B">
      <w:pPr>
        <w:spacing w:line="480" w:lineRule="auto"/>
        <w:rPr>
          <w:rFonts w:ascii="Google Sans" w:eastAsia="Google Sans" w:hAnsi="Google Sans" w:cs="Google Sans"/>
          <w:b/>
          <w:color w:val="38761D"/>
          <w:sz w:val="26"/>
          <w:szCs w:val="26"/>
        </w:rPr>
      </w:pPr>
    </w:p>
    <w:tbl>
      <w:tblPr>
        <w:tblStyle w:val="a0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FB7B6B" w14:paraId="56E7D40D" w14:textId="77777777">
        <w:trPr>
          <w:trHeight w:val="47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9301E" w14:textId="77777777" w:rsidR="00FB7B6B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Part 2: Explain your recommendations</w:t>
            </w:r>
          </w:p>
        </w:tc>
      </w:tr>
      <w:tr w:rsidR="00FB7B6B" w14:paraId="329027C2" w14:textId="77777777">
        <w:trPr>
          <w:trHeight w:val="1160"/>
        </w:trPr>
        <w:tc>
          <w:tcPr>
            <w:tcW w:w="8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214DF" w14:textId="77777777" w:rsidR="00FB7B6B" w:rsidRPr="00324ADB" w:rsidRDefault="00324AD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EE0000"/>
                <w:sz w:val="24"/>
                <w:szCs w:val="24"/>
              </w:rPr>
            </w:pPr>
            <w:r w:rsidRPr="00324ADB">
              <w:rPr>
                <w:rFonts w:ascii="Google Sans" w:eastAsia="Google Sans" w:hAnsi="Google Sans" w:cs="Google Sans"/>
                <w:color w:val="EE0000"/>
                <w:sz w:val="24"/>
                <w:szCs w:val="24"/>
              </w:rPr>
              <w:t>Proper firewall configuration helps block unauthorized access, reduce external attacks, and protect sensitive data by allowing only legitimate network traffic.</w:t>
            </w:r>
          </w:p>
          <w:p w14:paraId="78D2FA43" w14:textId="77777777" w:rsidR="00324ADB" w:rsidRPr="00324ADB" w:rsidRDefault="00324AD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EE0000"/>
                <w:sz w:val="24"/>
                <w:szCs w:val="24"/>
              </w:rPr>
            </w:pPr>
          </w:p>
          <w:p w14:paraId="0403B485" w14:textId="77777777" w:rsidR="00324ADB" w:rsidRPr="00324ADB" w:rsidRDefault="00324AD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EE0000"/>
                <w:sz w:val="24"/>
                <w:szCs w:val="24"/>
              </w:rPr>
            </w:pPr>
            <w:r w:rsidRPr="00324ADB">
              <w:rPr>
                <w:rFonts w:ascii="Google Sans" w:eastAsia="Google Sans" w:hAnsi="Google Sans" w:cs="Google Sans"/>
                <w:color w:val="EE0000"/>
                <w:sz w:val="24"/>
                <w:szCs w:val="24"/>
              </w:rPr>
              <w:t>MFA is recommended because employees share passwords and there is no additional layer of security. Even if a password is compromised, MFA requires a second verification factor, significantly reducing the risk of unauthorized access.</w:t>
            </w:r>
          </w:p>
          <w:p w14:paraId="7DBDA2A5" w14:textId="77777777" w:rsidR="00324ADB" w:rsidRPr="00324ADB" w:rsidRDefault="00324AD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EE0000"/>
                <w:sz w:val="24"/>
                <w:szCs w:val="24"/>
              </w:rPr>
            </w:pPr>
          </w:p>
          <w:p w14:paraId="16BED8CE" w14:textId="59BB27DE" w:rsidR="00324ADB" w:rsidRDefault="00324AD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324ADB">
              <w:rPr>
                <w:rFonts w:ascii="Google Sans" w:eastAsia="Google Sans" w:hAnsi="Google Sans" w:cs="Google Sans"/>
                <w:color w:val="EE0000"/>
                <w:sz w:val="24"/>
                <w:szCs w:val="24"/>
              </w:rPr>
              <w:t>Strong password policies are necessary because employees share passwords and the database admin account uses a default password. Enforcing complex passwords, preventing password sharing, and requiring regular updates reduces the risk of account compromise and unauthorized access.</w:t>
            </w:r>
          </w:p>
        </w:tc>
      </w:tr>
    </w:tbl>
    <w:p w14:paraId="5F521DE8" w14:textId="77777777" w:rsidR="00FB7B6B" w:rsidRDefault="00FB7B6B">
      <w:pPr>
        <w:spacing w:line="480" w:lineRule="auto"/>
        <w:rPr>
          <w:rFonts w:ascii="Google Sans" w:eastAsia="Google Sans" w:hAnsi="Google Sans" w:cs="Google Sans"/>
          <w:b/>
          <w:color w:val="38761D"/>
          <w:sz w:val="26"/>
          <w:szCs w:val="26"/>
        </w:rPr>
      </w:pPr>
    </w:p>
    <w:p w14:paraId="6C5244B7" w14:textId="77777777" w:rsidR="00FB7B6B" w:rsidRDefault="00FB7B6B">
      <w:pPr>
        <w:spacing w:after="200"/>
        <w:rPr>
          <w:rFonts w:ascii="Google Sans" w:eastAsia="Google Sans" w:hAnsi="Google Sans" w:cs="Google Sans"/>
        </w:rPr>
      </w:pPr>
    </w:p>
    <w:p w14:paraId="2B230EDA" w14:textId="77777777" w:rsidR="00FB7B6B" w:rsidRDefault="00FB7B6B"/>
    <w:p w14:paraId="7AFD8A19" w14:textId="77777777" w:rsidR="00FB7B6B" w:rsidRDefault="00FB7B6B"/>
    <w:sectPr w:rsidR="00FB7B6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407C6838-E370-449F-BF65-17E9388B6801}"/>
    <w:embedBold r:id="rId2" w:fontKey="{715922E4-B13A-4F58-B98D-24EF1A9AD7A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5242972-D593-4CEA-ABDE-F6A8AB5FCE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E3C6B83-98C4-4733-B487-405EDD5EFB9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B6B"/>
    <w:rsid w:val="00324ADB"/>
    <w:rsid w:val="00A712DA"/>
    <w:rsid w:val="00F43B08"/>
    <w:rsid w:val="00F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53E85"/>
  <w15:docId w15:val="{50662314-0C4E-4C4E-89F4-CBEBD0B79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Alexandru Balog</cp:lastModifiedBy>
  <cp:revision>2</cp:revision>
  <dcterms:created xsi:type="dcterms:W3CDTF">2026-02-16T18:33:00Z</dcterms:created>
  <dcterms:modified xsi:type="dcterms:W3CDTF">2026-02-16T18:46:00Z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2026-02-16T18:46:49Z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d32f9225-a173-4549-9b84-1efd639c35b5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