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F4FE5" w14:textId="77777777" w:rsidR="00C36F10" w:rsidRDefault="00000000">
      <w:pPr>
        <w:pStyle w:val="Title"/>
        <w:keepNext w:val="0"/>
        <w:keepLines w:val="0"/>
        <w:spacing w:before="320" w:after="0" w:line="240" w:lineRule="auto"/>
        <w:rPr>
          <w:rFonts w:ascii="Proxima Nova" w:eastAsia="Proxima Nova" w:hAnsi="Proxima Nova" w:cs="Proxima Nova"/>
          <w:b/>
          <w:color w:val="4A86E8"/>
          <w:sz w:val="58"/>
          <w:szCs w:val="58"/>
        </w:rPr>
      </w:pPr>
      <w:bookmarkStart w:id="0" w:name="_5x0d5h95i329" w:colFirst="0" w:colLast="0"/>
      <w:bookmarkEnd w:id="0"/>
      <w:r>
        <w:rPr>
          <w:rFonts w:ascii="Google Sans" w:eastAsia="Google Sans" w:hAnsi="Google Sans" w:cs="Google Sans"/>
          <w:b/>
          <w:color w:val="4A86E8"/>
          <w:sz w:val="58"/>
          <w:szCs w:val="58"/>
        </w:rPr>
        <w:t>Vulnerability Assessment Report</w:t>
      </w:r>
    </w:p>
    <w:p w14:paraId="1138DF28" w14:textId="77777777" w:rsidR="00C36F10" w:rsidRDefault="00000000">
      <w:pPr>
        <w:pStyle w:val="Subtitle"/>
        <w:keepNext w:val="0"/>
        <w:keepLines w:val="0"/>
        <w:spacing w:after="0" w:line="240" w:lineRule="auto"/>
        <w:rPr>
          <w:rFonts w:ascii="Google Sans" w:eastAsia="Google Sans" w:hAnsi="Google Sans" w:cs="Google Sans"/>
          <w:b/>
          <w:sz w:val="28"/>
          <w:szCs w:val="28"/>
        </w:rPr>
      </w:pPr>
      <w:bookmarkStart w:id="1" w:name="_af80tl7prv5v" w:colFirst="0" w:colLast="0"/>
      <w:bookmarkEnd w:id="1"/>
      <w:r>
        <w:rPr>
          <w:rFonts w:ascii="Google Sans" w:eastAsia="Google Sans" w:hAnsi="Google Sans" w:cs="Google Sans"/>
          <w:b/>
          <w:sz w:val="28"/>
          <w:szCs w:val="28"/>
        </w:rPr>
        <w:t>1</w:t>
      </w:r>
      <w:r>
        <w:rPr>
          <w:rFonts w:ascii="Google Sans" w:eastAsia="Google Sans" w:hAnsi="Google Sans" w:cs="Google Sans"/>
          <w:b/>
          <w:sz w:val="28"/>
          <w:szCs w:val="28"/>
          <w:vertAlign w:val="superscript"/>
        </w:rPr>
        <w:t>st</w:t>
      </w:r>
      <w:r>
        <w:rPr>
          <w:rFonts w:ascii="Google Sans" w:eastAsia="Google Sans" w:hAnsi="Google Sans" w:cs="Google Sans"/>
          <w:b/>
          <w:sz w:val="28"/>
          <w:szCs w:val="28"/>
        </w:rPr>
        <w:t xml:space="preserve"> January 20XX</w:t>
      </w:r>
    </w:p>
    <w:p w14:paraId="4DD5C8A3" w14:textId="77777777" w:rsidR="00C36F10" w:rsidRDefault="00000000">
      <w:pPr>
        <w:pStyle w:val="Subtitle"/>
        <w:keepNext w:val="0"/>
        <w:keepLines w:val="0"/>
        <w:spacing w:after="0" w:line="240" w:lineRule="auto"/>
        <w:rPr>
          <w:rFonts w:ascii="Google Sans" w:eastAsia="Google Sans" w:hAnsi="Google Sans" w:cs="Google Sans"/>
          <w:b/>
          <w:sz w:val="28"/>
          <w:szCs w:val="28"/>
        </w:rPr>
      </w:pPr>
      <w:bookmarkStart w:id="2" w:name="_nhcy8rpxthcf" w:colFirst="0" w:colLast="0"/>
      <w:bookmarkEnd w:id="2"/>
      <w:r>
        <w:pict w14:anchorId="639D0BB7">
          <v:rect id="_x0000_i1025" style="width:0;height:1.5pt" o:hralign="center" o:hrstd="t" o:hr="t" fillcolor="#a0a0a0" stroked="f"/>
        </w:pict>
      </w:r>
    </w:p>
    <w:p w14:paraId="1D7EFD84" w14:textId="77777777" w:rsidR="00C36F10"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3" w:name="_buc6q0k08dmn" w:colFirst="0" w:colLast="0"/>
      <w:bookmarkEnd w:id="3"/>
      <w:r>
        <w:rPr>
          <w:rFonts w:ascii="Proxima Nova" w:eastAsia="Proxima Nova" w:hAnsi="Proxima Nova" w:cs="Proxima Nova"/>
          <w:b/>
          <w:color w:val="353744"/>
          <w:sz w:val="28"/>
          <w:szCs w:val="28"/>
        </w:rPr>
        <w:t>System Description</w:t>
      </w:r>
    </w:p>
    <w:p w14:paraId="2BD084CD" w14:textId="77777777" w:rsidR="00C36F10"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798369C3" w14:textId="77777777" w:rsidR="00C36F10"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4" w:name="_e64wndl8jmz1" w:colFirst="0" w:colLast="0"/>
      <w:bookmarkEnd w:id="4"/>
      <w:r>
        <w:rPr>
          <w:rFonts w:ascii="Proxima Nova" w:eastAsia="Proxima Nova" w:hAnsi="Proxima Nova" w:cs="Proxima Nova"/>
          <w:b/>
          <w:color w:val="353744"/>
          <w:sz w:val="28"/>
          <w:szCs w:val="28"/>
        </w:rPr>
        <w:t>Scope</w:t>
      </w:r>
    </w:p>
    <w:p w14:paraId="417D4E02" w14:textId="77777777" w:rsidR="00C36F10"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 xml:space="preserve">The scope of this vulnerability assessment relates to the current access controls of the system. The assessment will cover a period of three months, from June 20XX to August 20XX. </w:t>
      </w:r>
      <w:hyperlink r:id="rId5" w:anchor="heading=h.hvbcmqwzo9do">
        <w:r>
          <w:rPr>
            <w:rFonts w:ascii="Google Sans" w:eastAsia="Google Sans" w:hAnsi="Google Sans" w:cs="Google Sans"/>
            <w:color w:val="1155CC"/>
            <w:u w:val="single"/>
          </w:rPr>
          <w:t>NIST SP 800-30 Rev. 1</w:t>
        </w:r>
      </w:hyperlink>
      <w:r>
        <w:rPr>
          <w:rFonts w:ascii="Google Sans" w:eastAsia="Google Sans" w:hAnsi="Google Sans" w:cs="Google Sans"/>
          <w:color w:val="353744"/>
        </w:rPr>
        <w:t xml:space="preserve"> is used to guide the risk analysis of the information system.</w:t>
      </w:r>
    </w:p>
    <w:p w14:paraId="7F26796A" w14:textId="77777777" w:rsidR="00C36F10"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5" w:name="_oymnw3nlvwib" w:colFirst="0" w:colLast="0"/>
      <w:bookmarkEnd w:id="5"/>
      <w:r>
        <w:rPr>
          <w:rFonts w:ascii="Proxima Nova" w:eastAsia="Proxima Nova" w:hAnsi="Proxima Nova" w:cs="Proxima Nova"/>
          <w:b/>
          <w:color w:val="353744"/>
          <w:sz w:val="28"/>
          <w:szCs w:val="28"/>
        </w:rPr>
        <w:t>Purpose</w:t>
      </w:r>
    </w:p>
    <w:p w14:paraId="020CDDC9" w14:textId="77777777" w:rsidR="00C36F10" w:rsidRDefault="00000000">
      <w:pPr>
        <w:spacing w:before="200" w:after="200"/>
        <w:rPr>
          <w:rFonts w:ascii="Google Sans" w:eastAsia="Google Sans" w:hAnsi="Google Sans" w:cs="Google Sans"/>
          <w:color w:val="353744"/>
        </w:rPr>
      </w:pPr>
      <w:r>
        <w:rPr>
          <w:rFonts w:ascii="Google Sans" w:eastAsia="Google Sans" w:hAnsi="Google Sans" w:cs="Google Sans"/>
          <w:color w:val="353744"/>
        </w:rPr>
        <w:t>Consider the following questions to help you write:</w:t>
      </w:r>
    </w:p>
    <w:p w14:paraId="42A50850" w14:textId="77777777" w:rsidR="00C36F10" w:rsidRDefault="00000000">
      <w:pPr>
        <w:numPr>
          <w:ilvl w:val="0"/>
          <w:numId w:val="3"/>
        </w:numPr>
        <w:rPr>
          <w:rFonts w:ascii="Google Sans" w:eastAsia="Google Sans" w:hAnsi="Google Sans" w:cs="Google Sans"/>
          <w:i/>
          <w:color w:val="353744"/>
        </w:rPr>
      </w:pPr>
      <w:r>
        <w:rPr>
          <w:rFonts w:ascii="Google Sans" w:eastAsia="Google Sans" w:hAnsi="Google Sans" w:cs="Google Sans"/>
          <w:i/>
          <w:color w:val="353744"/>
        </w:rPr>
        <w:t>How is the database server valuable to the business?</w:t>
      </w:r>
    </w:p>
    <w:p w14:paraId="503CC9EB" w14:textId="77777777" w:rsidR="00C36F10" w:rsidRDefault="00000000">
      <w:pPr>
        <w:numPr>
          <w:ilvl w:val="0"/>
          <w:numId w:val="3"/>
        </w:numPr>
        <w:rPr>
          <w:rFonts w:ascii="Google Sans" w:eastAsia="Google Sans" w:hAnsi="Google Sans" w:cs="Google Sans"/>
          <w:i/>
          <w:color w:val="353744"/>
        </w:rPr>
      </w:pPr>
      <w:r>
        <w:rPr>
          <w:rFonts w:ascii="Google Sans" w:eastAsia="Google Sans" w:hAnsi="Google Sans" w:cs="Google Sans"/>
          <w:i/>
          <w:color w:val="353744"/>
        </w:rPr>
        <w:t>Why is it important for the business to secure the data on the server?</w:t>
      </w:r>
    </w:p>
    <w:p w14:paraId="471B1995" w14:textId="77777777" w:rsidR="00C36F10" w:rsidRDefault="00000000">
      <w:pPr>
        <w:numPr>
          <w:ilvl w:val="0"/>
          <w:numId w:val="3"/>
        </w:numPr>
        <w:rPr>
          <w:rFonts w:ascii="Google Sans" w:eastAsia="Google Sans" w:hAnsi="Google Sans" w:cs="Google Sans"/>
          <w:i/>
          <w:color w:val="353744"/>
        </w:rPr>
      </w:pPr>
      <w:r>
        <w:rPr>
          <w:rFonts w:ascii="Google Sans" w:eastAsia="Google Sans" w:hAnsi="Google Sans" w:cs="Google Sans"/>
          <w:i/>
          <w:color w:val="353744"/>
        </w:rPr>
        <w:t>How might the server impact the business if it were disabled?</w:t>
      </w:r>
    </w:p>
    <w:p w14:paraId="757FD735" w14:textId="77777777" w:rsidR="00B02E93" w:rsidRDefault="00B02E93" w:rsidP="00B02E93">
      <w:pPr>
        <w:rPr>
          <w:rFonts w:ascii="Google Sans" w:eastAsia="Google Sans" w:hAnsi="Google Sans" w:cs="Google Sans"/>
          <w:i/>
          <w:color w:val="353744"/>
        </w:rPr>
      </w:pPr>
    </w:p>
    <w:p w14:paraId="19F6B21D" w14:textId="3FE870B3" w:rsidR="00B02E93" w:rsidRPr="00B02E93" w:rsidRDefault="00B02E93" w:rsidP="00B02E93">
      <w:pPr>
        <w:rPr>
          <w:rFonts w:ascii="Google Sans" w:eastAsia="Google Sans" w:hAnsi="Google Sans" w:cs="Google Sans"/>
          <w:iCs/>
          <w:color w:val="EE0000"/>
        </w:rPr>
      </w:pPr>
      <w:r>
        <w:rPr>
          <w:rFonts w:ascii="Google Sans" w:eastAsia="Google Sans" w:hAnsi="Google Sans" w:cs="Google Sans"/>
          <w:iCs/>
          <w:color w:val="EE0000"/>
        </w:rPr>
        <w:t xml:space="preserve">The database server is valuable to the business because it features powerful system components, making it an expensive asset for the company. It is important for the business to secure the data on the server, because </w:t>
      </w:r>
      <w:r w:rsidR="003E0CF9">
        <w:rPr>
          <w:rFonts w:ascii="Google Sans" w:eastAsia="Google Sans" w:hAnsi="Google Sans" w:cs="Google Sans"/>
          <w:iCs/>
          <w:color w:val="EE0000"/>
        </w:rPr>
        <w:t>all the information is used by the employees to regularly query, or request, data from the server to find potential customers</w:t>
      </w:r>
      <w:r>
        <w:rPr>
          <w:rFonts w:ascii="Google Sans" w:eastAsia="Google Sans" w:hAnsi="Google Sans" w:cs="Google Sans"/>
          <w:iCs/>
          <w:color w:val="EE0000"/>
        </w:rPr>
        <w:t>.</w:t>
      </w:r>
      <w:r w:rsidR="003E0CF9">
        <w:rPr>
          <w:rFonts w:ascii="Google Sans" w:eastAsia="Google Sans" w:hAnsi="Google Sans" w:cs="Google Sans"/>
          <w:iCs/>
          <w:color w:val="EE0000"/>
        </w:rPr>
        <w:t xml:space="preserve"> </w:t>
      </w:r>
      <w:r>
        <w:rPr>
          <w:rFonts w:ascii="Google Sans" w:eastAsia="Google Sans" w:hAnsi="Google Sans" w:cs="Google Sans"/>
          <w:iCs/>
          <w:color w:val="EE0000"/>
        </w:rPr>
        <w:t>Because all the information of the e-commerce company is stored on the server,</w:t>
      </w:r>
      <w:r w:rsidR="003E0CF9">
        <w:rPr>
          <w:rFonts w:ascii="Google Sans" w:eastAsia="Google Sans" w:hAnsi="Google Sans" w:cs="Google Sans"/>
          <w:iCs/>
          <w:color w:val="EE0000"/>
        </w:rPr>
        <w:t xml:space="preserve"> the impact of it becoming disabled, would mean that the company will not be able to perform their intended purpose in the e-commerce industry. Purpose of this vulnerability analysis is to assess possible damage of the data on the server and fix this vulnerability.</w:t>
      </w:r>
    </w:p>
    <w:p w14:paraId="75B14177" w14:textId="77777777" w:rsidR="00C36F10"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6" w:name="_i2ip4lwifo50" w:colFirst="0" w:colLast="0"/>
      <w:bookmarkEnd w:id="6"/>
      <w:r>
        <w:rPr>
          <w:rFonts w:ascii="Proxima Nova" w:eastAsia="Proxima Nova" w:hAnsi="Proxima Nova" w:cs="Proxima Nova"/>
          <w:b/>
          <w:color w:val="353744"/>
          <w:sz w:val="28"/>
          <w:szCs w:val="28"/>
        </w:rPr>
        <w:t>Risk Assessment</w:t>
      </w:r>
    </w:p>
    <w:p w14:paraId="2C29785B" w14:textId="77777777" w:rsidR="00C36F10" w:rsidRDefault="00C36F10">
      <w:pPr>
        <w:spacing w:line="312" w:lineRule="auto"/>
        <w:rPr>
          <w:rFonts w:ascii="Google Sans" w:eastAsia="Google Sans" w:hAnsi="Google Sans" w:cs="Google Sans"/>
          <w:color w:val="353744"/>
        </w:rPr>
      </w:pPr>
    </w:p>
    <w:tbl>
      <w:tblPr>
        <w:tblStyle w:val="a"/>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C36F10" w14:paraId="1CB8371A" w14:textId="77777777">
        <w:tc>
          <w:tcPr>
            <w:tcW w:w="1860" w:type="dxa"/>
            <w:shd w:val="clear" w:color="auto" w:fill="C9DAF8"/>
            <w:tcMar>
              <w:top w:w="100" w:type="dxa"/>
              <w:left w:w="100" w:type="dxa"/>
              <w:bottom w:w="100" w:type="dxa"/>
              <w:right w:w="100" w:type="dxa"/>
            </w:tcMar>
          </w:tcPr>
          <w:p w14:paraId="4DFAF3EE" w14:textId="77777777" w:rsidR="00C36F10"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lastRenderedPageBreak/>
              <w:t>Threat source</w:t>
            </w:r>
          </w:p>
        </w:tc>
        <w:tc>
          <w:tcPr>
            <w:tcW w:w="3615" w:type="dxa"/>
            <w:shd w:val="clear" w:color="auto" w:fill="C9DAF8"/>
            <w:tcMar>
              <w:top w:w="100" w:type="dxa"/>
              <w:left w:w="100" w:type="dxa"/>
              <w:bottom w:w="100" w:type="dxa"/>
              <w:right w:w="100" w:type="dxa"/>
            </w:tcMar>
          </w:tcPr>
          <w:p w14:paraId="2F6CC622" w14:textId="77777777" w:rsidR="00C36F10"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event</w:t>
            </w:r>
          </w:p>
        </w:tc>
        <w:tc>
          <w:tcPr>
            <w:tcW w:w="1395" w:type="dxa"/>
            <w:shd w:val="clear" w:color="auto" w:fill="C9DAF8"/>
            <w:tcMar>
              <w:top w:w="100" w:type="dxa"/>
              <w:left w:w="100" w:type="dxa"/>
              <w:bottom w:w="100" w:type="dxa"/>
              <w:right w:w="100" w:type="dxa"/>
            </w:tcMar>
          </w:tcPr>
          <w:p w14:paraId="7AF9C391" w14:textId="77777777" w:rsidR="00C36F10"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Likelihood</w:t>
            </w:r>
          </w:p>
        </w:tc>
        <w:tc>
          <w:tcPr>
            <w:tcW w:w="1320" w:type="dxa"/>
            <w:shd w:val="clear" w:color="auto" w:fill="C9DAF8"/>
            <w:tcMar>
              <w:top w:w="100" w:type="dxa"/>
              <w:left w:w="100" w:type="dxa"/>
              <w:bottom w:w="100" w:type="dxa"/>
              <w:right w:w="100" w:type="dxa"/>
            </w:tcMar>
          </w:tcPr>
          <w:p w14:paraId="5AD07AE0" w14:textId="77777777" w:rsidR="00C36F10"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Severity</w:t>
            </w:r>
          </w:p>
        </w:tc>
        <w:tc>
          <w:tcPr>
            <w:tcW w:w="1110" w:type="dxa"/>
            <w:shd w:val="clear" w:color="auto" w:fill="C9DAF8"/>
            <w:tcMar>
              <w:top w:w="100" w:type="dxa"/>
              <w:left w:w="100" w:type="dxa"/>
              <w:bottom w:w="100" w:type="dxa"/>
              <w:right w:w="100" w:type="dxa"/>
            </w:tcMar>
          </w:tcPr>
          <w:p w14:paraId="0B06BE1E" w14:textId="77777777" w:rsidR="00C36F10"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Risk</w:t>
            </w:r>
          </w:p>
        </w:tc>
      </w:tr>
      <w:tr w:rsidR="00C36F10" w14:paraId="46D70341" w14:textId="77777777">
        <w:tc>
          <w:tcPr>
            <w:tcW w:w="1860" w:type="dxa"/>
            <w:tcMar>
              <w:top w:w="100" w:type="dxa"/>
              <w:left w:w="100" w:type="dxa"/>
              <w:bottom w:w="100" w:type="dxa"/>
              <w:right w:w="100" w:type="dxa"/>
            </w:tcMar>
          </w:tcPr>
          <w:p w14:paraId="6226AEBE" w14:textId="77777777" w:rsidR="00C36F10"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E.g. Competitor</w:t>
            </w:r>
          </w:p>
        </w:tc>
        <w:tc>
          <w:tcPr>
            <w:tcW w:w="3615" w:type="dxa"/>
            <w:tcMar>
              <w:top w:w="100" w:type="dxa"/>
              <w:left w:w="100" w:type="dxa"/>
              <w:bottom w:w="100" w:type="dxa"/>
              <w:right w:w="100" w:type="dxa"/>
            </w:tcMar>
          </w:tcPr>
          <w:p w14:paraId="010AA81D" w14:textId="77777777" w:rsidR="00C36F10"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Obtain sensitive information via exfiltration</w:t>
            </w:r>
          </w:p>
        </w:tc>
        <w:tc>
          <w:tcPr>
            <w:tcW w:w="1395" w:type="dxa"/>
            <w:tcMar>
              <w:top w:w="100" w:type="dxa"/>
              <w:left w:w="100" w:type="dxa"/>
              <w:bottom w:w="100" w:type="dxa"/>
              <w:right w:w="100" w:type="dxa"/>
            </w:tcMar>
          </w:tcPr>
          <w:p w14:paraId="10E00208" w14:textId="77777777" w:rsidR="00C36F10"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320" w:type="dxa"/>
            <w:tcMar>
              <w:top w:w="100" w:type="dxa"/>
              <w:left w:w="100" w:type="dxa"/>
              <w:bottom w:w="100" w:type="dxa"/>
              <w:right w:w="100" w:type="dxa"/>
            </w:tcMar>
          </w:tcPr>
          <w:p w14:paraId="7CBAA7CC" w14:textId="77777777" w:rsidR="00C36F10"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tcMar>
              <w:top w:w="100" w:type="dxa"/>
              <w:left w:w="100" w:type="dxa"/>
              <w:bottom w:w="100" w:type="dxa"/>
              <w:right w:w="100" w:type="dxa"/>
            </w:tcMar>
          </w:tcPr>
          <w:p w14:paraId="1FC43FF9" w14:textId="77777777" w:rsidR="00C36F10"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9</w:t>
            </w:r>
          </w:p>
        </w:tc>
      </w:tr>
      <w:tr w:rsidR="00C36F10" w14:paraId="5D407FF8" w14:textId="77777777">
        <w:tc>
          <w:tcPr>
            <w:tcW w:w="1860" w:type="dxa"/>
            <w:tcMar>
              <w:top w:w="100" w:type="dxa"/>
              <w:left w:w="100" w:type="dxa"/>
              <w:bottom w:w="100" w:type="dxa"/>
              <w:right w:w="100" w:type="dxa"/>
            </w:tcMar>
          </w:tcPr>
          <w:p w14:paraId="41A4BF9C" w14:textId="6561F0D7" w:rsidR="00C36F10" w:rsidRPr="0058693B" w:rsidRDefault="003E0CF9">
            <w:pPr>
              <w:widowControl w:val="0"/>
              <w:spacing w:line="240" w:lineRule="auto"/>
              <w:rPr>
                <w:rFonts w:ascii="Google Sans" w:eastAsia="Google Sans" w:hAnsi="Google Sans" w:cs="Google Sans"/>
                <w:i/>
                <w:color w:val="EE0000"/>
              </w:rPr>
            </w:pPr>
            <w:r w:rsidRPr="0058693B">
              <w:rPr>
                <w:rFonts w:ascii="Google Sans" w:eastAsia="Google Sans" w:hAnsi="Google Sans" w:cs="Google Sans"/>
                <w:i/>
                <w:color w:val="EE0000"/>
              </w:rPr>
              <w:t>Hacker</w:t>
            </w:r>
          </w:p>
        </w:tc>
        <w:tc>
          <w:tcPr>
            <w:tcW w:w="3615" w:type="dxa"/>
            <w:tcMar>
              <w:top w:w="100" w:type="dxa"/>
              <w:left w:w="100" w:type="dxa"/>
              <w:bottom w:w="100" w:type="dxa"/>
              <w:right w:w="100" w:type="dxa"/>
            </w:tcMar>
          </w:tcPr>
          <w:p w14:paraId="6857AC32" w14:textId="6E641EA7" w:rsidR="00C36F10" w:rsidRPr="0058693B" w:rsidRDefault="0058693B">
            <w:pPr>
              <w:widowControl w:val="0"/>
              <w:spacing w:line="240" w:lineRule="auto"/>
              <w:rPr>
                <w:rFonts w:ascii="Google Sans" w:eastAsia="Google Sans" w:hAnsi="Google Sans" w:cs="Google Sans"/>
                <w:i/>
                <w:color w:val="EE0000"/>
              </w:rPr>
            </w:pPr>
            <w:r w:rsidRPr="0058693B">
              <w:rPr>
                <w:rFonts w:ascii="Google Sans" w:eastAsia="Google Sans" w:hAnsi="Google Sans" w:cs="Google Sans"/>
                <w:i/>
                <w:color w:val="EE0000"/>
              </w:rPr>
              <w:t xml:space="preserve">Conduct SQL </w:t>
            </w:r>
            <w:r w:rsidR="000256C4" w:rsidRPr="0058693B">
              <w:rPr>
                <w:rFonts w:ascii="Google Sans" w:eastAsia="Google Sans" w:hAnsi="Google Sans" w:cs="Google Sans"/>
                <w:i/>
                <w:color w:val="EE0000"/>
              </w:rPr>
              <w:t>injections</w:t>
            </w:r>
            <w:r w:rsidRPr="0058693B">
              <w:rPr>
                <w:rFonts w:ascii="Google Sans" w:eastAsia="Google Sans" w:hAnsi="Google Sans" w:cs="Google Sans"/>
                <w:i/>
                <w:color w:val="EE0000"/>
              </w:rPr>
              <w:t xml:space="preserve"> / Obtain sensitive information via exfiltration</w:t>
            </w:r>
          </w:p>
        </w:tc>
        <w:tc>
          <w:tcPr>
            <w:tcW w:w="1395" w:type="dxa"/>
            <w:tcMar>
              <w:top w:w="100" w:type="dxa"/>
              <w:left w:w="100" w:type="dxa"/>
              <w:bottom w:w="100" w:type="dxa"/>
              <w:right w:w="100" w:type="dxa"/>
            </w:tcMar>
          </w:tcPr>
          <w:p w14:paraId="0675E2EB" w14:textId="7EEB5E02" w:rsidR="00C36F10" w:rsidRPr="0058693B" w:rsidRDefault="0058693B">
            <w:pPr>
              <w:widowControl w:val="0"/>
              <w:spacing w:line="240" w:lineRule="auto"/>
              <w:rPr>
                <w:rFonts w:ascii="Google Sans" w:eastAsia="Google Sans" w:hAnsi="Google Sans" w:cs="Google Sans"/>
                <w:i/>
                <w:color w:val="EE0000"/>
              </w:rPr>
            </w:pPr>
            <w:r w:rsidRPr="0058693B">
              <w:rPr>
                <w:rFonts w:ascii="Google Sans" w:eastAsia="Google Sans" w:hAnsi="Google Sans" w:cs="Google Sans"/>
                <w:i/>
                <w:color w:val="EE0000"/>
              </w:rPr>
              <w:t>3</w:t>
            </w:r>
          </w:p>
        </w:tc>
        <w:tc>
          <w:tcPr>
            <w:tcW w:w="1320" w:type="dxa"/>
            <w:tcMar>
              <w:top w:w="100" w:type="dxa"/>
              <w:left w:w="100" w:type="dxa"/>
              <w:bottom w:w="100" w:type="dxa"/>
              <w:right w:w="100" w:type="dxa"/>
            </w:tcMar>
          </w:tcPr>
          <w:p w14:paraId="738F024C" w14:textId="26828164" w:rsidR="00C36F10" w:rsidRPr="0058693B" w:rsidRDefault="0058693B">
            <w:pPr>
              <w:widowControl w:val="0"/>
              <w:spacing w:line="240" w:lineRule="auto"/>
              <w:rPr>
                <w:rFonts w:ascii="Google Sans" w:eastAsia="Google Sans" w:hAnsi="Google Sans" w:cs="Google Sans"/>
                <w:i/>
                <w:color w:val="EE0000"/>
              </w:rPr>
            </w:pPr>
            <w:r w:rsidRPr="0058693B">
              <w:rPr>
                <w:rFonts w:ascii="Google Sans" w:eastAsia="Google Sans" w:hAnsi="Google Sans" w:cs="Google Sans"/>
                <w:i/>
                <w:color w:val="EE0000"/>
              </w:rPr>
              <w:t>3</w:t>
            </w:r>
          </w:p>
        </w:tc>
        <w:tc>
          <w:tcPr>
            <w:tcW w:w="1110" w:type="dxa"/>
            <w:tcMar>
              <w:top w:w="100" w:type="dxa"/>
              <w:left w:w="100" w:type="dxa"/>
              <w:bottom w:w="100" w:type="dxa"/>
              <w:right w:w="100" w:type="dxa"/>
            </w:tcMar>
          </w:tcPr>
          <w:p w14:paraId="50580EE6" w14:textId="77AAAD2B" w:rsidR="00C36F10" w:rsidRPr="0058693B" w:rsidRDefault="0058693B">
            <w:pPr>
              <w:widowControl w:val="0"/>
              <w:spacing w:line="240" w:lineRule="auto"/>
              <w:rPr>
                <w:rFonts w:ascii="Google Sans" w:eastAsia="Google Sans" w:hAnsi="Google Sans" w:cs="Google Sans"/>
                <w:i/>
                <w:color w:val="EE0000"/>
              </w:rPr>
            </w:pPr>
            <w:r w:rsidRPr="0058693B">
              <w:rPr>
                <w:rFonts w:ascii="Google Sans" w:eastAsia="Google Sans" w:hAnsi="Google Sans" w:cs="Google Sans"/>
                <w:i/>
                <w:color w:val="EE0000"/>
              </w:rPr>
              <w:t>9</w:t>
            </w:r>
          </w:p>
        </w:tc>
      </w:tr>
      <w:tr w:rsidR="00C36F10" w14:paraId="02E79FE3" w14:textId="77777777">
        <w:tc>
          <w:tcPr>
            <w:tcW w:w="1860" w:type="dxa"/>
            <w:tcMar>
              <w:top w:w="100" w:type="dxa"/>
              <w:left w:w="100" w:type="dxa"/>
              <w:bottom w:w="100" w:type="dxa"/>
              <w:right w:w="100" w:type="dxa"/>
            </w:tcMar>
          </w:tcPr>
          <w:p w14:paraId="0E7A34F3" w14:textId="30923C57" w:rsidR="00C36F10" w:rsidRPr="0058693B" w:rsidRDefault="0058693B">
            <w:pPr>
              <w:widowControl w:val="0"/>
              <w:spacing w:line="240" w:lineRule="auto"/>
              <w:rPr>
                <w:rFonts w:ascii="Google Sans" w:eastAsia="Google Sans" w:hAnsi="Google Sans" w:cs="Google Sans"/>
                <w:i/>
                <w:color w:val="EE0000"/>
              </w:rPr>
            </w:pPr>
            <w:r w:rsidRPr="0058693B">
              <w:rPr>
                <w:rFonts w:ascii="Google Sans" w:eastAsia="Google Sans" w:hAnsi="Google Sans" w:cs="Google Sans"/>
                <w:i/>
                <w:color w:val="EE0000"/>
              </w:rPr>
              <w:t>Advanced Persistent Threat (APT)</w:t>
            </w:r>
          </w:p>
        </w:tc>
        <w:tc>
          <w:tcPr>
            <w:tcW w:w="3615" w:type="dxa"/>
            <w:tcMar>
              <w:top w:w="100" w:type="dxa"/>
              <w:left w:w="100" w:type="dxa"/>
              <w:bottom w:w="100" w:type="dxa"/>
              <w:right w:w="100" w:type="dxa"/>
            </w:tcMar>
          </w:tcPr>
          <w:p w14:paraId="014DF851" w14:textId="18AF6030" w:rsidR="00C36F10" w:rsidRPr="0058693B" w:rsidRDefault="0058693B">
            <w:pPr>
              <w:widowControl w:val="0"/>
              <w:spacing w:line="240" w:lineRule="auto"/>
              <w:rPr>
                <w:rFonts w:ascii="Google Sans" w:eastAsia="Google Sans" w:hAnsi="Google Sans" w:cs="Google Sans"/>
                <w:i/>
                <w:color w:val="EE0000"/>
              </w:rPr>
            </w:pPr>
            <w:r w:rsidRPr="0058693B">
              <w:rPr>
                <w:rFonts w:ascii="Google Sans" w:eastAsia="Google Sans" w:hAnsi="Google Sans" w:cs="Google Sans"/>
                <w:i/>
                <w:color w:val="EE0000"/>
              </w:rPr>
              <w:t>Install persistent backdoors or conduct long-term data exfiltration</w:t>
            </w:r>
          </w:p>
        </w:tc>
        <w:tc>
          <w:tcPr>
            <w:tcW w:w="1395" w:type="dxa"/>
            <w:tcMar>
              <w:top w:w="100" w:type="dxa"/>
              <w:left w:w="100" w:type="dxa"/>
              <w:bottom w:w="100" w:type="dxa"/>
              <w:right w:w="100" w:type="dxa"/>
            </w:tcMar>
          </w:tcPr>
          <w:p w14:paraId="273BEB15" w14:textId="5A5B4A84" w:rsidR="00C36F10" w:rsidRPr="0058693B" w:rsidRDefault="0058693B">
            <w:pPr>
              <w:widowControl w:val="0"/>
              <w:spacing w:line="240" w:lineRule="auto"/>
              <w:rPr>
                <w:rFonts w:ascii="Google Sans" w:eastAsia="Google Sans" w:hAnsi="Google Sans" w:cs="Google Sans"/>
                <w:i/>
                <w:color w:val="EE0000"/>
              </w:rPr>
            </w:pPr>
            <w:r w:rsidRPr="0058693B">
              <w:rPr>
                <w:rFonts w:ascii="Google Sans" w:eastAsia="Google Sans" w:hAnsi="Google Sans" w:cs="Google Sans"/>
                <w:i/>
                <w:color w:val="EE0000"/>
              </w:rPr>
              <w:t>2</w:t>
            </w:r>
          </w:p>
        </w:tc>
        <w:tc>
          <w:tcPr>
            <w:tcW w:w="1320" w:type="dxa"/>
            <w:tcMar>
              <w:top w:w="100" w:type="dxa"/>
              <w:left w:w="100" w:type="dxa"/>
              <w:bottom w:w="100" w:type="dxa"/>
              <w:right w:w="100" w:type="dxa"/>
            </w:tcMar>
          </w:tcPr>
          <w:p w14:paraId="40B64C30" w14:textId="7B4682F7" w:rsidR="00C36F10" w:rsidRPr="0058693B" w:rsidRDefault="0058693B">
            <w:pPr>
              <w:widowControl w:val="0"/>
              <w:spacing w:line="240" w:lineRule="auto"/>
              <w:rPr>
                <w:rFonts w:ascii="Google Sans" w:eastAsia="Google Sans" w:hAnsi="Google Sans" w:cs="Google Sans"/>
                <w:i/>
                <w:color w:val="EE0000"/>
              </w:rPr>
            </w:pPr>
            <w:r w:rsidRPr="0058693B">
              <w:rPr>
                <w:rFonts w:ascii="Google Sans" w:eastAsia="Google Sans" w:hAnsi="Google Sans" w:cs="Google Sans"/>
                <w:i/>
                <w:color w:val="EE0000"/>
              </w:rPr>
              <w:t>3</w:t>
            </w:r>
          </w:p>
        </w:tc>
        <w:tc>
          <w:tcPr>
            <w:tcW w:w="1110" w:type="dxa"/>
            <w:tcMar>
              <w:top w:w="100" w:type="dxa"/>
              <w:left w:w="100" w:type="dxa"/>
              <w:bottom w:w="100" w:type="dxa"/>
              <w:right w:w="100" w:type="dxa"/>
            </w:tcMar>
          </w:tcPr>
          <w:p w14:paraId="2C959E53" w14:textId="5B1B35D7" w:rsidR="00C36F10" w:rsidRPr="0058693B" w:rsidRDefault="0058693B">
            <w:pPr>
              <w:widowControl w:val="0"/>
              <w:spacing w:line="240" w:lineRule="auto"/>
              <w:rPr>
                <w:rFonts w:ascii="Google Sans" w:eastAsia="Google Sans" w:hAnsi="Google Sans" w:cs="Google Sans"/>
                <w:i/>
                <w:color w:val="EE0000"/>
              </w:rPr>
            </w:pPr>
            <w:r w:rsidRPr="0058693B">
              <w:rPr>
                <w:rFonts w:ascii="Google Sans" w:eastAsia="Google Sans" w:hAnsi="Google Sans" w:cs="Google Sans"/>
                <w:i/>
                <w:color w:val="EE0000"/>
              </w:rPr>
              <w:t>6</w:t>
            </w:r>
          </w:p>
        </w:tc>
      </w:tr>
      <w:tr w:rsidR="0058693B" w14:paraId="54A04B48" w14:textId="77777777">
        <w:tc>
          <w:tcPr>
            <w:tcW w:w="1860" w:type="dxa"/>
            <w:tcMar>
              <w:top w:w="100" w:type="dxa"/>
              <w:left w:w="100" w:type="dxa"/>
              <w:bottom w:w="100" w:type="dxa"/>
              <w:right w:w="100" w:type="dxa"/>
            </w:tcMar>
          </w:tcPr>
          <w:p w14:paraId="3B643A54" w14:textId="7AE07280" w:rsidR="0058693B" w:rsidRPr="0058693B" w:rsidRDefault="0058693B">
            <w:pPr>
              <w:widowControl w:val="0"/>
              <w:spacing w:line="240" w:lineRule="auto"/>
              <w:rPr>
                <w:rFonts w:ascii="Google Sans" w:eastAsia="Google Sans" w:hAnsi="Google Sans" w:cs="Google Sans"/>
                <w:i/>
                <w:color w:val="EE0000"/>
              </w:rPr>
            </w:pPr>
            <w:r w:rsidRPr="0058693B">
              <w:rPr>
                <w:rFonts w:ascii="Google Sans" w:eastAsia="Google Sans" w:hAnsi="Google Sans" w:cs="Google Sans"/>
                <w:i/>
                <w:color w:val="EE0000"/>
              </w:rPr>
              <w:t>Power Outages</w:t>
            </w:r>
          </w:p>
        </w:tc>
        <w:tc>
          <w:tcPr>
            <w:tcW w:w="3615" w:type="dxa"/>
            <w:tcMar>
              <w:top w:w="100" w:type="dxa"/>
              <w:left w:w="100" w:type="dxa"/>
              <w:bottom w:w="100" w:type="dxa"/>
              <w:right w:w="100" w:type="dxa"/>
            </w:tcMar>
          </w:tcPr>
          <w:p w14:paraId="0F1E7878" w14:textId="56B9D606" w:rsidR="0058693B" w:rsidRPr="0058693B" w:rsidRDefault="0058693B">
            <w:pPr>
              <w:widowControl w:val="0"/>
              <w:spacing w:line="240" w:lineRule="auto"/>
              <w:rPr>
                <w:rFonts w:ascii="Google Sans" w:eastAsia="Google Sans" w:hAnsi="Google Sans" w:cs="Google Sans"/>
                <w:i/>
                <w:color w:val="EE0000"/>
              </w:rPr>
            </w:pPr>
            <w:r w:rsidRPr="0058693B">
              <w:rPr>
                <w:rFonts w:ascii="Google Sans" w:eastAsia="Google Sans" w:hAnsi="Google Sans" w:cs="Google Sans"/>
                <w:i/>
                <w:color w:val="EE0000"/>
              </w:rPr>
              <w:t>Disrupt critical operations</w:t>
            </w:r>
          </w:p>
        </w:tc>
        <w:tc>
          <w:tcPr>
            <w:tcW w:w="1395" w:type="dxa"/>
            <w:tcMar>
              <w:top w:w="100" w:type="dxa"/>
              <w:left w:w="100" w:type="dxa"/>
              <w:bottom w:w="100" w:type="dxa"/>
              <w:right w:w="100" w:type="dxa"/>
            </w:tcMar>
          </w:tcPr>
          <w:p w14:paraId="1F003FCE" w14:textId="32548776" w:rsidR="0058693B" w:rsidRPr="0058693B" w:rsidRDefault="0058693B">
            <w:pPr>
              <w:widowControl w:val="0"/>
              <w:spacing w:line="240" w:lineRule="auto"/>
              <w:rPr>
                <w:rFonts w:ascii="Google Sans" w:eastAsia="Google Sans" w:hAnsi="Google Sans" w:cs="Google Sans"/>
                <w:i/>
                <w:color w:val="EE0000"/>
              </w:rPr>
            </w:pPr>
            <w:r w:rsidRPr="0058693B">
              <w:rPr>
                <w:rFonts w:ascii="Google Sans" w:eastAsia="Google Sans" w:hAnsi="Google Sans" w:cs="Google Sans"/>
                <w:i/>
                <w:color w:val="EE0000"/>
              </w:rPr>
              <w:t>2</w:t>
            </w:r>
          </w:p>
        </w:tc>
        <w:tc>
          <w:tcPr>
            <w:tcW w:w="1320" w:type="dxa"/>
            <w:tcMar>
              <w:top w:w="100" w:type="dxa"/>
              <w:left w:w="100" w:type="dxa"/>
              <w:bottom w:w="100" w:type="dxa"/>
              <w:right w:w="100" w:type="dxa"/>
            </w:tcMar>
          </w:tcPr>
          <w:p w14:paraId="679C7BC1" w14:textId="6FDD8731" w:rsidR="0058693B" w:rsidRPr="0058693B" w:rsidRDefault="0058693B">
            <w:pPr>
              <w:widowControl w:val="0"/>
              <w:spacing w:line="240" w:lineRule="auto"/>
              <w:rPr>
                <w:rFonts w:ascii="Google Sans" w:eastAsia="Google Sans" w:hAnsi="Google Sans" w:cs="Google Sans"/>
                <w:i/>
                <w:color w:val="EE0000"/>
              </w:rPr>
            </w:pPr>
            <w:r w:rsidRPr="0058693B">
              <w:rPr>
                <w:rFonts w:ascii="Google Sans" w:eastAsia="Google Sans" w:hAnsi="Google Sans" w:cs="Google Sans"/>
                <w:i/>
                <w:color w:val="EE0000"/>
              </w:rPr>
              <w:t>3</w:t>
            </w:r>
          </w:p>
        </w:tc>
        <w:tc>
          <w:tcPr>
            <w:tcW w:w="1110" w:type="dxa"/>
            <w:tcMar>
              <w:top w:w="100" w:type="dxa"/>
              <w:left w:w="100" w:type="dxa"/>
              <w:bottom w:w="100" w:type="dxa"/>
              <w:right w:w="100" w:type="dxa"/>
            </w:tcMar>
          </w:tcPr>
          <w:p w14:paraId="7944849C" w14:textId="34501425" w:rsidR="0058693B" w:rsidRPr="0058693B" w:rsidRDefault="0058693B">
            <w:pPr>
              <w:widowControl w:val="0"/>
              <w:spacing w:line="240" w:lineRule="auto"/>
              <w:rPr>
                <w:rFonts w:ascii="Google Sans" w:eastAsia="Google Sans" w:hAnsi="Google Sans" w:cs="Google Sans"/>
                <w:i/>
                <w:color w:val="EE0000"/>
              </w:rPr>
            </w:pPr>
            <w:r w:rsidRPr="0058693B">
              <w:rPr>
                <w:rFonts w:ascii="Google Sans" w:eastAsia="Google Sans" w:hAnsi="Google Sans" w:cs="Google Sans"/>
                <w:i/>
                <w:color w:val="EE0000"/>
              </w:rPr>
              <w:t>6</w:t>
            </w:r>
          </w:p>
        </w:tc>
      </w:tr>
    </w:tbl>
    <w:p w14:paraId="0AED70C1" w14:textId="77777777" w:rsidR="00C36F10"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7" w:name="_a9ivkvfuz16w" w:colFirst="0" w:colLast="0"/>
      <w:bookmarkEnd w:id="7"/>
      <w:r>
        <w:rPr>
          <w:rFonts w:ascii="Proxima Nova" w:eastAsia="Proxima Nova" w:hAnsi="Proxima Nova" w:cs="Proxima Nova"/>
          <w:b/>
          <w:color w:val="353744"/>
          <w:sz w:val="28"/>
          <w:szCs w:val="28"/>
        </w:rPr>
        <w:t>Approach</w:t>
      </w:r>
    </w:p>
    <w:p w14:paraId="520B52D0" w14:textId="77777777" w:rsidR="00C36F10"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This section documents the approach used to conduct the vulnerability assessment report. It is important to be clear and concise when writing your approach. A transparent summary of your approach helps stakeholders understand that the assessment is credible and that the results can be used to make informed decisions.</w:t>
      </w:r>
    </w:p>
    <w:p w14:paraId="1774D6F6" w14:textId="77777777" w:rsidR="00C36F10" w:rsidRDefault="00000000">
      <w:pPr>
        <w:spacing w:before="200"/>
        <w:rPr>
          <w:rFonts w:ascii="Google Sans" w:eastAsia="Google Sans" w:hAnsi="Google Sans" w:cs="Google Sans"/>
          <w:color w:val="353744"/>
        </w:rPr>
      </w:pPr>
      <w:r>
        <w:rPr>
          <w:rFonts w:ascii="Google Sans" w:eastAsia="Google Sans" w:hAnsi="Google Sans" w:cs="Google Sans"/>
          <w:color w:val="353744"/>
        </w:rPr>
        <w:t>Consider the following questions to help you write an approach section:</w:t>
      </w:r>
    </w:p>
    <w:p w14:paraId="78676B03" w14:textId="77777777" w:rsidR="00C36F10" w:rsidRDefault="00000000">
      <w:pPr>
        <w:numPr>
          <w:ilvl w:val="0"/>
          <w:numId w:val="1"/>
        </w:numPr>
        <w:spacing w:before="200"/>
        <w:rPr>
          <w:rFonts w:ascii="Google Sans" w:eastAsia="Google Sans" w:hAnsi="Google Sans" w:cs="Google Sans"/>
          <w:i/>
          <w:color w:val="353744"/>
        </w:rPr>
      </w:pPr>
      <w:r>
        <w:rPr>
          <w:rFonts w:ascii="Google Sans" w:eastAsia="Google Sans" w:hAnsi="Google Sans" w:cs="Google Sans"/>
          <w:i/>
          <w:color w:val="353744"/>
        </w:rPr>
        <w:t>What was your rationale for selecting the risks that you evaluated?</w:t>
      </w:r>
    </w:p>
    <w:p w14:paraId="32815584" w14:textId="77777777" w:rsidR="00C36F10" w:rsidRDefault="00000000">
      <w:pPr>
        <w:numPr>
          <w:ilvl w:val="0"/>
          <w:numId w:val="1"/>
        </w:numPr>
        <w:rPr>
          <w:rFonts w:ascii="Google Sans" w:eastAsia="Google Sans" w:hAnsi="Google Sans" w:cs="Google Sans"/>
          <w:i/>
          <w:color w:val="353744"/>
        </w:rPr>
      </w:pPr>
      <w:r>
        <w:rPr>
          <w:rFonts w:ascii="Google Sans" w:eastAsia="Google Sans" w:hAnsi="Google Sans" w:cs="Google Sans"/>
          <w:i/>
          <w:color w:val="353744"/>
        </w:rPr>
        <w:t>How were you deriving the likelihood and severity scores of each risk?</w:t>
      </w:r>
    </w:p>
    <w:p w14:paraId="26BA7382" w14:textId="77777777" w:rsidR="00C36F10" w:rsidRDefault="00000000">
      <w:pPr>
        <w:numPr>
          <w:ilvl w:val="0"/>
          <w:numId w:val="1"/>
        </w:numPr>
        <w:rPr>
          <w:rFonts w:ascii="Google Sans" w:eastAsia="Google Sans" w:hAnsi="Google Sans" w:cs="Google Sans"/>
          <w:i/>
          <w:color w:val="353744"/>
        </w:rPr>
      </w:pPr>
      <w:r>
        <w:rPr>
          <w:rFonts w:ascii="Google Sans" w:eastAsia="Google Sans" w:hAnsi="Google Sans" w:cs="Google Sans"/>
          <w:i/>
          <w:color w:val="353744"/>
        </w:rPr>
        <w:t>What were the limitations of the assessment?</w:t>
      </w:r>
    </w:p>
    <w:p w14:paraId="5ABA9236" w14:textId="77777777" w:rsidR="0058693B" w:rsidRDefault="0058693B" w:rsidP="00097321">
      <w:pPr>
        <w:jc w:val="both"/>
        <w:rPr>
          <w:rFonts w:ascii="Google Sans" w:eastAsia="Google Sans" w:hAnsi="Google Sans" w:cs="Google Sans"/>
          <w:i/>
          <w:color w:val="353744"/>
        </w:rPr>
      </w:pPr>
    </w:p>
    <w:p w14:paraId="16ED36C4" w14:textId="653BC403" w:rsidR="0058693B" w:rsidRPr="0058693B" w:rsidRDefault="0058693B" w:rsidP="00097321">
      <w:pPr>
        <w:jc w:val="both"/>
        <w:rPr>
          <w:rFonts w:ascii="Google Sans" w:eastAsia="Google Sans" w:hAnsi="Google Sans" w:cs="Google Sans"/>
          <w:i/>
          <w:color w:val="EE0000"/>
          <w:lang w:val="en-US"/>
        </w:rPr>
      </w:pPr>
      <w:r w:rsidRPr="0058693B">
        <w:rPr>
          <w:rFonts w:ascii="Google Sans" w:eastAsia="Google Sans" w:hAnsi="Google Sans" w:cs="Google Sans"/>
          <w:i/>
          <w:color w:val="EE0000"/>
          <w:lang w:val="en-US"/>
        </w:rPr>
        <w:t>This qualitative vulnerability assessment was conducted using guidance from NIST-SP-800-30-Rev.-1</w:t>
      </w:r>
      <w:r w:rsidRPr="0058693B">
        <w:rPr>
          <w:rFonts w:ascii="Google Sans" w:eastAsia="Google Sans" w:hAnsi="Google Sans" w:cs="Google Sans"/>
          <w:i/>
          <w:color w:val="EE0000"/>
          <w:lang w:val="en-US"/>
        </w:rPr>
        <w:t xml:space="preserve"> </w:t>
      </w:r>
      <w:r w:rsidRPr="0058693B">
        <w:rPr>
          <w:rFonts w:ascii="Google Sans" w:eastAsia="Google Sans" w:hAnsi="Google Sans" w:cs="Google Sans"/>
          <w:i/>
          <w:color w:val="EE0000"/>
          <w:lang w:val="en-US"/>
        </w:rPr>
        <w:t>and focused on threat sources most relevant to a publicly accessible database server. The selected threats</w:t>
      </w:r>
      <w:r w:rsidRPr="0058693B">
        <w:rPr>
          <w:rFonts w:ascii="Google Sans" w:eastAsia="Google Sans" w:hAnsi="Google Sans" w:cs="Google Sans"/>
          <w:i/>
          <w:color w:val="EE0000"/>
          <w:lang w:val="en-US"/>
        </w:rPr>
        <w:t xml:space="preserve"> are </w:t>
      </w:r>
      <w:r w:rsidRPr="0058693B">
        <w:rPr>
          <w:rFonts w:ascii="Google Sans" w:eastAsia="Google Sans" w:hAnsi="Google Sans" w:cs="Google Sans"/>
          <w:i/>
          <w:color w:val="EE0000"/>
          <w:lang w:val="en-US"/>
        </w:rPr>
        <w:t>hackers, advanced persistent threats, and</w:t>
      </w:r>
      <w:r w:rsidRPr="0058693B">
        <w:rPr>
          <w:rFonts w:ascii="Google Sans" w:eastAsia="Google Sans" w:hAnsi="Google Sans" w:cs="Google Sans"/>
          <w:i/>
          <w:color w:val="EE0000"/>
          <w:lang w:val="en-US"/>
        </w:rPr>
        <w:t xml:space="preserve"> power outages, </w:t>
      </w:r>
      <w:r w:rsidRPr="0058693B">
        <w:rPr>
          <w:rFonts w:ascii="Google Sans" w:eastAsia="Google Sans" w:hAnsi="Google Sans" w:cs="Google Sans"/>
          <w:i/>
          <w:color w:val="EE0000"/>
          <w:lang w:val="en-US"/>
        </w:rPr>
        <w:t>were chosen because the server has been open to the public for three years and supports critical e-commerce operations. Likelihood and severity scores were determined using exposure level, attacker capability, and potential business impact.</w:t>
      </w:r>
      <w:r w:rsidRPr="0058693B">
        <w:rPr>
          <w:rFonts w:ascii="Google Sans" w:eastAsia="Google Sans" w:hAnsi="Google Sans" w:cs="Google Sans"/>
          <w:i/>
          <w:color w:val="EE0000"/>
          <w:lang w:val="en-US"/>
        </w:rPr>
        <w:t xml:space="preserve"> </w:t>
      </w:r>
      <w:r w:rsidRPr="0058693B">
        <w:rPr>
          <w:rFonts w:ascii="Google Sans" w:eastAsia="Google Sans" w:hAnsi="Google Sans" w:cs="Google Sans"/>
          <w:i/>
          <w:color w:val="EE0000"/>
        </w:rPr>
        <w:t>A limitation of this assessment is that it relies on qualitative analysis rather than quantitative data or live penetration testing results.</w:t>
      </w:r>
    </w:p>
    <w:p w14:paraId="59EE11CD" w14:textId="77777777" w:rsidR="00C36F10"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8" w:name="_vf6vykh0xvv7" w:colFirst="0" w:colLast="0"/>
      <w:bookmarkEnd w:id="8"/>
      <w:r>
        <w:rPr>
          <w:rFonts w:ascii="Proxima Nova" w:eastAsia="Proxima Nova" w:hAnsi="Proxima Nova" w:cs="Proxima Nova"/>
          <w:b/>
          <w:color w:val="353744"/>
          <w:sz w:val="28"/>
          <w:szCs w:val="28"/>
        </w:rPr>
        <w:t>Remediation Strategy</w:t>
      </w:r>
    </w:p>
    <w:p w14:paraId="1D2DBB91" w14:textId="77777777" w:rsidR="00C36F10"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This section provides specific and actionable recommendations to remediate or mitigate the risks that were assessed. Any recommendations that you make should be realistic and achievable. Overall, the remediation section of a vulnerability assessment report helps to ensure that risks are addressed in a timely and effective manner.</w:t>
      </w:r>
    </w:p>
    <w:p w14:paraId="7E817832" w14:textId="77777777" w:rsidR="00C36F10"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lastRenderedPageBreak/>
        <w:t>Consider the following questions to help you write a remediation strategy:</w:t>
      </w:r>
    </w:p>
    <w:p w14:paraId="47ED2427" w14:textId="77777777" w:rsidR="00C36F10" w:rsidRDefault="00000000">
      <w:pPr>
        <w:numPr>
          <w:ilvl w:val="0"/>
          <w:numId w:val="2"/>
        </w:numPr>
        <w:spacing w:before="200"/>
        <w:rPr>
          <w:rFonts w:ascii="Google Sans" w:eastAsia="Google Sans" w:hAnsi="Google Sans" w:cs="Google Sans"/>
          <w:i/>
          <w:color w:val="353744"/>
        </w:rPr>
      </w:pPr>
      <w:r>
        <w:rPr>
          <w:rFonts w:ascii="Google Sans" w:eastAsia="Google Sans" w:hAnsi="Google Sans" w:cs="Google Sans"/>
          <w:i/>
          <w:color w:val="353744"/>
        </w:rPr>
        <w:t>Which technical, operational, or managerial controls are currently implemented to secure the system?</w:t>
      </w:r>
    </w:p>
    <w:p w14:paraId="6F90CE19" w14:textId="77777777" w:rsidR="00C36F10" w:rsidRDefault="00000000">
      <w:pPr>
        <w:numPr>
          <w:ilvl w:val="0"/>
          <w:numId w:val="2"/>
        </w:numPr>
        <w:rPr>
          <w:rFonts w:ascii="Google Sans" w:eastAsia="Google Sans" w:hAnsi="Google Sans" w:cs="Google Sans"/>
          <w:i/>
          <w:color w:val="353744"/>
        </w:rPr>
      </w:pPr>
      <w:r>
        <w:rPr>
          <w:rFonts w:ascii="Google Sans" w:eastAsia="Google Sans" w:hAnsi="Google Sans" w:cs="Google Sans"/>
          <w:i/>
          <w:color w:val="353744"/>
        </w:rPr>
        <w:t>Are there security controls that can reduce the risks you evaluated? What are those controls and how would they remediate the risks?</w:t>
      </w:r>
    </w:p>
    <w:p w14:paraId="213F7E6F" w14:textId="77777777" w:rsidR="00C36F10" w:rsidRDefault="00000000">
      <w:pPr>
        <w:numPr>
          <w:ilvl w:val="0"/>
          <w:numId w:val="2"/>
        </w:numPr>
        <w:rPr>
          <w:rFonts w:ascii="Google Sans" w:eastAsia="Google Sans" w:hAnsi="Google Sans" w:cs="Google Sans"/>
          <w:i/>
          <w:color w:val="353744"/>
        </w:rPr>
      </w:pPr>
      <w:r>
        <w:rPr>
          <w:rFonts w:ascii="Google Sans" w:eastAsia="Google Sans" w:hAnsi="Google Sans" w:cs="Google Sans"/>
          <w:i/>
          <w:color w:val="353744"/>
        </w:rPr>
        <w:t>How will the results of the assessment improve the overall security of the system?</w:t>
      </w:r>
    </w:p>
    <w:p w14:paraId="1BE22ACA" w14:textId="77777777" w:rsidR="00C36F10" w:rsidRDefault="00C36F10"/>
    <w:p w14:paraId="663C4002" w14:textId="77777777" w:rsidR="002A0059" w:rsidRDefault="002A0059"/>
    <w:p w14:paraId="7ABCF1EE" w14:textId="3F70C96E" w:rsidR="002A0059" w:rsidRPr="002A0059" w:rsidRDefault="002A0059">
      <w:r w:rsidRPr="002A0059">
        <w:rPr>
          <w:rFonts w:ascii="Google Sans" w:eastAsia="Google Sans" w:hAnsi="Google Sans" w:cs="Google Sans"/>
          <w:i/>
          <w:color w:val="EE0000"/>
        </w:rPr>
        <w:t>To reduce the risks identified, the company should remove public access to the database server and implement the principle of least privilege to restrict user permissions. Multi-factor authentication (MFA) should be enforced for all remote employees to prevent unauthorized access. A defense-in-depth strategy, including firewalls, intrusion detection systems, and network segmentation, can further protect against external attackers and advanced persistent threats. Additionally, implementing the Authentication, Authorization, and Accounting (AAA) framework will strengthen access control and monitoring. Backup power systems and regular data backups should be established to mitigate environmental and operational disruptions.</w:t>
      </w:r>
    </w:p>
    <w:sectPr w:rsidR="002A0059" w:rsidRPr="002A005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7EAB2CC5-70C2-41BC-AA52-1E971B0AAC77}"/>
    <w:embedBold r:id="rId2" w:fontKey="{78C67706-32C3-4E2B-8AB3-C09AC2B6D8F5}"/>
  </w:font>
  <w:font w:name="Google Sans">
    <w:altName w:val="Calibri"/>
    <w:charset w:val="00"/>
    <w:family w:val="auto"/>
    <w:pitch w:val="default"/>
    <w:embedRegular r:id="rId3" w:fontKey="{B8AF726A-68F1-40D7-B648-510EE2B62724}"/>
    <w:embedBold r:id="rId4" w:fontKey="{F652DCC3-93BA-42DE-97AA-AEC586623B70}"/>
    <w:embedItalic r:id="rId5" w:fontKey="{18B3B2BB-A37E-4BF5-A8FB-5F4D884147AA}"/>
  </w:font>
  <w:font w:name="Calibri">
    <w:panose1 w:val="020F0502020204030204"/>
    <w:charset w:val="00"/>
    <w:family w:val="swiss"/>
    <w:pitch w:val="variable"/>
    <w:sig w:usb0="E4002EFF" w:usb1="C200247B" w:usb2="00000009" w:usb3="00000000" w:csb0="000001FF" w:csb1="00000000"/>
    <w:embedRegular r:id="rId6" w:fontKey="{CDDA6B2D-9565-4FC4-BA88-B8BA8ADB23D2}"/>
  </w:font>
  <w:font w:name="Cambria">
    <w:panose1 w:val="02040503050406030204"/>
    <w:charset w:val="00"/>
    <w:family w:val="roman"/>
    <w:pitch w:val="variable"/>
    <w:sig w:usb0="E00006FF" w:usb1="420024FF" w:usb2="02000000" w:usb3="00000000" w:csb0="0000019F" w:csb1="00000000"/>
    <w:embedRegular r:id="rId7" w:fontKey="{5285F3B8-1A82-4C83-A5B2-4E0F7CE583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D6351"/>
    <w:multiLevelType w:val="multilevel"/>
    <w:tmpl w:val="C9D0D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A693CD0"/>
    <w:multiLevelType w:val="multilevel"/>
    <w:tmpl w:val="730C1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5627420"/>
    <w:multiLevelType w:val="multilevel"/>
    <w:tmpl w:val="79042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21783931">
    <w:abstractNumId w:val="2"/>
  </w:num>
  <w:num w:numId="2" w16cid:durableId="1514874760">
    <w:abstractNumId w:val="0"/>
  </w:num>
  <w:num w:numId="3" w16cid:durableId="1235510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F10"/>
    <w:rsid w:val="000256C4"/>
    <w:rsid w:val="00097321"/>
    <w:rsid w:val="0026477A"/>
    <w:rsid w:val="002A0059"/>
    <w:rsid w:val="003E0CF9"/>
    <w:rsid w:val="0058693B"/>
    <w:rsid w:val="00B02E93"/>
    <w:rsid w:val="00C36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4BDDD"/>
  <w15:docId w15:val="{E1EE98CE-7D09-4B0E-A7B6-FF6DFD94B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Fc4L2azQlnUM-8r43PU9mYlT30BnxTwdjAMqpT7JeZk/edit?resourcekey=0-Q-XglnC3Li7JPK2hIvMkV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730</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Alexandru Balog</cp:lastModifiedBy>
  <cp:revision>5</cp:revision>
  <dcterms:created xsi:type="dcterms:W3CDTF">2026-02-22T13:45:00Z</dcterms:created>
  <dcterms:modified xsi:type="dcterms:W3CDTF">2026-02-22T14:22:00Z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2026-02-22T14:03:31Z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9d0e299f-2a26-481b-8257-41f958c0daf7</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