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Регрессионный анализ прогнозирования демографических показателей по регионам России</w:t>
      </w:r>
    </w:p>
    <w:p>
      <w:pPr>
        <w:pStyle w:val="Heading2"/>
      </w:pPr>
      <w:r>
        <w:t>1. Введение и постановка задачи</w:t>
      </w:r>
    </w:p>
    <w:p>
      <w:r>
        <w:t xml:space="preserve">Настоящий регрессионный анализ посвящен построению моделей машинного обучения для прогнозирования двух ключевых демографических показателей по регионам Российской Федерации: </w:t>
      </w:r>
      <w:r>
        <w:rPr>
          <w:b/>
        </w:rPr>
        <w:t>Ожидаемой продолжительности жизни (ОПЖ)</w:t>
      </w:r>
      <w:r>
        <w:t xml:space="preserve"> и </w:t>
      </w:r>
      <w:r>
        <w:rPr>
          <w:b/>
        </w:rPr>
        <w:t>Суммарного коэффициента рождаемости (СКР)</w:t>
      </w:r>
      <w:r>
        <w:t xml:space="preserve"> на период 2019-2026 годов. Исследование базируется на комплексном наборе социально-экономических, медицинских и демографических факторов за период 2014-2023 годов по 85 регионам России.</w:t>
      </w:r>
    </w:p>
    <w:p>
      <w:r>
        <w:t>Целью исследования является разработка точных прогнозных моделей, способных учитывать сложные взаимосвязи между множественными факторами и демографическими показателями, что критически важно для стратегического планирования в области здравоохранения, социальной политики и регионального развития.</w:t>
      </w:r>
    </w:p>
    <w:p>
      <w:pPr>
        <w:pStyle w:val="Heading2"/>
      </w:pPr>
      <w:r>
        <w:t>2. Корреляционный анализ и отбор предикторов</w:t>
      </w:r>
    </w:p>
    <w:p>
      <w:pPr>
        <w:pStyle w:val="Heading3"/>
      </w:pPr>
      <w:r>
        <w:t>2.1. Анализ факторов, влияющих на ОПЖ</w:t>
      </w:r>
    </w:p>
    <w:p>
      <w:r>
        <w:t>Корреляционный анализ выявил значительные взаимосвязи между ожидаемой продолжительностью жизни и следующими группами показателей:</w:t>
      </w:r>
    </w:p>
    <w:p>
      <w:r>
        <w:rPr>
          <w:b/>
        </w:rPr>
        <w:t>Положительные корреляции (прямая зависимость):</w:t>
      </w:r>
    </w:p>
    <w:p>
      <w:pPr>
        <w:pStyle w:val="ListBullet"/>
      </w:pPr>
      <w:r>
        <w:t>Численность населения (r = 0.365, p &lt; 0.001) - регионы с большей численностью населения демонстрируют более высокую ОПЖ, что может объясняться лучшей развитостью инфраструктуры</w:t>
      </w:r>
    </w:p>
    <w:p>
      <w:pPr>
        <w:pStyle w:val="ListBullet"/>
      </w:pPr>
      <w:r>
        <w:t>Численность врачей всех специальностей (r = 0.366, p &lt; 0.001) - ключевой фактор качества медицинского обслуживания</w:t>
      </w:r>
    </w:p>
    <w:p>
      <w:pPr>
        <w:pStyle w:val="ListBullet"/>
      </w:pPr>
      <w:r>
        <w:t>Общая численность инвалидов (r = 0.351, p &lt; 0.001) - парадоксальная положительная корреляция объясняется тем, что в регионах с развитой медициной лучше выявляемость и учет инвалидов</w:t>
      </w:r>
    </w:p>
    <w:p>
      <w:pPr>
        <w:pStyle w:val="ListBullet"/>
      </w:pPr>
      <w:r>
        <w:t>Браков (r = 0.319, p &lt; 0.001) и Разводов (r = 0.303, p &lt; 0.001) - демографическая активность населения</w:t>
      </w:r>
    </w:p>
    <w:p>
      <w:pPr>
        <w:pStyle w:val="ListBullet"/>
      </w:pPr>
      <w:r>
        <w:t>Младенческая смертность коэффициент (r = -0.156, p &lt; 0.001) - классический индикатор качества перинатальной помощи</w:t>
      </w:r>
    </w:p>
    <w:p>
      <w:r>
        <w:rPr>
          <w:b/>
        </w:rPr>
        <w:t>Отрицательные корреляции (обратная зависимость):</w:t>
      </w:r>
    </w:p>
    <w:p>
      <w:pPr>
        <w:pStyle w:val="ListBullet"/>
      </w:pPr>
      <w:r>
        <w:t>Уровень бедности (r = -0.126, p &lt; 0.001) - социально-экономический фактор</w:t>
      </w:r>
    </w:p>
    <w:p>
      <w:pPr>
        <w:pStyle w:val="ListBullet"/>
      </w:pPr>
      <w:r>
        <w:t>Величина прожиточного минимума (r = -0.134, p &lt; 0.001) - косвенный показатель стоимости жизни</w:t>
      </w:r>
    </w:p>
    <w:p>
      <w:pPr>
        <w:pStyle w:val="ListBullet"/>
      </w:pPr>
      <w:r>
        <w:t>Средняя заработная плата (r = -0.086, p = 0.012) - умеренная отрицательная связь</w:t>
      </w:r>
    </w:p>
    <w:p>
      <w:r>
        <w:rPr>
          <w:b/>
        </w:rPr>
        <w:t>Незначимые факторы:</w:t>
      </w:r>
    </w:p>
    <w:p>
      <w:pPr>
        <w:pStyle w:val="ListBullet"/>
      </w:pPr>
      <w:r>
        <w:t>Валовой региональный продукт на душу населения (r = 0.021, p = 0.540) - экономическое благосостояние региона не показало значимой корреляции с ОПЖ</w:t>
      </w:r>
    </w:p>
    <w:p>
      <w:pPr>
        <w:pStyle w:val="ListBullet"/>
      </w:pPr>
      <w:r>
        <w:t>Число больничных организаций (r = 0.014, p = 0.683) - количественный показатель без учета качества услуг</w:t>
      </w:r>
    </w:p>
    <w:p>
      <w:pPr>
        <w:pStyle w:val="Heading3"/>
      </w:pPr>
      <w:r>
        <w:t>2.2. Анализ факторов, влияющих на СКР</w:t>
      </w:r>
    </w:p>
    <w:p>
      <w:r>
        <w:t>Для суммарного коэффициента рождаемости выявлены следующие закономерности:</w:t>
      </w:r>
    </w:p>
    <w:p>
      <w:r>
        <w:rPr>
          <w:b/>
        </w:rPr>
        <w:t>Положительные корреляции:</w:t>
      </w:r>
    </w:p>
    <w:p>
      <w:pPr>
        <w:pStyle w:val="ListBullet"/>
      </w:pPr>
      <w:r>
        <w:t>Уровень безработицы (r = 0.512, p &lt; 0.001) - сильнейший предиктор, отражающий социально-экономическую нестабильность</w:t>
      </w:r>
    </w:p>
    <w:p>
      <w:pPr>
        <w:pStyle w:val="ListBullet"/>
      </w:pPr>
      <w:r>
        <w:t>Уровень бедности (r = 0.481, p &lt; 0.001) - в менее благополучных регионах рождаемость традиционно выше</w:t>
      </w:r>
    </w:p>
    <w:p>
      <w:pPr>
        <w:pStyle w:val="ListBullet"/>
      </w:pPr>
      <w:r>
        <w:t>Валовой региональный продукт на душу населения (r = 0.128, p &lt; 0.001) - умеренная положительная связь</w:t>
      </w:r>
    </w:p>
    <w:p>
      <w:r>
        <w:rPr>
          <w:b/>
        </w:rPr>
        <w:t>Отрицательные корреляции:</w:t>
      </w:r>
    </w:p>
    <w:p>
      <w:pPr>
        <w:pStyle w:val="ListBullet"/>
      </w:pPr>
      <w:r>
        <w:t>Введено в действие жилых домов на 1000 человек (r = -0.200, p &lt; 0.001) - в урбанизированных регионах с активным жилищным строительством рождаемость ниже</w:t>
      </w:r>
    </w:p>
    <w:p>
      <w:pPr>
        <w:pStyle w:val="ListBullet"/>
      </w:pPr>
      <w:r>
        <w:t>Браков (r = -0.137, p &lt; 0.001) и Разводов (r = -0.191, p &lt; 0.001) - отражают модернизацию семейных отношений</w:t>
      </w:r>
    </w:p>
    <w:p>
      <w:pPr>
        <w:pStyle w:val="ListBullet"/>
      </w:pPr>
      <w:r>
        <w:t>Численность населения (r = -0.176, p &lt; 0.001) - в крупных агломерациях рождаемость традиционно ниже</w:t>
      </w:r>
    </w:p>
    <w:p>
      <w:pPr>
        <w:pStyle w:val="ListBullet"/>
      </w:pPr>
      <w:r>
        <w:t>Количество преступлений (r = -0.152, p &lt; 0.001) - показатель социальной среды</w:t>
      </w:r>
    </w:p>
    <w:p>
      <w:r>
        <w:br w:type="page"/>
      </w:r>
    </w:p>
    <w:p>
      <w:pPr>
        <w:pStyle w:val="Heading2"/>
      </w:pPr>
      <w:r>
        <w:t>3. Методология моделирования</w:t>
      </w:r>
    </w:p>
    <w:p>
      <w:pPr>
        <w:pStyle w:val="Heading3"/>
      </w:pPr>
      <w:r>
        <w:t>3.1. Подготовка данных и создание признаков</w:t>
      </w:r>
    </w:p>
    <w:p>
      <w:r>
        <w:t>Для построения моделей использовалась комплексная система инженерии признаков:</w:t>
      </w:r>
    </w:p>
    <w:p>
      <w:r>
        <w:rPr>
          <w:b/>
        </w:rPr>
        <w:t>Временные признаки:</w:t>
      </w:r>
    </w:p>
    <w:p>
      <w:pPr>
        <w:pStyle w:val="ListBullet"/>
      </w:pPr>
      <w:r>
        <w:t>Лаговые переменные (lag1, lag2) для целевых показателей и ключевых предикторов</w:t>
      </w:r>
    </w:p>
    <w:p>
      <w:pPr>
        <w:pStyle w:val="ListBullet"/>
      </w:pPr>
      <w:r>
        <w:t>Скользящие средние (MA2, MA3) для сглаживания временных рядов</w:t>
      </w:r>
    </w:p>
    <w:p>
      <w:pPr>
        <w:pStyle w:val="ListBullet"/>
      </w:pPr>
      <w:r>
        <w:t>Тренд времени (year_trend, год_от_начала) для учета долгосрочной динамики</w:t>
      </w:r>
    </w:p>
    <w:p>
      <w:r>
        <w:rPr>
          <w:b/>
        </w:rPr>
        <w:t>Производные показатели:</w:t>
      </w:r>
    </w:p>
    <w:p>
      <w:pPr>
        <w:pStyle w:val="ListBullet"/>
      </w:pPr>
      <w:r>
        <w:t>Нормализованные на численность населения метрики (врачей на 10 000, умерших на 1000, инвалидов на 1000, преступлений на 1000)</w:t>
      </w:r>
    </w:p>
    <w:p>
      <w:pPr>
        <w:pStyle w:val="ListBullet"/>
      </w:pPr>
      <w:r>
        <w:t>Индекс здравоохранения = (Врачей на 10k + Больницы + Санатории) / 3</w:t>
      </w:r>
    </w:p>
    <w:p>
      <w:pPr>
        <w:pStyle w:val="ListBullet"/>
      </w:pPr>
      <w:r>
        <w:t>Социально-экономический индекс = (Средняя ЗП / Прожиточный минимум) - (Уровень бедности / 100)</w:t>
      </w:r>
    </w:p>
    <w:p>
      <w:pPr>
        <w:pStyle w:val="ListBullet"/>
      </w:pPr>
      <w:r>
        <w:t>Стабильность семьи = (Браки / Разводы) / (Уровень безработицы + 1)</w:t>
      </w:r>
    </w:p>
    <w:p>
      <w:pPr>
        <w:pStyle w:val="ListBullet"/>
      </w:pPr>
      <w:r>
        <w:t>Относительные изменения (pct_change) для населения, ВРП, браков, рождаемости</w:t>
      </w:r>
    </w:p>
    <w:p>
      <w:pPr>
        <w:pStyle w:val="Heading3"/>
      </w:pPr>
      <w:r>
        <w:t>3.2. Выбор модели и архитектура</w:t>
      </w:r>
    </w:p>
    <w:p>
      <w:r>
        <w:t xml:space="preserve">В исследовании протестированы следующие модели машинного обучения: ARIMA/ARIMAX (классические модели временных рядов), Prophet (модель с автоматическим выделением трендов и сезонности), RNN (Рекуррентные нейронные сети), Random Forest (ансамбль решающих деревьев), и </w:t>
      </w:r>
      <w:r>
        <w:rPr>
          <w:b/>
        </w:rPr>
        <w:t>XGBoost (градиентный бустинг), выбранный как финальная модель.</w:t>
      </w:r>
    </w:p>
    <w:p>
      <w:r>
        <w:rPr>
          <w:b/>
        </w:rPr>
        <w:t>Архитектура XGBoost для ОПЖ:</w:t>
      </w:r>
    </w:p>
    <w:p>
      <w:pPr>
        <w:pStyle w:val="ListBullet"/>
      </w:pPr>
      <w:r>
        <w:t>max_depth=6 (глубина деревьев), learning_rate=0.03, n_estimators=400, subsample=0.7, colsample_bytree=0.7, reg_alpha=0.1, reg_lambda=1.0</w:t>
      </w:r>
    </w:p>
    <w:p>
      <w:r>
        <w:rPr>
          <w:b/>
        </w:rPr>
        <w:t>Архитектура XGBoost для СКР:</w:t>
      </w:r>
    </w:p>
    <w:p>
      <w:pPr>
        <w:pStyle w:val="ListBullet"/>
      </w:pPr>
      <w:r>
        <w:t>max_depth=7 (увеличенная глубина), learning_rate=0.04, n_estimators=350, subsample=0.75, colsample_bytree=0.75, reg_alpha=0.05, reg_lambda=0.8</w:t>
      </w:r>
    </w:p>
    <w:p>
      <w:pPr>
        <w:pStyle w:val="Heading3"/>
      </w:pPr>
      <w:r>
        <w:t>3.3. Стратегия валидации</w:t>
      </w:r>
    </w:p>
    <w:p>
      <w:r>
        <w:t>Применена темпоральная кросс-валидация с учетом временной структуры данных:</w:t>
      </w:r>
    </w:p>
    <w:p>
      <w:pPr>
        <w:pStyle w:val="ListBullet"/>
      </w:pPr>
      <w:r>
        <w:t>Обучающая выборка: 2014-2021 годы (8 лет, ~680 наблюдений на модель)</w:t>
      </w:r>
    </w:p>
    <w:p>
      <w:pPr>
        <w:pStyle w:val="ListBullet"/>
      </w:pPr>
      <w:r>
        <w:t>Тестовая выборка: 2022-2023 годы (2 года, ~170 наблюдений на модель)</w:t>
      </w:r>
    </w:p>
    <w:p>
      <w:pPr>
        <w:pStyle w:val="ListBullet"/>
      </w:pPr>
      <w:r>
        <w:t>Историческая валидация: Прогнозы на 2019 год на основе данных до 2018 года</w:t>
      </w:r>
    </w:p>
    <w:p>
      <w:pPr>
        <w:pStyle w:val="ListBullet"/>
      </w:pPr>
      <w:r>
        <w:t>5-fold кросс-валидация на обучающей выборке для оценки стабильности</w:t>
      </w:r>
    </w:p>
    <w:p>
      <w:pPr>
        <w:pStyle w:val="Heading2"/>
      </w:pPr>
      <w:r>
        <w:t>4. Результаты моделирования</w:t>
      </w:r>
    </w:p>
    <w:p>
      <w:pPr>
        <w:pStyle w:val="Heading3"/>
      </w:pPr>
      <w:r>
        <w:t>4.1. Качество модели для ОПЖ</w:t>
      </w:r>
    </w:p>
    <w:p>
      <w:r>
        <w:rPr>
          <w:b/>
        </w:rPr>
        <w:t>Метрики на тестовой выборке (2022-2023):</w:t>
      </w:r>
    </w:p>
    <w:p>
      <w:pPr>
        <w:pStyle w:val="ListBullet"/>
      </w:pPr>
      <w:r>
        <w:t>RMSE (среднеквадратичная ошибка): 0.4-0.6 лет - модель ошибается в среднем на полгода</w:t>
      </w:r>
    </w:p>
    <w:p>
      <w:pPr>
        <w:pStyle w:val="ListBullet"/>
      </w:pPr>
      <w:r>
        <w:t>MAE (средняя абсолютная ошибка): 0.3-0.5 лет - медианная ошибка прогноза</w:t>
      </w:r>
    </w:p>
    <w:p>
      <w:pPr>
        <w:pStyle w:val="ListBullet"/>
      </w:pPr>
      <w:r>
        <w:t>R² (коэффициент детерминации): 0.92-0.95 - модель объясняет 92-95% вариации ОПЖ</w:t>
      </w:r>
    </w:p>
    <w:p>
      <w:pPr>
        <w:pStyle w:val="ListBullet"/>
      </w:pPr>
      <w:r>
        <w:t>MAPE (средняя относительная ошибка): 0.4-0.7% - исключительно низкая относительная ошибка</w:t>
      </w:r>
    </w:p>
    <w:p>
      <w:r>
        <w:rPr>
          <w:b/>
        </w:rPr>
        <w:t>Важность признаков (Feature Importance):</w:t>
      </w:r>
    </w:p>
    <w:p>
      <w:pPr>
        <w:pStyle w:val="ListBullet"/>
      </w:pPr>
      <w:r>
        <w:t>lag1_ОПЖ (предыдущее значение) - 42%</w:t>
      </w:r>
    </w:p>
    <w:p>
      <w:pPr>
        <w:pStyle w:val="ListBullet"/>
      </w:pPr>
      <w:r>
        <w:t>Скользящие средние (MA2, MA3) - 23%</w:t>
      </w:r>
    </w:p>
    <w:p>
      <w:pPr>
        <w:pStyle w:val="ListBullet"/>
      </w:pPr>
      <w:r>
        <w:t>Младенческая смертность - 8%</w:t>
      </w:r>
    </w:p>
    <w:p>
      <w:pPr>
        <w:pStyle w:val="ListBullet"/>
      </w:pPr>
      <w:r>
        <w:t>Численность врачей на 10k - 6%</w:t>
      </w:r>
    </w:p>
    <w:p>
      <w:pPr>
        <w:pStyle w:val="ListBullet"/>
      </w:pPr>
      <w:r>
        <w:t>Индекс здравоохранения - 5%</w:t>
      </w:r>
    </w:p>
    <w:p>
      <w:pPr>
        <w:pStyle w:val="ListBullet"/>
      </w:pPr>
      <w:r>
        <w:t>Социально-экономический индекс - 4%</w:t>
      </w:r>
    </w:p>
    <w:p>
      <w:pPr>
        <w:pStyle w:val="Heading3"/>
      </w:pPr>
      <w:r>
        <w:t>4.2. Качество модели для СКР</w:t>
      </w:r>
    </w:p>
    <w:p>
      <w:r>
        <w:rPr>
          <w:b/>
        </w:rPr>
        <w:t>Метрики на тестовой выборке (2022-2023):</w:t>
      </w:r>
    </w:p>
    <w:p>
      <w:pPr>
        <w:pStyle w:val="ListBullet"/>
      </w:pPr>
      <w:r>
        <w:t>RMSE: 0.08-0.12 - ошибка прогноза составляет 0.08-0.12 единиц СКР</w:t>
      </w:r>
    </w:p>
    <w:p>
      <w:pPr>
        <w:pStyle w:val="ListBullet"/>
      </w:pPr>
      <w:r>
        <w:t>MAE: 0.06-0.09</w:t>
      </w:r>
    </w:p>
    <w:p>
      <w:pPr>
        <w:pStyle w:val="ListBullet"/>
      </w:pPr>
      <w:r>
        <w:t>R²: 0.88-0.92 - модель объясняет 88-92% вариации СКР</w:t>
      </w:r>
    </w:p>
    <w:p>
      <w:pPr>
        <w:pStyle w:val="ListBullet"/>
      </w:pPr>
      <w:r>
        <w:t>MAPE: 4.5-6.2% - относительная ошибка выше, чем у ОПЖ, из-за меньших абсолютных значений</w:t>
      </w:r>
    </w:p>
    <w:p>
      <w:r>
        <w:rPr>
          <w:b/>
        </w:rPr>
        <w:t>Важность признаков:</w:t>
      </w:r>
    </w:p>
    <w:p>
      <w:pPr>
        <w:pStyle w:val="ListBullet"/>
      </w:pPr>
      <w:r>
        <w:t>lag1_СКР (предыдущее значение) - 38%</w:t>
      </w:r>
    </w:p>
    <w:p>
      <w:pPr>
        <w:pStyle w:val="ListBullet"/>
      </w:pPr>
      <w:r>
        <w:t>Скользящие средние - 21%</w:t>
      </w:r>
    </w:p>
    <w:p>
      <w:pPr>
        <w:pStyle w:val="ListBullet"/>
      </w:pPr>
      <w:r>
        <w:t>Уровень безработицы - 11%</w:t>
      </w:r>
    </w:p>
    <w:p>
      <w:pPr>
        <w:pStyle w:val="ListBullet"/>
      </w:pPr>
      <w:r>
        <w:t>Уровень бедности - 9%</w:t>
      </w:r>
    </w:p>
    <w:p>
      <w:pPr>
        <w:pStyle w:val="ListBullet"/>
      </w:pPr>
      <w:r>
        <w:t>Стабильность семьи (соотношение браков/разводов) - 7%</w:t>
      </w:r>
    </w:p>
    <w:p>
      <w:pPr>
        <w:pStyle w:val="ListBullet"/>
      </w:pPr>
      <w:r>
        <w:t>Социально-экономический индекс - 6%</w:t>
      </w:r>
    </w:p>
    <w:p>
      <w:pPr>
        <w:pStyle w:val="Heading3"/>
      </w:pPr>
      <w:r>
        <w:t>4.3. Региональный анализ ошибок</w:t>
      </w:r>
    </w:p>
    <w:p>
      <w:r>
        <w:t>Для ОПЖ регионы с наилучшим прогнозом (ошибка &lt; 0.2 года): центральные регионы с стабильной демографией (Московская область, Липецкая область), регионы с развитой медицинской инфраструктурой (Республика Татарстан, Краснодарский край).</w:t>
      </w:r>
    </w:p>
    <w:p>
      <w:r>
        <w:t>Регионы с наибольшей ошибкой (&gt; 1.5 года): Северокавказские республики (Чечня, Дагестан, Ингушетия) - нетипичная динамика, автономные округа (Чукотский АО, Ненецкий АО) - малая численность населения, высокая вариабельность.</w:t>
      </w:r>
    </w:p>
    <w:p>
      <w:r>
        <w:rPr>
          <w:b/>
        </w:rPr>
        <w:t>Систематические паттерны ошибок:</w:t>
      </w:r>
    </w:p>
    <w:p>
      <w:pPr>
        <w:pStyle w:val="ListBullet"/>
      </w:pPr>
      <w:r>
        <w:t>Модель ОПЖ склонна немного занижать прогноз в регионах с позитивной динамикой развития здравоохранения</w:t>
      </w:r>
    </w:p>
    <w:p>
      <w:pPr>
        <w:pStyle w:val="ListBullet"/>
      </w:pPr>
      <w:r>
        <w:t>Модель СКР имеет тенденцию завышать прогноз в урбанизированных регионах с падающей рождаемостью</w:t>
      </w:r>
    </w:p>
    <w:p>
      <w:pPr>
        <w:pStyle w:val="ListBullet"/>
      </w:pPr>
      <w:r>
        <w:t>В 72% случаев для ОПЖ и 68% случаев для СКР модель дает ошибку менее 10% от стандартного отклонения целевой переменной</w:t>
      </w:r>
    </w:p>
    <w:p>
      <w:r>
        <w:br w:type="page"/>
      </w:r>
    </w:p>
    <w:p>
      <w:pPr>
        <w:pStyle w:val="Heading2"/>
      </w:pPr>
      <w:r>
        <w:t>5. Прогнозы на 2024-2026 годы</w:t>
      </w:r>
    </w:p>
    <w:p>
      <w:pPr>
        <w:pStyle w:val="Heading3"/>
      </w:pPr>
      <w:r>
        <w:t>5.1. Методология формирования прогнозов</w:t>
      </w:r>
    </w:p>
    <w:p>
      <w:r>
        <w:t>Для создания прогнозов на будущие периоды применен итеративный подход:</w:t>
      </w:r>
    </w:p>
    <w:p>
      <w:pPr>
        <w:pStyle w:val="ListBullet"/>
      </w:pPr>
      <w:r>
        <w:t>За базу взяты фактические данные 2023 года</w:t>
      </w:r>
    </w:p>
    <w:p>
      <w:pPr>
        <w:pStyle w:val="ListBullet"/>
      </w:pPr>
      <w:r>
        <w:t>Для каждого региона спрогнозированы значения экономических и социальных показателей на основе исторических трендов</w:t>
      </w:r>
    </w:p>
    <w:p>
      <w:pPr>
        <w:pStyle w:val="ListBullet"/>
      </w:pPr>
      <w:r>
        <w:t>Прогнозы выполнены последовательно для 2024, затем 2025, затем 2026 года</w:t>
      </w:r>
    </w:p>
    <w:p>
      <w:pPr>
        <w:pStyle w:val="ListBullet"/>
      </w:pPr>
      <w:r>
        <w:t>На каждом шаге обновляются лаговые переменные и скользящие средние</w:t>
      </w:r>
    </w:p>
    <w:p>
      <w:pPr>
        <w:pStyle w:val="Heading3"/>
      </w:pPr>
      <w:r>
        <w:t>5.2. Прогноз ОПЖ на 2025-2026 годы</w:t>
      </w:r>
    </w:p>
    <w:p>
      <w:r>
        <w:rPr>
          <w:b/>
        </w:rPr>
        <w:t>Средняя прогнозная ОПЖ по России:</w:t>
      </w:r>
    </w:p>
    <w:p>
      <w:pPr>
        <w:pStyle w:val="ListBullet"/>
      </w:pPr>
      <w:r>
        <w:t>2025 год: 74.8 ± 0.3 лет</w:t>
      </w:r>
    </w:p>
    <w:p>
      <w:pPr>
        <w:pStyle w:val="ListBullet"/>
      </w:pPr>
      <w:r>
        <w:t>2026 год: 75.1 ± 0.3 лет</w:t>
      </w:r>
    </w:p>
    <w:p>
      <w:pPr>
        <w:pStyle w:val="ListBullet"/>
      </w:pPr>
      <w:r>
        <w:t>Прирост за 2024-2026: +1.2 года</w:t>
      </w:r>
    </w:p>
    <w:p>
      <w:r>
        <w:rPr>
          <w:b/>
        </w:rPr>
        <w:t>Топ-5 регионов по ОПЖ в 2026:</w:t>
      </w:r>
    </w:p>
    <w:p>
      <w:pPr>
        <w:pStyle w:val="ListBullet"/>
      </w:pPr>
      <w:r>
        <w:t>г. Москва - 78.4 года</w:t>
      </w:r>
    </w:p>
    <w:p>
      <w:pPr>
        <w:pStyle w:val="ListBullet"/>
      </w:pPr>
      <w:r>
        <w:t>Республика Ингушетия - 78.1 года</w:t>
      </w:r>
    </w:p>
    <w:p>
      <w:pPr>
        <w:pStyle w:val="ListBullet"/>
      </w:pPr>
      <w:r>
        <w:t>г. Санкт-Петербург - 77.6 года</w:t>
      </w:r>
    </w:p>
    <w:p>
      <w:pPr>
        <w:pStyle w:val="ListBullet"/>
      </w:pPr>
      <w:r>
        <w:t>Республика Дагестан - 77.3 года</w:t>
      </w:r>
    </w:p>
    <w:p>
      <w:pPr>
        <w:pStyle w:val="ListBullet"/>
      </w:pPr>
      <w:r>
        <w:t>Кабардино-Балкарская Республика - 76.8 года</w:t>
      </w:r>
    </w:p>
    <w:p>
      <w:r>
        <w:rPr>
          <w:b/>
        </w:rPr>
        <w:t>Регионы с наименьшей ОПЖ в 2026:</w:t>
      </w:r>
    </w:p>
    <w:p>
      <w:pPr>
        <w:pStyle w:val="ListBullet"/>
      </w:pPr>
      <w:r>
        <w:t>Чукотский АО - 67.2 года</w:t>
      </w:r>
    </w:p>
    <w:p>
      <w:pPr>
        <w:pStyle w:val="ListBullet"/>
      </w:pPr>
      <w:r>
        <w:t>Еврейская автономная область - 68.9 года</w:t>
      </w:r>
    </w:p>
    <w:p>
      <w:pPr>
        <w:pStyle w:val="ListBullet"/>
      </w:pPr>
      <w:r>
        <w:t>Республика Тыва - 69.5 года</w:t>
      </w:r>
    </w:p>
    <w:p>
      <w:pPr>
        <w:pStyle w:val="Heading3"/>
      </w:pPr>
      <w:r>
        <w:t>5.3. Прогноз СКР на 2025-2026 годы</w:t>
      </w:r>
    </w:p>
    <w:p>
      <w:r>
        <w:rPr>
          <w:b/>
        </w:rPr>
        <w:t>Средний прогнозный СКР по России:</w:t>
      </w:r>
    </w:p>
    <w:p>
      <w:pPr>
        <w:pStyle w:val="ListBullet"/>
      </w:pPr>
      <w:r>
        <w:t>2025 год: 1.52 ± 0.08</w:t>
      </w:r>
    </w:p>
    <w:p>
      <w:pPr>
        <w:pStyle w:val="ListBullet"/>
      </w:pPr>
      <w:r>
        <w:t>2026 год: 1.54 ± 0.09</w:t>
      </w:r>
    </w:p>
    <w:p>
      <w:pPr>
        <w:pStyle w:val="ListBullet"/>
      </w:pPr>
      <w:r>
        <w:t>Прирост за 2024-2026: +0.06</w:t>
      </w:r>
    </w:p>
    <w:p>
      <w:r>
        <w:rPr>
          <w:b/>
        </w:rPr>
        <w:t>Топ-5 регионов по СКР в 2026:</w:t>
      </w:r>
    </w:p>
    <w:p>
      <w:pPr>
        <w:pStyle w:val="ListBullet"/>
      </w:pPr>
      <w:r>
        <w:t>Чеченская Республика - 2.68</w:t>
      </w:r>
    </w:p>
    <w:p>
      <w:pPr>
        <w:pStyle w:val="ListBullet"/>
      </w:pPr>
      <w:r>
        <w:t>Республика Тыва - 2.42</w:t>
      </w:r>
    </w:p>
    <w:p>
      <w:pPr>
        <w:pStyle w:val="ListBullet"/>
      </w:pPr>
      <w:r>
        <w:t>Республика Ингушетия - 2.31</w:t>
      </w:r>
    </w:p>
    <w:p>
      <w:pPr>
        <w:pStyle w:val="ListBullet"/>
      </w:pPr>
      <w:r>
        <w:t>Республика Алтай - 2.18</w:t>
      </w:r>
    </w:p>
    <w:p>
      <w:pPr>
        <w:pStyle w:val="ListBullet"/>
      </w:pPr>
      <w:r>
        <w:t>Республика Дагестан - 2.09</w:t>
      </w:r>
    </w:p>
    <w:p>
      <w:pPr>
        <w:pStyle w:val="Heading2"/>
      </w:pPr>
      <w:r>
        <w:t>6. Интерпретация результатов и практическая значимость</w:t>
      </w:r>
    </w:p>
    <w:p>
      <w:pPr>
        <w:pStyle w:val="Heading3"/>
      </w:pPr>
      <w:r>
        <w:t>6.1. Валидность регрессионных моделей</w:t>
      </w:r>
    </w:p>
    <w:p>
      <w:r>
        <w:t>Полученные модели XGBoost демонстрируют высокую предсказательную способность:</w:t>
      </w:r>
    </w:p>
    <w:p>
      <w:pPr>
        <w:pStyle w:val="ListBullet"/>
      </w:pPr>
      <w:r>
        <w:t>R² &gt; 0.90 для ОПЖ указывает на то, что модель успешно улавливает основные детерминанты продолжительности жизни</w:t>
      </w:r>
    </w:p>
    <w:p>
      <w:pPr>
        <w:pStyle w:val="ListBullet"/>
      </w:pPr>
      <w:r>
        <w:t>R² &gt; 0.88 для СКР свидетельствует о хорошем качестве модели, учитывая большую волатильность рождаемости</w:t>
      </w:r>
    </w:p>
    <w:p>
      <w:pPr>
        <w:pStyle w:val="ListBullet"/>
      </w:pPr>
      <w:r>
        <w:t>Низкие значения RMSE и MAE подтверждают практическую применимость для планирования</w:t>
      </w:r>
    </w:p>
    <w:p>
      <w:pPr>
        <w:pStyle w:val="ListBullet"/>
      </w:pPr>
      <w:r>
        <w:t>Успешная валидация на исторических данных (прогноз 2019 года) подтверждает отсутствие переобучения</w:t>
      </w:r>
    </w:p>
    <w:p>
      <w:pPr>
        <w:pStyle w:val="Heading3"/>
      </w:pPr>
      <w:r>
        <w:t>6.2. Ключевые выводы из регрессионного анализа</w:t>
      </w:r>
    </w:p>
    <w:p>
      <w:r>
        <w:rPr>
          <w:b/>
        </w:rPr>
        <w:t>Для ОПЖ:</w:t>
      </w:r>
    </w:p>
    <w:p>
      <w:pPr>
        <w:pStyle w:val="ListBullet"/>
      </w:pPr>
      <w:r>
        <w:t>Инерционность показателя - прошлые значения ОПЖ являются сильнейшим предиктором (42% важности)</w:t>
      </w:r>
    </w:p>
    <w:p>
      <w:pPr>
        <w:pStyle w:val="ListBullet"/>
      </w:pPr>
      <w:r>
        <w:t>Критичность перинатальной медицины - младенческая смертность объясняет 8% вариации</w:t>
      </w:r>
    </w:p>
    <w:p>
      <w:pPr>
        <w:pStyle w:val="ListBullet"/>
      </w:pPr>
      <w:r>
        <w:t>Значимость инфраструктуры здравоохранения - доступность врачей и медицинских учреждений суммарно дает 11% объясняющей силы</w:t>
      </w:r>
    </w:p>
    <w:p>
      <w:pPr>
        <w:pStyle w:val="ListBullet"/>
      </w:pPr>
      <w:r>
        <w:t>Нелинейные эффекты - XGBoost выявил нелинейные взаимодействия между социально-экономическими факторами и ОПЖ</w:t>
      </w:r>
    </w:p>
    <w:p>
      <w:r>
        <w:rPr>
          <w:b/>
        </w:rPr>
        <w:t>Для СКР:</w:t>
      </w:r>
    </w:p>
    <w:p>
      <w:pPr>
        <w:pStyle w:val="ListBullet"/>
      </w:pPr>
      <w:r>
        <w:t>Социально-экономическая обусловленность - уровень безработицы и бедности объясняют 20% вариации</w:t>
      </w:r>
    </w:p>
    <w:p>
      <w:pPr>
        <w:pStyle w:val="ListBullet"/>
      </w:pPr>
      <w:r>
        <w:t>Жилищный фактор - доступность жилья имеет умеренное, но значимое влияние (4%)</w:t>
      </w:r>
    </w:p>
    <w:p>
      <w:pPr>
        <w:pStyle w:val="ListBullet"/>
      </w:pPr>
      <w:r>
        <w:t>Семейная стабильность - соотношение браков к разводам в сочетании с безработицей (7%) характеризует социальную среду для деторождения</w:t>
      </w:r>
    </w:p>
    <w:p>
      <w:pPr>
        <w:pStyle w:val="ListBullet"/>
      </w:pPr>
      <w:r>
        <w:t>Региональная гетерогенность - стандартное отклонение СКР между регионами (σ ≈ 0.35) в 7 раз превышает среднюю ошибку модели</w:t>
      </w:r>
    </w:p>
    <w:p>
      <w:pPr>
        <w:pStyle w:val="Heading3"/>
      </w:pPr>
      <w:r>
        <w:t>6.3. Ограничения и доверительные интервалы</w:t>
      </w:r>
    </w:p>
    <w:p>
      <w:r>
        <w:rPr>
          <w:b/>
        </w:rPr>
        <w:t>Источники неопределенности:</w:t>
      </w:r>
    </w:p>
    <w:p>
      <w:pPr>
        <w:pStyle w:val="ListBullet"/>
      </w:pPr>
      <w:r>
        <w:t>Экзогенные шоки - модель не учитывает внезапные события (пандемии, экономические кризисы)</w:t>
      </w:r>
    </w:p>
    <w:p>
      <w:pPr>
        <w:pStyle w:val="ListBullet"/>
      </w:pPr>
      <w:r>
        <w:t>Изменения в политике - новые меры демографической политики могут изменить тренды</w:t>
      </w:r>
    </w:p>
    <w:p>
      <w:pPr>
        <w:pStyle w:val="ListBullet"/>
      </w:pPr>
      <w:r>
        <w:t>Качество данных - в некоторых регионах возможны неточности в статистике</w:t>
      </w:r>
    </w:p>
    <w:p>
      <w:pPr>
        <w:pStyle w:val="ListBullet"/>
      </w:pPr>
      <w:r>
        <w:t>Экстраполяция трендов - прогнозы основаны на продолжении исторических трендов</w:t>
      </w:r>
    </w:p>
    <w:p>
      <w:r>
        <w:rPr>
          <w:b/>
        </w:rPr>
        <w:t>Доверительные интервалы прогнозов (95% уровень):</w:t>
      </w:r>
    </w:p>
    <w:p>
      <w:pPr>
        <w:pStyle w:val="ListBullet"/>
      </w:pPr>
      <w:r>
        <w:t>ОПЖ 2026: [74.5; 75.7] лет для среднего по России</w:t>
      </w:r>
    </w:p>
    <w:p>
      <w:pPr>
        <w:pStyle w:val="ListBullet"/>
      </w:pPr>
      <w:r>
        <w:t>СКР 2026: [1.36; 1.72] для среднего по России</w:t>
      </w:r>
    </w:p>
    <w:p>
      <w:pPr>
        <w:pStyle w:val="ListBullet"/>
      </w:pPr>
      <w:r>
        <w:t>Для отдельных регионов интервалы шире на 30-40%</w:t>
      </w:r>
    </w:p>
    <w:p>
      <w:pPr>
        <w:pStyle w:val="Heading3"/>
      </w:pPr>
      <w:r>
        <w:t>6.4. Рекомендации для практического применения</w:t>
      </w:r>
    </w:p>
    <w:p>
      <w:pPr>
        <w:pStyle w:val="ListBullet"/>
      </w:pPr>
      <w:r>
        <w:t>Стратегическое планирование - прогнозы могут использоваться для оценки потребности в медицинских и образовательных учреждениях с горизонтом 2-3 года</w:t>
      </w:r>
    </w:p>
    <w:p>
      <w:pPr>
        <w:pStyle w:val="ListBullet"/>
      </w:pPr>
      <w:r>
        <w:t>Мониторинг эффективности политик - отклонение фактических значений от прогнозов сигнализирует о воздействии новых факторов</w:t>
      </w:r>
    </w:p>
    <w:p>
      <w:pPr>
        <w:pStyle w:val="ListBullet"/>
      </w:pPr>
      <w:r>
        <w:t>Приоритизация регионов - регионы с систематически завышенными ошибками требуют особого внимания</w:t>
      </w:r>
    </w:p>
    <w:p>
      <w:pPr>
        <w:pStyle w:val="ListBullet"/>
      </w:pPr>
      <w:r>
        <w:t>Обновление моделей - рекомендуется ежегодное переобучение с включением новых данных</w:t>
      </w:r>
    </w:p>
    <w:p>
      <w:pPr>
        <w:pStyle w:val="Heading2"/>
      </w:pPr>
      <w:r>
        <w:t>7. Заключение</w:t>
      </w:r>
    </w:p>
    <w:p>
      <w:r>
        <w:t>Разработанные регрессионные модели на основе XGBoost продемонстрировали высокую точность прогнозирования ключевых демографических показателей для регионов России. Модель ОПЖ (R² = 0.92-0.95, RMSE = 0.4-0.6 лет) и модель СКР (R² = 0.88-0.92, RMSE = 0.08-0.12) превосходят базовые модели временных рядов и обеспечивают интерпретируемые результаты благодаря анализу важности признаков.</w:t>
      </w:r>
    </w:p>
    <w:p>
      <w:r>
        <w:t>Корреляционный анализ выявил, что для ОПЖ критическими факторами являются развитость здравоохранения и младенческая смертность, в то время как для СКР определяющими оказались социально-экономические условия (безработица, бедность) и семейная стабильность. Прогнозы на 2025-2026 годы указывают на умеренный рост ОПЖ (+1.2 года) и незначительное увеличение СКР (+0.06), что соответствует оптимистичному сценарию развития при сохранении текущих трендов.</w:t>
      </w:r>
    </w:p>
    <w:p>
      <w:r>
        <w:t>Исследование подтверждает целесообразность использования методов машинного обучения с расширенной инженерией признаков для демографического прогнозирования на региональном уровне и создает методологическую базу для принятия обоснованных управленческих решений в области социально-демографической политики.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