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sz w:val="36"/>
          <w:szCs w:val="36"/>
        </w:rPr>
        <w:t xml:space="preserve">A Deterministic-First, AI-Assisted Architecture for Multi-Vendor Network Security Compliance Auditing</w:t>
      </w:r>
    </w:p>
    <w:p>
      <w:pPr>
        <w:spacing w:after="60"/>
        <w:jc w:val="center"/>
      </w:pPr>
      <w:r>
        <w:rPr>
          <w:rFonts w:ascii="Times New Roman" w:cs="Times New Roman" w:eastAsia="Times New Roman" w:hAnsi="Times New Roman"/>
          <w:sz w:val="22"/>
          <w:szCs w:val="22"/>
        </w:rPr>
        <w:t xml:space="preserve">Smart India Hackathon 2026  |  NTRO Problem Statement 26155  |  Team NextGen</w:t>
      </w:r>
    </w:p>
    <w:p>
      <w:pPr>
        <w:spacing w:after="60"/>
        <w:jc w:val="center"/>
      </w:pPr>
      <w:r>
        <w:rPr>
          <w:rFonts w:ascii="Times New Roman" w:cs="Times New Roman" w:eastAsia="Times New Roman" w:hAnsi="Times New Roman"/>
          <w:i/>
          <w:iCs/>
          <w:sz w:val="21"/>
          <w:szCs w:val="21"/>
        </w:rPr>
        <w:t xml:space="preserve">Balraju Konne (team lead), Chaitanya Bharathi Institute of Technology, Hyderabad</w:t>
      </w:r>
    </w:p>
    <w:p>
      <w:pPr>
        <w:spacing w:after="240"/>
        <w:jc w:val="center"/>
      </w:pPr>
      <w:r>
        <w:rPr>
          <w:rFonts w:ascii="Times New Roman" w:cs="Times New Roman" w:eastAsia="Times New Roman" w:hAnsi="Times New Roman"/>
          <w:i/>
          <w:iCs/>
          <w:sz w:val="20"/>
          <w:szCs w:val="20"/>
        </w:rPr>
        <w:t xml:space="preserve">Document basis: PRD v6.0 (current product plan). Draft dated 29 September 2026.</w:t>
      </w:r>
    </w:p>
    <w:p>
      <w:pPr>
        <w:pStyle w:val="Heading1"/>
        <w:spacing w:after="120" w:before="300"/>
      </w:pPr>
      <w:r>
        <w:rPr>
          <w:rFonts w:ascii="Arial" w:cs="Arial" w:eastAsia="Arial" w:hAnsi="Arial"/>
          <w:b/>
          <w:bCs/>
          <w:sz w:val="28"/>
          <w:szCs w:val="28"/>
        </w:rPr>
        <w:t xml:space="preserve">Abstract</w:t>
      </w:r>
    </w:p>
    <w:p>
      <w:pPr>
        <w:spacing w:after="120" w:line="276"/>
        <w:jc w:val="both"/>
      </w:pPr>
      <w:r>
        <w:rPr>
          <w:rFonts w:ascii="Times New Roman" w:cs="Times New Roman" w:eastAsia="Times New Roman" w:hAnsi="Times New Roman"/>
          <w:sz w:val="22"/>
          <w:szCs w:val="22"/>
        </w:rPr>
        <w:t xml:space="preserve">Security benchmarks such as CIS, NIST SP 800-53 and DISA STIG are written once, but network devices are configured in many dialects. A control that reads the same on paper has to be checked against Cisco IOS-XE, Junos, FortiOS and PAN-OS syntax, and today that checking is mostly manual, slow and dependent on a few experts. This paper describes an offline, on-premise compliance auditor built for NTRO problem statement 26155. Configuration files are detected by vendor, parsed by a vendor adapter into a Common Security Model (CSM), and evaluated by a deterministic rule engine that returns only PASS, FAIL or UNKNOWN. A locally hosted language model is kept on a side channel: it may propose a mapping for a configuration line the parser does not understand, but it never decides compliance, and a proposal has no effect until an authorised reviewer approves it. Remediation is generated from templates, checked statically, and shown to the reviewer; nothing is ever executed on a device. Every finalised audit is appended to a SHA-256 hash-chained ledger and exported through a single canonical, editable report. The implemented system supports Cisco IOS-XE and Juniper, and we state plainly which parts remain architecture-ready or planned. On the reference machine the deterministic path audited a 2,220-line configuration in about 5 ms, while local model inference took seconds per line, which is why the two paths are measured and reported separately.</w:t>
      </w:r>
    </w:p>
    <w:p>
      <w:pPr>
        <w:spacing w:after="12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network compliance, configuration auditing, Common Security Model, deterministic rule engine, local LLM, human-in-the-loop, tamper-evident audit log, CIS, NIST SP 800-53, DISA STIG.</w:t>
      </w:r>
    </w:p>
    <w:p>
      <w:pPr>
        <w:pStyle w:val="Heading1"/>
        <w:spacing w:after="120" w:before="300"/>
      </w:pPr>
      <w:r>
        <w:rPr>
          <w:rFonts w:ascii="Arial" w:cs="Arial" w:eastAsia="Arial" w:hAnsi="Arial"/>
          <w:b/>
          <w:bCs/>
          <w:sz w:val="28"/>
          <w:szCs w:val="28"/>
        </w:rPr>
        <w:t xml:space="preserve">1. Introduction</w:t>
      </w:r>
    </w:p>
    <w:p>
      <w:pPr>
        <w:spacing w:after="120" w:line="276"/>
        <w:jc w:val="both"/>
      </w:pPr>
      <w:r>
        <w:rPr>
          <w:rFonts w:ascii="Times New Roman" w:cs="Times New Roman" w:eastAsia="Times New Roman" w:hAnsi="Times New Roman"/>
          <w:sz w:val="22"/>
          <w:szCs w:val="22"/>
        </w:rPr>
        <w:t xml:space="preserve">Critical infrastructure runs on network devices from several vendors, and each vendor has its own command language and its own configuration structure. Security standards do not. The gap between the two is where audits get slow and where mistakes get in. A reviewer who is careful with Cisco may be unsure with Junos, and the same control can be read differently by two people on the same team.</w:t>
      </w:r>
    </w:p>
    <w:p>
      <w:pPr>
        <w:spacing w:after="120" w:line="276"/>
        <w:jc w:val="both"/>
      </w:pPr>
      <w:r>
        <w:rPr>
          <w:rFonts w:ascii="Times New Roman" w:cs="Times New Roman" w:eastAsia="Times New Roman" w:hAnsi="Times New Roman"/>
          <w:sz w:val="22"/>
          <w:szCs w:val="22"/>
        </w:rPr>
        <w:t xml:space="preserve">Two obvious fixes both fall short. A pure rule-based parser is reliable but brittle: the first unfamiliar command it meets becomes a blind spot. A pure AI approach handles unfamiliar syntax but cannot be trusted with a compliance verdict, cannot be replayed, and cannot be defended in front of an auditor. In addition, sending device configurations to a cloud model is not acceptable in many government settings.</w:t>
      </w:r>
    </w:p>
    <w:p>
      <w:pPr>
        <w:spacing w:after="120" w:line="276"/>
        <w:jc w:val="both"/>
      </w:pPr>
      <w:r>
        <w:rPr>
          <w:rFonts w:ascii="Times New Roman" w:cs="Times New Roman" w:eastAsia="Times New Roman" w:hAnsi="Times New Roman"/>
          <w:sz w:val="22"/>
          <w:szCs w:val="22"/>
        </w:rPr>
        <w:t xml:space="preserve">Our answer is a split of responsibilities that we hold as a hard rule throughout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3F5F8" w:color="auto" w:val="clear"/>
            <w:tcMar>
              <w:top w:type="dxa" w:w="100"/>
              <w:left w:type="dxa" w:w="160"/>
              <w:bottom w:type="dxa" w:w="100"/>
              <w:right w:type="dxa" w:w="160"/>
            </w:tcMar>
          </w:tcPr>
          <w:p>
            <w:pPr>
              <w:spacing w:after="40"/>
            </w:pPr>
            <w:r>
              <w:rPr>
                <w:rFonts w:ascii="Courier New" w:cs="Courier New" w:eastAsia="Courier New" w:hAnsi="Courier New"/>
                <w:sz w:val="19"/>
                <w:szCs w:val="19"/>
              </w:rPr>
              <w:t xml:space="preserve">AI interprets. Humans approve. Deterministic rules decide.</w:t>
            </w:r>
          </w:p>
          <w:p>
            <w:pPr>
              <w:spacing w:after="40"/>
            </w:pPr>
            <w:r>
              <w:rPr>
                <w:rFonts w:ascii="Courier New" w:cs="Courier New" w:eastAsia="Courier New" w:hAnsi="Courier New"/>
                <w:sz w:val="19"/>
                <w:szCs w:val="19"/>
              </w:rPr>
              <w:t xml:space="preserve">Nothing is automatically executed on a live device.</w:t>
            </w:r>
          </w:p>
        </w:tc>
      </w:tr>
    </w:tbl>
    <w:p>
      <w:pPr>
        <w:spacing w:after="60"/>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The contributions of this work are: (1) a vendor-neutral CSM with a vendor-adapter boundary, so that the compliance engine does not change when a vendor is added; (2) a three-state deterministic evaluator in which UNKNOWN is a first-class result and never collapses into PASS; (3) an advisory local-AI path with mandatory human approval and recorded provenance; (4) a shared internal-rule model that maps one rule to several frameworks; (5) a tamper-evident ledger and a single canonical report whose edits cannot touch authoritative results; and (6) a separate, honest measurement of the deterministic and AI paths.</w:t>
      </w:r>
    </w:p>
    <w:p>
      <w:pPr>
        <w:pStyle w:val="Heading1"/>
        <w:spacing w:after="120" w:before="300"/>
      </w:pPr>
      <w:r>
        <w:rPr>
          <w:rFonts w:ascii="Arial" w:cs="Arial" w:eastAsia="Arial" w:hAnsi="Arial"/>
          <w:b/>
          <w:bCs/>
          <w:sz w:val="28"/>
          <w:szCs w:val="28"/>
        </w:rPr>
        <w:t xml:space="preserve">2. Problem Statement and Motivation</w:t>
      </w:r>
    </w:p>
    <w:p>
      <w:pPr>
        <w:spacing w:after="120" w:line="276"/>
        <w:jc w:val="both"/>
      </w:pPr>
      <w:r>
        <w:rPr>
          <w:rFonts w:ascii="Times New Roman" w:cs="Times New Roman" w:eastAsia="Times New Roman" w:hAnsi="Times New Roman"/>
          <w:sz w:val="22"/>
          <w:szCs w:val="22"/>
        </w:rPr>
        <w:t xml:space="preserve">NTRO problem statement 26155 asks for a multi-vendor platform that audits network configurations against security standards and reports risk. The difficulties we identified from the problem statement and from our field review are these.</w:t>
      </w:r>
    </w:p>
    <w:p>
      <w:pPr>
        <w:pStyle w:val="ListParagraph"/>
        <w:numPr>
          <w:ilvl w:val="0"/>
          <w:numId w:val="2"/>
        </w:numPr>
        <w:spacing w:after="60" w:line="276"/>
      </w:pPr>
      <w:r>
        <w:rPr>
          <w:rFonts w:ascii="Times New Roman" w:cs="Times New Roman" w:eastAsia="Times New Roman" w:hAnsi="Times New Roman"/>
          <w:b/>
          <w:bCs/>
          <w:sz w:val="22"/>
          <w:szCs w:val="22"/>
        </w:rPr>
        <w:t xml:space="preserve">Syntax diversity. </w:t>
      </w:r>
      <w:r>
        <w:rPr>
          <w:rFonts w:ascii="Times New Roman" w:cs="Times New Roman" w:eastAsia="Times New Roman" w:hAnsi="Times New Roman"/>
          <w:sz w:val="22"/>
          <w:szCs w:val="22"/>
        </w:rPr>
        <w:t xml:space="preserve">The same intent (for example, restrict management access) is expressed differently on every platform.</w:t>
      </w:r>
    </w:p>
    <w:p>
      <w:pPr>
        <w:pStyle w:val="ListParagraph"/>
        <w:numPr>
          <w:ilvl w:val="0"/>
          <w:numId w:val="2"/>
        </w:numPr>
        <w:spacing w:after="60" w:line="276"/>
      </w:pPr>
      <w:r>
        <w:rPr>
          <w:rFonts w:ascii="Times New Roman" w:cs="Times New Roman" w:eastAsia="Times New Roman" w:hAnsi="Times New Roman"/>
          <w:b/>
          <w:bCs/>
          <w:sz w:val="22"/>
          <w:szCs w:val="22"/>
        </w:rPr>
        <w:t xml:space="preserve">Manual cost. </w:t>
      </w:r>
      <w:r>
        <w:rPr>
          <w:rFonts w:ascii="Times New Roman" w:cs="Times New Roman" w:eastAsia="Times New Roman" w:hAnsi="Times New Roman"/>
          <w:sz w:val="22"/>
          <w:szCs w:val="22"/>
        </w:rPr>
        <w:t xml:space="preserve">Reading large configuration files by hand takes days to weeks per device and is inconsistent between reviewers.</w:t>
      </w:r>
    </w:p>
    <w:p>
      <w:pPr>
        <w:pStyle w:val="ListParagraph"/>
        <w:numPr>
          <w:ilvl w:val="0"/>
          <w:numId w:val="2"/>
        </w:numPr>
        <w:spacing w:after="60" w:line="276"/>
      </w:pPr>
      <w:r>
        <w:rPr>
          <w:rFonts w:ascii="Times New Roman" w:cs="Times New Roman" w:eastAsia="Times New Roman" w:hAnsi="Times New Roman"/>
          <w:b/>
          <w:bCs/>
          <w:sz w:val="22"/>
          <w:szCs w:val="22"/>
        </w:rPr>
        <w:t xml:space="preserve">Unknown syntax. </w:t>
      </w:r>
      <w:r>
        <w:rPr>
          <w:rFonts w:ascii="Times New Roman" w:cs="Times New Roman" w:eastAsia="Times New Roman" w:hAnsi="Times New Roman"/>
          <w:sz w:val="22"/>
          <w:szCs w:val="22"/>
        </w:rPr>
        <w:t xml:space="preserve">Static parsers cannot cover every command. Unmapped lines create uncertainty that a tool must surface, not hide.</w:t>
      </w:r>
    </w:p>
    <w:p>
      <w:pPr>
        <w:pStyle w:val="ListParagraph"/>
        <w:numPr>
          <w:ilvl w:val="0"/>
          <w:numId w:val="2"/>
        </w:numPr>
        <w:spacing w:after="60" w:line="276"/>
      </w:pPr>
      <w:r>
        <w:rPr>
          <w:rFonts w:ascii="Times New Roman" w:cs="Times New Roman" w:eastAsia="Times New Roman" w:hAnsi="Times New Roman"/>
          <w:b/>
          <w:bCs/>
          <w:sz w:val="22"/>
          <w:szCs w:val="22"/>
        </w:rPr>
        <w:t xml:space="preserve">Evidence. </w:t>
      </w:r>
      <w:r>
        <w:rPr>
          <w:rFonts w:ascii="Times New Roman" w:cs="Times New Roman" w:eastAsia="Times New Roman" w:hAnsi="Times New Roman"/>
          <w:sz w:val="22"/>
          <w:szCs w:val="22"/>
        </w:rPr>
        <w:t xml:space="preserve">A result without the configuration line behind it is not usable in an audit.</w:t>
      </w:r>
    </w:p>
    <w:p>
      <w:pPr>
        <w:pStyle w:val="ListParagraph"/>
        <w:numPr>
          <w:ilvl w:val="0"/>
          <w:numId w:val="2"/>
        </w:numPr>
        <w:spacing w:after="60" w:line="276"/>
      </w:pPr>
      <w:r>
        <w:rPr>
          <w:rFonts w:ascii="Times New Roman" w:cs="Times New Roman" w:eastAsia="Times New Roman" w:hAnsi="Times New Roman"/>
          <w:b/>
          <w:bCs/>
          <w:sz w:val="22"/>
          <w:szCs w:val="22"/>
        </w:rPr>
        <w:t xml:space="preserve">Confidentiality. </w:t>
      </w:r>
      <w:r>
        <w:rPr>
          <w:rFonts w:ascii="Times New Roman" w:cs="Times New Roman" w:eastAsia="Times New Roman" w:hAnsi="Times New Roman"/>
          <w:sz w:val="22"/>
          <w:szCs w:val="22"/>
        </w:rPr>
        <w:t xml:space="preserve">Configurations of critical infrastructure should not leave the premises, which rules out cloud inference.</w:t>
      </w:r>
    </w:p>
    <w:p>
      <w:pPr>
        <w:pStyle w:val="ListParagraph"/>
        <w:numPr>
          <w:ilvl w:val="0"/>
          <w:numId w:val="2"/>
        </w:numPr>
        <w:spacing w:after="60" w:line="276"/>
      </w:pPr>
      <w:r>
        <w:rPr>
          <w:rFonts w:ascii="Times New Roman" w:cs="Times New Roman" w:eastAsia="Times New Roman" w:hAnsi="Times New Roman"/>
          <w:b/>
          <w:bCs/>
          <w:sz w:val="22"/>
          <w:szCs w:val="22"/>
        </w:rPr>
        <w:t xml:space="preserve">Unsafe fixes. </w:t>
      </w:r>
      <w:r>
        <w:rPr>
          <w:rFonts w:ascii="Times New Roman" w:cs="Times New Roman" w:eastAsia="Times New Roman" w:hAnsi="Times New Roman"/>
          <w:sz w:val="22"/>
          <w:szCs w:val="22"/>
        </w:rPr>
        <w:t xml:space="preserve">A remediation that is correct in isolation can contradict, shadow or duplicate another rule already on the device.</w:t>
      </w:r>
    </w:p>
    <w:p>
      <w:pPr>
        <w:spacing w:after="120" w:line="276"/>
        <w:jc w:val="both"/>
      </w:pPr>
      <w:r>
        <w:rPr>
          <w:rFonts w:ascii="Times New Roman" w:cs="Times New Roman" w:eastAsia="Times New Roman" w:hAnsi="Times New Roman"/>
          <w:sz w:val="22"/>
          <w:szCs w:val="22"/>
        </w:rPr>
        <w:t xml:space="preserve">The human factor is well documented. Our idea submission cites the Verizon Data Breach Investigations Report 2023 for the finding that roughly three quarters of breaches involve a human element, including error and misconfiguration. We use this as motivation rather than as a result of our own.</w:t>
      </w:r>
    </w:p>
    <w:p>
      <w:pPr>
        <w:pStyle w:val="Heading1"/>
        <w:spacing w:after="120" w:before="300"/>
      </w:pPr>
      <w:r>
        <w:rPr>
          <w:rFonts w:ascii="Arial" w:cs="Arial" w:eastAsia="Arial" w:hAnsi="Arial"/>
          <w:b/>
          <w:bCs/>
          <w:sz w:val="28"/>
          <w:szCs w:val="28"/>
        </w:rPr>
        <w:t xml:space="preserve">3. Background and Related Work</w:t>
      </w:r>
    </w:p>
    <w:p>
      <w:pPr>
        <w:spacing w:after="120" w:line="276"/>
        <w:jc w:val="both"/>
      </w:pPr>
      <w:r>
        <w:rPr>
          <w:rFonts w:ascii="Times New Roman" w:cs="Times New Roman" w:eastAsia="Times New Roman" w:hAnsi="Times New Roman"/>
          <w:sz w:val="22"/>
          <w:szCs w:val="22"/>
        </w:rPr>
        <w:t xml:space="preserve">The design leans on published standards and on prior work that we reviewed while building the reference library for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Source</w:t>
            </w:r>
          </w:p>
        </w:tc>
        <w:tc>
          <w:tcPr>
            <w:tcW w:type="dxa" w:w="3300"/>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What it provides</w:t>
            </w:r>
          </w:p>
        </w:tc>
        <w:tc>
          <w:tcPr>
            <w:tcW w:type="dxa" w:w="3426"/>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How we use it</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CIS Benchmarks (Cisco)</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Prescriptive hardening settings with Level 1 and Level 2 profiles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Basis for the CIS rule set; rule text is written against the benchmark</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DISA STIG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Hardening requirements for DoD network infrastructure</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Second executable framework for Cisco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NIST SP 800-53 Rev. 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Federal control catalogue (e.g. AC-17 remote access)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Cross-mapping tags on internal rules</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NIST SCAP</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Federal approach to automated checking against CIS, NIST and STIG content</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Validates the rule-engine approach</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OpenConfig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Vendor-neutral YANG data models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Reference point for the shape of the CSM</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Batfish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Offline configuration analysis and reachability reasoning</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Inspiration for offline analysis; full reachability simulation is out of our current scope</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LLM-based configuration translation (IRAG, multi-agent)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Reported syntax-correctness above 97% when translating configurations between vendors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Motivates using an LLM for unfamiliar syntax, while we keep it advisory</w:t>
            </w:r>
          </w:p>
        </w:tc>
      </w:tr>
    </w:tbl>
    <w:p>
      <w:pPr>
        <w:spacing w:after="200" w:before="60"/>
        <w:jc w:val="center"/>
      </w:pPr>
      <w:r>
        <w:rPr>
          <w:rFonts w:ascii="Times New Roman" w:cs="Times New Roman" w:eastAsia="Times New Roman" w:hAnsi="Times New Roman"/>
          <w:i/>
          <w:iCs/>
          <w:sz w:val="20"/>
          <w:szCs w:val="20"/>
        </w:rPr>
        <w:t xml:space="preserve">Table 1. Foundations reviewed. Figures for external work are as reported by their authors.</w:t>
      </w:r>
    </w:p>
    <w:p>
      <w:pPr>
        <w:spacing w:after="120" w:line="276"/>
        <w:jc w:val="both"/>
      </w:pPr>
      <w:r>
        <w:rPr>
          <w:rFonts w:ascii="Times New Roman" w:cs="Times New Roman" w:eastAsia="Times New Roman" w:hAnsi="Times New Roman"/>
          <w:sz w:val="22"/>
          <w:szCs w:val="22"/>
        </w:rPr>
        <w:t xml:space="preserve">The main difference from translation-oriented work is the trust boundary. Translation research asks whether a model can produce correct configuration text. We ask a narrower question: can a model help a human extend a deterministic mapping without ever being in the decision path? That is a governance question as much as a modelling one.</w:t>
      </w:r>
    </w:p>
    <w:p>
      <w:pPr>
        <w:pStyle w:val="Heading1"/>
        <w:spacing w:after="120" w:before="300"/>
      </w:pPr>
      <w:r>
        <w:rPr>
          <w:rFonts w:ascii="Arial" w:cs="Arial" w:eastAsia="Arial" w:hAnsi="Arial"/>
          <w:b/>
          <w:bCs/>
          <w:sz w:val="28"/>
          <w:szCs w:val="28"/>
        </w:rPr>
        <w:t xml:space="preserve">4. Design Principles and Threat Model</w:t>
      </w:r>
    </w:p>
    <w:p>
      <w:pPr>
        <w:pStyle w:val="Heading2"/>
        <w:spacing w:after="80" w:before="200"/>
      </w:pPr>
      <w:r>
        <w:rPr>
          <w:rFonts w:ascii="Arial" w:cs="Arial" w:eastAsia="Arial" w:hAnsi="Arial"/>
          <w:b/>
          <w:bCs/>
          <w:sz w:val="23"/>
          <w:szCs w:val="23"/>
        </w:rPr>
        <w:t xml:space="preserve">4.1 Principles</w:t>
      </w:r>
    </w:p>
    <w:p>
      <w:pPr>
        <w:pStyle w:val="ListParagraph"/>
        <w:numPr>
          <w:ilvl w:val="0"/>
          <w:numId w:val="2"/>
        </w:numPr>
        <w:spacing w:after="60" w:line="276"/>
      </w:pPr>
      <w:r>
        <w:rPr>
          <w:rFonts w:ascii="Times New Roman" w:cs="Times New Roman" w:eastAsia="Times New Roman" w:hAnsi="Times New Roman"/>
          <w:sz w:val="22"/>
          <w:szCs w:val="22"/>
        </w:rPr>
        <w:t xml:space="preserve">Deterministic authority. PASS, FAIL and UNKNOWN come only from rules. The same input must give the same output on every run.</w:t>
      </w:r>
    </w:p>
    <w:p>
      <w:pPr>
        <w:pStyle w:val="ListParagraph"/>
        <w:numPr>
          <w:ilvl w:val="0"/>
          <w:numId w:val="2"/>
        </w:numPr>
        <w:spacing w:after="60" w:line="276"/>
      </w:pPr>
      <w:r>
        <w:rPr>
          <w:rFonts w:ascii="Times New Roman" w:cs="Times New Roman" w:eastAsia="Times New Roman" w:hAnsi="Times New Roman"/>
          <w:sz w:val="22"/>
          <w:szCs w:val="22"/>
        </w:rPr>
        <w:t xml:space="preserve">Fail closed. Unknown or ambiguous vendors are rejected. An incompatible vendor and framework pair returns an explicit error (HTTP 422) instead of evaluating the wrong benchmark.</w:t>
      </w:r>
    </w:p>
    <w:p>
      <w:pPr>
        <w:pStyle w:val="ListParagraph"/>
        <w:numPr>
          <w:ilvl w:val="0"/>
          <w:numId w:val="2"/>
        </w:numPr>
        <w:spacing w:after="60" w:line="276"/>
      </w:pPr>
      <w:r>
        <w:rPr>
          <w:rFonts w:ascii="Times New Roman" w:cs="Times New Roman" w:eastAsia="Times New Roman" w:hAnsi="Times New Roman"/>
          <w:sz w:val="22"/>
          <w:szCs w:val="22"/>
        </w:rPr>
        <w:t xml:space="preserve">UNKNOWN is honest. If a control cannot be evaluated, the answer is UNKNOWN and it stays visible in the interface and in reports.</w:t>
      </w:r>
    </w:p>
    <w:p>
      <w:pPr>
        <w:pStyle w:val="ListParagraph"/>
        <w:numPr>
          <w:ilvl w:val="0"/>
          <w:numId w:val="2"/>
        </w:numPr>
        <w:spacing w:after="60" w:line="276"/>
      </w:pPr>
      <w:r>
        <w:rPr>
          <w:rFonts w:ascii="Times New Roman" w:cs="Times New Roman" w:eastAsia="Times New Roman" w:hAnsi="Times New Roman"/>
          <w:sz w:val="22"/>
          <w:szCs w:val="22"/>
        </w:rPr>
        <w:t xml:space="preserve">Human approval. An AI suggestion is untrusted data until an authorised reviewer approves it. Approval, correction and rejection are all recorded.</w:t>
      </w:r>
    </w:p>
    <w:p>
      <w:pPr>
        <w:pStyle w:val="ListParagraph"/>
        <w:numPr>
          <w:ilvl w:val="0"/>
          <w:numId w:val="2"/>
        </w:numPr>
        <w:spacing w:after="60" w:line="276"/>
      </w:pPr>
      <w:r>
        <w:rPr>
          <w:rFonts w:ascii="Times New Roman" w:cs="Times New Roman" w:eastAsia="Times New Roman" w:hAnsi="Times New Roman"/>
          <w:sz w:val="22"/>
          <w:szCs w:val="22"/>
        </w:rPr>
        <w:t xml:space="preserve">Advisory remediation. Fixes are displayed, never applied.</w:t>
      </w:r>
    </w:p>
    <w:p>
      <w:pPr>
        <w:pStyle w:val="ListParagraph"/>
        <w:numPr>
          <w:ilvl w:val="0"/>
          <w:numId w:val="2"/>
        </w:numPr>
        <w:spacing w:after="60" w:line="276"/>
      </w:pPr>
      <w:r>
        <w:rPr>
          <w:rFonts w:ascii="Times New Roman" w:cs="Times New Roman" w:eastAsia="Times New Roman" w:hAnsi="Times New Roman"/>
          <w:sz w:val="22"/>
          <w:szCs w:val="22"/>
        </w:rPr>
        <w:t xml:space="preserve">Offline first. The core workflow runs on premises with no internet dependency, and inference is loopback-only.</w:t>
      </w:r>
    </w:p>
    <w:p>
      <w:pPr>
        <w:pStyle w:val="Heading2"/>
        <w:spacing w:after="80" w:before="200"/>
      </w:pPr>
      <w:r>
        <w:rPr>
          <w:rFonts w:ascii="Arial" w:cs="Arial" w:eastAsia="Arial" w:hAnsi="Arial"/>
          <w:b/>
          <w:bCs/>
          <w:sz w:val="23"/>
          <w:szCs w:val="23"/>
        </w:rPr>
        <w:t xml:space="preserve">4.2 Threat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26"/>
      </w:tblGrid>
      <w:tr>
        <w:trPr>
          <w:tblHeader/>
        </w:trPr>
        <w:tc>
          <w:tcPr>
            <w:tcW w:type="dxa" w:w="2700"/>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Threat</w:t>
            </w:r>
          </w:p>
        </w:tc>
        <w:tc>
          <w:tcPr>
            <w:tcW w:type="dxa" w:w="3200"/>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Mitigation</w:t>
            </w:r>
          </w:p>
        </w:tc>
        <w:tc>
          <w:tcPr>
            <w:tcW w:type="dxa" w:w="3126"/>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Residual risk</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Model output treated as a verdict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No code path lets AI output set a result state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None by construction; enforced by tests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Poisoned or wrong AI mapping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Reviewer approval; conflicts never overwrite an existing trusted mapping</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 careless reviewer can still approve a bad mapping</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Malicious uploaded file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Allow-listed types, size limits, files treated as data and never executed, safe parse failure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Parser bugs on adversarial input remain possible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Tampering with audit history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SHA-256 hash chain with integrity verification</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Chain detects change; it does not prevent deletion of the whole store without backup</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Cross-user data access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JWT identity, role checks, ownership isolation, no leak of report existence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Single-node demo deployment only</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Unsafe remediation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Display-only, static conflict analysis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Analysis covers a declared scope; "no conflict" is not proof of safety</w:t>
            </w:r>
          </w:p>
        </w:tc>
      </w:tr>
    </w:tbl>
    <w:p>
      <w:pPr>
        <w:spacing w:after="200" w:before="60"/>
        <w:jc w:val="center"/>
      </w:pPr>
      <w:r>
        <w:rPr>
          <w:rFonts w:ascii="Times New Roman" w:cs="Times New Roman" w:eastAsia="Times New Roman" w:hAnsi="Times New Roman"/>
          <w:i/>
          <w:iCs/>
          <w:sz w:val="20"/>
          <w:szCs w:val="20"/>
        </w:rPr>
        <w:t xml:space="preserve">Table 2. Threat model summary.</w:t>
      </w:r>
    </w:p>
    <w:p>
      <w:pPr>
        <w:pStyle w:val="Heading1"/>
        <w:spacing w:after="120" w:before="300"/>
      </w:pPr>
      <w:r>
        <w:rPr>
          <w:rFonts w:ascii="Arial" w:cs="Arial" w:eastAsia="Arial" w:hAnsi="Arial"/>
          <w:b/>
          <w:bCs/>
          <w:sz w:val="28"/>
          <w:szCs w:val="28"/>
        </w:rPr>
        <w:t xml:space="preserve">5.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3F5F8" w:color="auto" w:val="clear"/>
            <w:tcMar>
              <w:top w:type="dxa" w:w="100"/>
              <w:left w:type="dxa" w:w="160"/>
              <w:bottom w:type="dxa" w:w="100"/>
              <w:right w:type="dxa" w:w="160"/>
            </w:tcMar>
          </w:tcPr>
          <w:p>
            <w:pPr>
              <w:spacing w:after="40"/>
            </w:pPr>
            <w:r>
              <w:rPr>
                <w:rFonts w:ascii="Courier New" w:cs="Courier New" w:eastAsia="Courier New" w:hAnsi="Courier New"/>
                <w:sz w:val="19"/>
                <w:szCs w:val="19"/>
              </w:rPr>
              <w:t xml:space="preserve">Configuration -&gt; Unified Ingestion -&gt; Vendor Detection -&gt; Vendor Adapter</w:t>
            </w:r>
          </w:p>
          <w:p>
            <w:pPr>
              <w:spacing w:after="40"/>
            </w:pPr>
            <w:r>
              <w:rPr>
                <w:rFonts w:ascii="Courier New" w:cs="Courier New" w:eastAsia="Courier New" w:hAnsi="Courier New"/>
                <w:sz w:val="19"/>
                <w:szCs w:val="19"/>
              </w:rPr>
              <w:t xml:space="preserve">     -&gt; Common Security Model -&gt; Framework Registry</w:t>
            </w:r>
          </w:p>
          <w:p>
            <w:pPr>
              <w:spacing w:after="40"/>
            </w:pPr>
            <w:r>
              <w:rPr>
                <w:rFonts w:ascii="Courier New" w:cs="Courier New" w:eastAsia="Courier New" w:hAnsi="Courier New"/>
                <w:sz w:val="19"/>
                <w:szCs w:val="19"/>
              </w:rPr>
              <w:t xml:space="preserve">     -&gt; Deterministic Evaluator -&gt; PASS / FAIL / UNKNOWN</w:t>
            </w:r>
          </w:p>
          <w:p>
            <w:pPr>
              <w:spacing w:after="40"/>
            </w:pPr>
            <w:r>
              <w:rPr>
                <w:rFonts w:ascii="Courier New" w:cs="Courier New" w:eastAsia="Courier New" w:hAnsi="Courier New"/>
                <w:sz w:val="19"/>
                <w:szCs w:val="19"/>
              </w:rPr>
              <w:t xml:space="preserve">     -&gt; Evidence -&gt; Remediation -&gt; Canonical Report -&gt; Audit Ledger</w:t>
            </w:r>
          </w:p>
          <w:p>
            <w:pPr>
              <w:spacing w:after="40"/>
            </w:pPr>
            <w:r>
              <w:rPr>
                <w:rFonts w:ascii="Courier New" w:cs="Courier New" w:eastAsia="Courier New" w:hAnsi="Courier New"/>
                <w:sz w:val="19"/>
                <w:szCs w:val="19"/>
              </w:rPr>
              <w:t xml:space="preserve"/>
            </w:r>
          </w:p>
          <w:p>
            <w:pPr>
              <w:spacing w:after="40"/>
            </w:pPr>
            <w:r>
              <w:rPr>
                <w:rFonts w:ascii="Courier New" w:cs="Courier New" w:eastAsia="Courier New" w:hAnsi="Courier New"/>
                <w:sz w:val="19"/>
                <w:szCs w:val="19"/>
              </w:rPr>
              <w:t xml:space="preserve">Side channel (advisory only):</w:t>
            </w:r>
          </w:p>
          <w:p>
            <w:pPr>
              <w:spacing w:after="40"/>
            </w:pPr>
            <w:r>
              <w:rPr>
                <w:rFonts w:ascii="Courier New" w:cs="Courier New" w:eastAsia="Courier New" w:hAnsi="Courier New"/>
                <w:sz w:val="19"/>
                <w:szCs w:val="19"/>
              </w:rPr>
              <w:t xml:space="preserve">Unmapped line -&gt; Local AI -&gt; Suggestion -&gt; Reviewer -&gt; Trusted mapping</w:t>
            </w:r>
          </w:p>
          <w:p>
            <w:pPr>
              <w:spacing w:after="40"/>
            </w:pPr>
            <w:r>
              <w:rPr>
                <w:rFonts w:ascii="Courier New" w:cs="Courier New" w:eastAsia="Courier New" w:hAnsi="Courier New"/>
                <w:sz w:val="19"/>
                <w:szCs w:val="19"/>
              </w:rPr>
              <w:t xml:space="preserve">     -&gt; used by future deterministic audits</w:t>
            </w:r>
          </w:p>
        </w:tc>
      </w:tr>
    </w:tbl>
    <w:p>
      <w:pPr>
        <w:spacing w:after="200" w:before="60"/>
        <w:jc w:val="center"/>
      </w:pPr>
      <w:r>
        <w:rPr>
          <w:rFonts w:ascii="Times New Roman" w:cs="Times New Roman" w:eastAsia="Times New Roman" w:hAnsi="Times New Roman"/>
          <w:i/>
          <w:iCs/>
          <w:sz w:val="20"/>
          <w:szCs w:val="20"/>
        </w:rPr>
        <w:t xml:space="preserve">Figure 1. Core pipeline and the AI side channel.</w:t>
      </w:r>
    </w:p>
    <w:p>
      <w:pPr>
        <w:pStyle w:val="Heading2"/>
        <w:spacing w:after="80" w:before="200"/>
      </w:pPr>
      <w:r>
        <w:rPr>
          <w:rFonts w:ascii="Arial" w:cs="Arial" w:eastAsia="Arial" w:hAnsi="Arial"/>
          <w:b/>
          <w:bCs/>
          <w:sz w:val="23"/>
          <w:szCs w:val="23"/>
        </w:rPr>
        <w:t xml:space="preserve">5.1 Ingestion and vendor adapters</w:t>
      </w:r>
    </w:p>
    <w:p>
      <w:pPr>
        <w:spacing w:after="120" w:line="276"/>
        <w:jc w:val="both"/>
      </w:pPr>
      <w:r>
        <w:rPr>
          <w:rFonts w:ascii="Times New Roman" w:cs="Times New Roman" w:eastAsia="Times New Roman" w:hAnsi="Times New Roman"/>
          <w:sz w:val="22"/>
          <w:szCs w:val="22"/>
        </w:rPr>
        <w:t xml:space="preserve">A file is validated, its vendor is detected, and it is routed to a vendor adapter that produces CSM fields. The engine never reads vendor syntax directly. Adding a vendor therefore means writing a parser, rules and tests, not modifying the central evaluator. Cisco IOS-XE is the reference implementation. The Juniper adapter canonicalises both the brace-structured and the flat set-style Junos syntax into one statement form before extraction, which is a good test that the adapter boundary holds.</w:t>
      </w:r>
    </w:p>
    <w:p>
      <w:pPr>
        <w:pStyle w:val="Heading2"/>
        <w:spacing w:after="80" w:before="200"/>
      </w:pPr>
      <w:r>
        <w:rPr>
          <w:rFonts w:ascii="Arial" w:cs="Arial" w:eastAsia="Arial" w:hAnsi="Arial"/>
          <w:b/>
          <w:bCs/>
          <w:sz w:val="23"/>
          <w:szCs w:val="23"/>
        </w:rPr>
        <w:t xml:space="preserve">5.2 Common Security Model</w:t>
      </w:r>
    </w:p>
    <w:p>
      <w:pPr>
        <w:spacing w:after="120" w:line="276"/>
        <w:jc w:val="both"/>
      </w:pPr>
      <w:r>
        <w:rPr>
          <w:rFonts w:ascii="Times New Roman" w:cs="Times New Roman" w:eastAsia="Times New Roman" w:hAnsi="Times New Roman"/>
          <w:sz w:val="22"/>
          <w:szCs w:val="22"/>
        </w:rPr>
        <w:t xml:space="preserve">The CSM is a structured, vendor-agnostic record of security-relevant settings such as management access, logging, time sources, SNMP, routing protection and interface state. Rules are written against CSM fields, so one rule serves every vendor whose adapter fills those fields.</w:t>
      </w:r>
    </w:p>
    <w:p>
      <w:pPr>
        <w:pStyle w:val="Heading2"/>
        <w:spacing w:after="80" w:before="200"/>
      </w:pPr>
      <w:r>
        <w:rPr>
          <w:rFonts w:ascii="Arial" w:cs="Arial" w:eastAsia="Arial" w:hAnsi="Arial"/>
          <w:b/>
          <w:bCs/>
          <w:sz w:val="23"/>
          <w:szCs w:val="23"/>
        </w:rPr>
        <w:t xml:space="preserve">5.3 Deterministic, multi-framework evaluation</w:t>
      </w:r>
    </w:p>
    <w:p>
      <w:pPr>
        <w:spacing w:after="120" w:line="276"/>
        <w:jc w:val="both"/>
      </w:pPr>
      <w:r>
        <w:rPr>
          <w:rFonts w:ascii="Times New Roman" w:cs="Times New Roman" w:eastAsia="Times New Roman" w:hAnsi="Times New Roman"/>
          <w:sz w:val="22"/>
          <w:szCs w:val="22"/>
        </w:rPr>
        <w:t xml:space="preserve">Each internal rule can carry mappings to several framework controls. Selecting frameworks in the interface selects which mappings are reported; it does not change how a rule is evaluated. Framework selection is vendor-aware. We claim executable coverage only for what is implemented and tested: at the time of our last code audit that was 7 CIS controls and 10 DISA-STIG controls for Cisco, and 10 baseline controls for Juniper. NIST SP 800-53 currently appears as cross-mapping tags on those rules and not as a standalone evaluator.</w:t>
      </w:r>
    </w:p>
    <w:p>
      <w:pPr>
        <w:pStyle w:val="Heading2"/>
        <w:spacing w:after="80" w:before="200"/>
      </w:pPr>
      <w:r>
        <w:rPr>
          <w:rFonts w:ascii="Arial" w:cs="Arial" w:eastAsia="Arial" w:hAnsi="Arial"/>
          <w:b/>
          <w:bCs/>
          <w:sz w:val="23"/>
          <w:szCs w:val="23"/>
        </w:rPr>
        <w:t xml:space="preserve">5.4 Local AI as an advisory side channel</w:t>
      </w:r>
    </w:p>
    <w:p>
      <w:pPr>
        <w:spacing w:after="120" w:line="276"/>
        <w:jc w:val="both"/>
      </w:pPr>
      <w:r>
        <w:rPr>
          <w:rFonts w:ascii="Times New Roman" w:cs="Times New Roman" w:eastAsia="Times New Roman" w:hAnsi="Times New Roman"/>
          <w:sz w:val="22"/>
          <w:szCs w:val="22"/>
        </w:rPr>
        <w:t xml:space="preserve">When a line cannot be mapped, two local components are involved. A DistilBERT-based classifier proposes the CSM field with a confidence score. A local generative model served through Ollama writes the rationale text and the plain-language explanation of failed controls. The generative model does not do the mapping. Model choice is hardware-aware and exposed as Auto, Fast, Quality and Deterministic Only modes; the two configured models are llama3.2:1b and qwen2.5:7b-instruct (q4_K_M). If the runtime is unavailable, times out, refuses or returns malformed output, the system falls back to templates. An AI failure therefore degrades explanation quality but never changes a compliance result.</w:t>
      </w:r>
    </w:p>
    <w:p>
      <w:pPr>
        <w:spacing w:after="120" w:line="276"/>
        <w:jc w:val="both"/>
      </w:pPr>
      <w:r>
        <w:rPr>
          <w:rFonts w:ascii="Times New Roman" w:cs="Times New Roman" w:eastAsia="Times New Roman" w:hAnsi="Times New Roman"/>
          <w:sz w:val="22"/>
          <w:szCs w:val="22"/>
        </w:rPr>
        <w:t xml:space="preserve">Every suggestion is stored with its raw line, proposed field, confidence, rationale, model, vendor, reviewer, timestamp and status. Two provenance fields planned in the PRD, model version and model checksum, were still missing from the suggestion schema at our last audit and are tracked as open work.</w:t>
      </w:r>
    </w:p>
    <w:p>
      <w:pPr>
        <w:pStyle w:val="Heading2"/>
        <w:spacing w:after="80" w:before="200"/>
      </w:pPr>
      <w:r>
        <w:rPr>
          <w:rFonts w:ascii="Arial" w:cs="Arial" w:eastAsia="Arial" w:hAnsi="Arial"/>
          <w:b/>
          <w:bCs/>
          <w:sz w:val="23"/>
          <w:szCs w:val="23"/>
        </w:rPr>
        <w:t xml:space="preserve">5.5 Trusted Rule Library</w:t>
      </w:r>
    </w:p>
    <w:p>
      <w:pPr>
        <w:spacing w:after="120" w:line="276"/>
        <w:jc w:val="both"/>
      </w:pPr>
      <w:r>
        <w:rPr>
          <w:rFonts w:ascii="Times New Roman" w:cs="Times New Roman" w:eastAsia="Times New Roman" w:hAnsi="Times New Roman"/>
          <w:sz w:val="22"/>
          <w:szCs w:val="22"/>
        </w:rPr>
        <w:t xml:space="preserve">Approved mappings live in a library with search, vendor filtering, provenance, and revocation for authorised users. A new mapping that conflicts with an existing one is flagged for resolution instead of silently replacing it. The reject path is structurally unable to write to the trusted store, and we verified this against the stored file rather than against a log message.</w:t>
      </w:r>
    </w:p>
    <w:p>
      <w:pPr>
        <w:pStyle w:val="Heading2"/>
        <w:spacing w:after="80" w:before="200"/>
      </w:pPr>
      <w:r>
        <w:rPr>
          <w:rFonts w:ascii="Arial" w:cs="Arial" w:eastAsia="Arial" w:hAnsi="Arial"/>
          <w:b/>
          <w:bCs/>
          <w:sz w:val="23"/>
          <w:szCs w:val="23"/>
        </w:rPr>
        <w:t xml:space="preserve">5.6 Remediation and static conflict analysis</w:t>
      </w:r>
    </w:p>
    <w:p>
      <w:pPr>
        <w:spacing w:after="120" w:line="276"/>
        <w:jc w:val="both"/>
      </w:pPr>
      <w:r>
        <w:rPr>
          <w:rFonts w:ascii="Times New Roman" w:cs="Times New Roman" w:eastAsia="Times New Roman" w:hAnsi="Times New Roman"/>
          <w:sz w:val="22"/>
          <w:szCs w:val="22"/>
        </w:rPr>
        <w:t xml:space="preserve">For a failed control, a Jinja2 template produces vendor-specific remediation. A static analyser then looks for four conflict types: direct contradiction, shadowing, overlap and redundancy. The output is shown to a reviewer and is never pushed to a device. We are careful about scope here. The four categories are the documented taxonomy; at our last audit the working checker was implemented for one rule (CISCO-NTP-001). A result of "no conflicts found" for any other rule must not be read as evidence of safety.</w:t>
      </w:r>
    </w:p>
    <w:p>
      <w:pPr>
        <w:pStyle w:val="Heading2"/>
        <w:spacing w:after="80" w:before="200"/>
      </w:pPr>
      <w:r>
        <w:rPr>
          <w:rFonts w:ascii="Arial" w:cs="Arial" w:eastAsia="Arial" w:hAnsi="Arial"/>
          <w:b/>
          <w:bCs/>
          <w:sz w:val="23"/>
          <w:szCs w:val="23"/>
        </w:rPr>
        <w:t xml:space="preserve">5.7 Ledger and canonical report</w:t>
      </w:r>
    </w:p>
    <w:p>
      <w:pPr>
        <w:spacing w:after="120" w:line="276"/>
        <w:jc w:val="both"/>
      </w:pPr>
      <w:r>
        <w:rPr>
          <w:rFonts w:ascii="Times New Roman" w:cs="Times New Roman" w:eastAsia="Times New Roman" w:hAnsi="Times New Roman"/>
          <w:sz w:val="22"/>
          <w:szCs w:val="22"/>
        </w:rPr>
        <w:t xml:space="preserve">Each finalised audit appends an entry to a SHA-256 hash chain, in which every entry commits to the one before it. There is one canonical report per audit, and the PDF and DOCX files are exports of that report rather than independent sources. Reviewers may edit only human-content fields, and immutable fields cannot be changed through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Editable (human content)</w:t>
            </w:r>
          </w:p>
        </w:tc>
        <w:tc>
          <w:tcPr>
            <w:tcW w:type="dxa" w:w="4513"/>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Immutable (authoritative)</w:t>
            </w:r>
          </w:p>
        </w:tc>
      </w:tr>
      <w:tr>
        <w:trPr>
          <w:tblHeader w:val="false"/>
        </w:trP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Executive summary; auditor observations; recommendations; additional findings; final reviewer notes; control notes; remediation commentary</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PASS/FAIL/UNKNOWN; control IDs; vendor; framework; evidence; audit identity; system snapshot; ledger and cryptographic data</w:t>
            </w:r>
          </w:p>
        </w:tc>
      </w:tr>
    </w:tbl>
    <w:p>
      <w:pPr>
        <w:spacing w:after="200" w:before="60"/>
        <w:jc w:val="center"/>
      </w:pPr>
      <w:r>
        <w:rPr>
          <w:rFonts w:ascii="Times New Roman" w:cs="Times New Roman" w:eastAsia="Times New Roman" w:hAnsi="Times New Roman"/>
          <w:i/>
          <w:iCs/>
          <w:sz w:val="20"/>
          <w:szCs w:val="20"/>
        </w:rPr>
        <w:t xml:space="preserve">Table 3. Report field policy.</w:t>
      </w:r>
    </w:p>
    <w:p>
      <w:pPr>
        <w:spacing w:after="120" w:line="276"/>
        <w:jc w:val="both"/>
      </w:pPr>
      <w:r>
        <w:rPr>
          <w:rFonts w:ascii="Times New Roman" w:cs="Times New Roman" w:eastAsia="Times New Roman" w:hAnsi="Times New Roman"/>
          <w:sz w:val="22"/>
          <w:szCs w:val="22"/>
        </w:rPr>
        <w:t xml:space="preserve">Each edit records editor, timestamp, field, old value, new value and version. Editor identity comes from the JWT, so a client cannot claim to be someone else. A stale version returns HTTP 409, and edited content is visibly marked "Edited manually".</w:t>
      </w:r>
    </w:p>
    <w:p>
      <w:pPr>
        <w:pStyle w:val="Heading2"/>
        <w:spacing w:after="80" w:before="200"/>
      </w:pPr>
      <w:r>
        <w:rPr>
          <w:rFonts w:ascii="Arial" w:cs="Arial" w:eastAsia="Arial" w:hAnsi="Arial"/>
          <w:b/>
          <w:bCs/>
          <w:sz w:val="23"/>
          <w:szCs w:val="23"/>
        </w:rPr>
        <w:t xml:space="preserve">5.8 Roles and interface</w:t>
      </w:r>
    </w:p>
    <w:p>
      <w:pPr>
        <w:spacing w:after="120" w:line="276"/>
        <w:jc w:val="both"/>
      </w:pPr>
      <w:r>
        <w:rPr>
          <w:rFonts w:ascii="Times New Roman" w:cs="Times New Roman" w:eastAsia="Times New Roman" w:hAnsi="Times New Roman"/>
          <w:sz w:val="22"/>
          <w:szCs w:val="22"/>
        </w:rPr>
        <w:t xml:space="preserve">Three roles exist. The Viewer sees a read-only compliance dashboard. The Uploader can upload and track their own submissions. The Reviewer runs the full workflow: review queue, model and framework selection, audit workspace (overview, results, evidence, AI review, remediation, conflict analysis, report) and system diagnostics. The interface is organised by role and goal, not by backend module, and role separation is enforced in both the API and the routes.</w:t>
      </w:r>
    </w:p>
    <w:p>
      <w:pPr>
        <w:pStyle w:val="Heading1"/>
        <w:spacing w:after="120" w:before="300"/>
      </w:pPr>
      <w:r>
        <w:rPr>
          <w:rFonts w:ascii="Arial" w:cs="Arial" w:eastAsia="Arial" w:hAnsi="Arial"/>
          <w:b/>
          <w:bCs/>
          <w:sz w:val="28"/>
          <w:szCs w:val="28"/>
        </w:rPr>
        <w:t xml:space="preserve">6. Implementation Status</w:t>
      </w:r>
    </w:p>
    <w:p>
      <w:pPr>
        <w:spacing w:after="120" w:line="276"/>
        <w:jc w:val="both"/>
      </w:pPr>
      <w:r>
        <w:rPr>
          <w:rFonts w:ascii="Times New Roman" w:cs="Times New Roman" w:eastAsia="Times New Roman" w:hAnsi="Times New Roman"/>
          <w:sz w:val="22"/>
          <w:szCs w:val="22"/>
        </w:rPr>
        <w:t xml:space="preserve">We separate what exists from what is planned, because overstating either would undermine the rest of the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026"/>
      </w:tblGrid>
      <w:tr>
        <w:trPr>
          <w:tblHeader/>
        </w:trPr>
        <w:tc>
          <w:tcPr>
            <w:tcW w:type="dxa" w:w="3100"/>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Capability</w:t>
            </w:r>
          </w:p>
        </w:tc>
        <w:tc>
          <w:tcPr>
            <w:tcW w:type="dxa" w:w="1900"/>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Status</w:t>
            </w:r>
          </w:p>
        </w:tc>
        <w:tc>
          <w:tcPr>
            <w:tcW w:type="dxa" w:w="4026"/>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Note</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Cisco IOS-XE parsing and audit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Reference path</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Juniper parsing and audit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Both Junos syntaxes; 10 controls</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Arista, Fortinet, Palo Alto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Architecture-ready</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Base adapter interface only; upload is rejected</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Fail-closed vendor routing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Tested</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Vendor-aware multi-framework evaluation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CIS and DISA-STIG executable; NIST as mappings</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Human-approved AI mapping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Approve, correct, reject</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Adaptive model selection and fallback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Four selectable modes</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Static conflict analysis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Partial</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Four-category taxonomy; checker scoped to one rule</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Hash-chained ledger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Integrity verification</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Canonical editable report and API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GET, PATCH, edit history, PDF and DOCX export</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JWT and role-based access control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Three roles, three UI surfaces</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Offline packaging</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Implemented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Docker-based</w:t>
            </w:r>
          </w:p>
        </w:tc>
      </w:tr>
      <w:tr>
        <w:trPr>
          <w:tblHeader w:val="false"/>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Bulk ingestion, job queue, live SSH, digital twin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Planned</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Not claimed</w:t>
            </w:r>
          </w:p>
        </w:tc>
      </w:tr>
    </w:tbl>
    <w:p>
      <w:pPr>
        <w:spacing w:after="200" w:before="60"/>
        <w:jc w:val="center"/>
      </w:pPr>
      <w:r>
        <w:rPr>
          <w:rFonts w:ascii="Times New Roman" w:cs="Times New Roman" w:eastAsia="Times New Roman" w:hAnsi="Times New Roman"/>
          <w:i/>
          <w:iCs/>
          <w:sz w:val="20"/>
          <w:szCs w:val="20"/>
        </w:rPr>
        <w:t xml:space="preserve">Table 4. Implemented, partial, and planned capabilities.</w:t>
      </w:r>
    </w:p>
    <w:p>
      <w:pPr>
        <w:pStyle w:val="Heading1"/>
        <w:spacing w:after="120" w:before="300"/>
      </w:pPr>
      <w:r>
        <w:rPr>
          <w:rFonts w:ascii="Arial" w:cs="Arial" w:eastAsia="Arial" w:hAnsi="Arial"/>
          <w:b/>
          <w:bCs/>
          <w:sz w:val="28"/>
          <w:szCs w:val="28"/>
        </w:rPr>
        <w:t xml:space="preserve">7. Evaluation</w:t>
      </w:r>
    </w:p>
    <w:p>
      <w:pPr>
        <w:pStyle w:val="Heading2"/>
        <w:spacing w:after="80" w:before="200"/>
      </w:pPr>
      <w:r>
        <w:rPr>
          <w:rFonts w:ascii="Arial" w:cs="Arial" w:eastAsia="Arial" w:hAnsi="Arial"/>
          <w:b/>
          <w:bCs/>
          <w:sz w:val="23"/>
          <w:szCs w:val="23"/>
        </w:rPr>
        <w:t xml:space="preserve">7.1 Method</w:t>
      </w:r>
    </w:p>
    <w:p>
      <w:pPr>
        <w:spacing w:after="120" w:line="276"/>
        <w:jc w:val="both"/>
      </w:pPr>
      <w:r>
        <w:rPr>
          <w:rFonts w:ascii="Times New Roman" w:cs="Times New Roman" w:eastAsia="Times New Roman" w:hAnsi="Times New Roman"/>
          <w:sz w:val="22"/>
          <w:szCs w:val="22"/>
        </w:rPr>
        <w:t xml:space="preserve">We measure the deterministic path (upload, parse, CSM, compliance) separately from the AI path (unmapped line to suggestion). Mixing them would hide the fact that the first is fast and reproducible while the second is neither. Timings come from one machine and are not guarantees for other hardware.</w:t>
      </w:r>
    </w:p>
    <w:p>
      <w:pPr>
        <w:spacing w:after="120" w:line="276"/>
        <w:jc w:val="both"/>
      </w:pPr>
      <w:r>
        <w:rPr>
          <w:rFonts w:ascii="Times New Roman" w:cs="Times New Roman" w:eastAsia="Times New Roman" w:hAnsi="Times New Roman"/>
          <w:b/>
          <w:bCs/>
          <w:sz w:val="22"/>
          <w:szCs w:val="22"/>
        </w:rPr>
        <w:t xml:space="preserve">Reference machine: </w:t>
      </w:r>
      <w:r>
        <w:rPr>
          <w:rFonts w:ascii="Times New Roman" w:cs="Times New Roman" w:eastAsia="Times New Roman" w:hAnsi="Times New Roman"/>
          <w:sz w:val="22"/>
          <w:szCs w:val="22"/>
        </w:rPr>
        <w:t xml:space="preserve">Intel Core i5-1235U (10 cores), 16 GB RAM.</w:t>
      </w:r>
    </w:p>
    <w:p>
      <w:pPr>
        <w:pStyle w:val="Heading2"/>
        <w:spacing w:after="80" w:before="200"/>
      </w:pPr>
      <w:r>
        <w:rPr>
          <w:rFonts w:ascii="Arial" w:cs="Arial" w:eastAsia="Arial" w:hAnsi="Arial"/>
          <w:b/>
          <w:bCs/>
          <w:sz w:val="23"/>
          <w:szCs w:val="23"/>
        </w:rPr>
        <w:t xml:space="preserve">7.2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826"/>
      </w:tblGrid>
      <w:tr>
        <w:trPr>
          <w:tblHeader/>
        </w:trPr>
        <w:tc>
          <w:tcPr>
            <w:tcW w:type="dxa" w:w="4200"/>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Measurement</w:t>
            </w:r>
          </w:p>
        </w:tc>
        <w:tc>
          <w:tcPr>
            <w:tcW w:type="dxa" w:w="2000"/>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Result</w:t>
            </w:r>
          </w:p>
        </w:tc>
        <w:tc>
          <w:tcPr>
            <w:tcW w:type="dxa" w:w="2826"/>
            <w:tcBorders>
              <w:top w:val="single" w:color="999999" w:sz="4"/>
              <w:left w:val="single" w:color="999999" w:sz="4"/>
              <w:bottom w:val="single" w:color="999999" w:sz="4"/>
              <w:right w:val="single" w:color="999999" w:sz="4"/>
            </w:tcBorders>
            <w:shd w:fill="E4E8EE" w:color="auto" w:val="clear"/>
            <w:tcMar>
              <w:top w:type="dxa" w:w="60"/>
              <w:left w:type="dxa" w:w="100"/>
              <w:bottom w:type="dxa" w:w="60"/>
              <w:right w:type="dxa" w:w="100"/>
            </w:tcMar>
          </w:tcPr>
          <w:p>
            <w:r>
              <w:rPr>
                <w:rFonts w:ascii="Arial" w:cs="Arial" w:eastAsia="Arial" w:hAnsi="Arial"/>
                <w:b/>
                <w:bCs/>
                <w:sz w:val="19"/>
                <w:szCs w:val="19"/>
              </w:rPr>
              <w:t xml:space="preserve">Condition</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Deterministic audit, 2,220-line config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about 5.3 ms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10 runs</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PRD target for ~2,000 lines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under 5 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Met by a wide margin</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Classifier suggestion (DistilBERT)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about 15 ms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Per line</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Generative rationale, llama3.2:1b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3.6 to 6.3 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Per line</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Generative rationale, qwen2.5:7b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22.0 to 23.3 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Per line</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Refusal behaviour, llama3.2:1b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Not stable at zero</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Fallback templates cover it</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Automated tests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594 passing</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9"/>
                <w:szCs w:val="19"/>
              </w:rPr>
              <w:t xml:space="preserve">At last audit, 24 Sep 2026</w:t>
            </w:r>
          </w:p>
        </w:tc>
      </w:tr>
    </w:tbl>
    <w:p>
      <w:pPr>
        <w:spacing w:after="200" w:before="60"/>
        <w:jc w:val="center"/>
      </w:pPr>
      <w:r>
        <w:rPr>
          <w:rFonts w:ascii="Times New Roman" w:cs="Times New Roman" w:eastAsia="Times New Roman" w:hAnsi="Times New Roman"/>
          <w:i/>
          <w:iCs/>
          <w:sz w:val="20"/>
          <w:szCs w:val="20"/>
        </w:rPr>
        <w:t xml:space="preserve">Table 5. Measured results on the reference machine.</w:t>
      </w:r>
    </w:p>
    <w:p>
      <w:pPr>
        <w:spacing w:after="120" w:line="276"/>
        <w:jc w:val="both"/>
      </w:pPr>
      <w:r>
        <w:rPr>
          <w:rFonts w:ascii="Times New Roman" w:cs="Times New Roman" w:eastAsia="Times New Roman" w:hAnsi="Times New Roman"/>
          <w:sz w:val="22"/>
          <w:szCs w:val="22"/>
        </w:rPr>
        <w:t xml:space="preserve">Three observations matter more than the numbers. First, repeated runs of the deterministic path produce identical output, checked by hash comparison, which is what makes the results defensible. Second, the AI path is two to four orders of magnitude slower than the deterministic path and varies with the model, so we quote ranges and hardware instead of one figure. Third, the smaller model sometimes refuses to answer security-flavoured prompts. We record this as a known limitation and rely on the fallback rather than tuning prompts until the problem appears to go away.</w:t>
      </w:r>
    </w:p>
    <w:p>
      <w:pPr>
        <w:pStyle w:val="Heading2"/>
        <w:spacing w:after="80" w:before="200"/>
      </w:pPr>
      <w:r>
        <w:rPr>
          <w:rFonts w:ascii="Arial" w:cs="Arial" w:eastAsia="Arial" w:hAnsi="Arial"/>
          <w:b/>
          <w:bCs/>
          <w:sz w:val="23"/>
          <w:szCs w:val="23"/>
        </w:rPr>
        <w:t xml:space="preserve">7.3 Integrity checks</w:t>
      </w:r>
    </w:p>
    <w:p>
      <w:pPr>
        <w:pStyle w:val="ListParagraph"/>
        <w:numPr>
          <w:ilvl w:val="0"/>
          <w:numId w:val="2"/>
        </w:numPr>
        <w:spacing w:after="60" w:line="276"/>
      </w:pPr>
      <w:r>
        <w:rPr>
          <w:rFonts w:ascii="Times New Roman" w:cs="Times New Roman" w:eastAsia="Times New Roman" w:hAnsi="Times New Roman"/>
          <w:sz w:val="22"/>
          <w:szCs w:val="22"/>
        </w:rPr>
        <w:t xml:space="preserve">Hash chain: matching hashes were confirmed across the interface, the Python check and a deliberate tamper test.</w:t>
      </w:r>
    </w:p>
    <w:p>
      <w:pPr>
        <w:pStyle w:val="ListParagraph"/>
        <w:numPr>
          <w:ilvl w:val="0"/>
          <w:numId w:val="2"/>
        </w:numPr>
        <w:spacing w:after="60" w:line="276"/>
      </w:pPr>
      <w:r>
        <w:rPr>
          <w:rFonts w:ascii="Times New Roman" w:cs="Times New Roman" w:eastAsia="Times New Roman" w:hAnsi="Times New Roman"/>
          <w:sz w:val="22"/>
          <w:szCs w:val="22"/>
        </w:rPr>
        <w:t xml:space="preserve">Report: the hash embedded in the exported PDF was compared with the ledger entry.</w:t>
      </w:r>
    </w:p>
    <w:p>
      <w:pPr>
        <w:pStyle w:val="ListParagraph"/>
        <w:numPr>
          <w:ilvl w:val="0"/>
          <w:numId w:val="2"/>
        </w:numPr>
        <w:spacing w:after="60" w:line="276"/>
      </w:pPr>
      <w:r>
        <w:rPr>
          <w:rFonts w:ascii="Times New Roman" w:cs="Times New Roman" w:eastAsia="Times New Roman" w:hAnsi="Times New Roman"/>
          <w:sz w:val="22"/>
          <w:szCs w:val="22"/>
        </w:rPr>
        <w:t xml:space="preserve">Reject path: verified against the stored trusted-mapping data that a rejected suggestion leaves it untouched.</w:t>
      </w:r>
    </w:p>
    <w:p>
      <w:pPr>
        <w:pStyle w:val="ListParagraph"/>
        <w:numPr>
          <w:ilvl w:val="0"/>
          <w:numId w:val="2"/>
        </w:numPr>
        <w:spacing w:after="60" w:line="276"/>
      </w:pPr>
      <w:r>
        <w:rPr>
          <w:rFonts w:ascii="Times New Roman" w:cs="Times New Roman" w:eastAsia="Times New Roman" w:hAnsi="Times New Roman"/>
          <w:sz w:val="22"/>
          <w:szCs w:val="22"/>
        </w:rPr>
        <w:t xml:space="preserve">Interface parity: the API and the command-line tool gave the same values on the same input.</w:t>
      </w:r>
    </w:p>
    <w:p>
      <w:pPr>
        <w:pStyle w:val="Heading1"/>
        <w:spacing w:after="120" w:before="300"/>
      </w:pPr>
      <w:r>
        <w:rPr>
          <w:rFonts w:ascii="Arial" w:cs="Arial" w:eastAsia="Arial" w:hAnsi="Arial"/>
          <w:b/>
          <w:bCs/>
          <w:sz w:val="28"/>
          <w:szCs w:val="28"/>
        </w:rPr>
        <w:t xml:space="preserve">8. Networking Case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FF6D6" w:color="auto" w:val="clear"/>
            <w:tcMar>
              <w:top w:type="dxa" w:w="100"/>
              <w:left w:type="dxa" w:w="160"/>
              <w:bottom w:type="dxa" w:w="100"/>
              <w:right w:type="dxa" w:w="160"/>
            </w:tcMar>
          </w:tcPr>
          <w:p>
            <w:pPr>
              <w:spacing w:after="40"/>
            </w:pPr>
            <w:r>
              <w:rPr>
                <w:rFonts w:ascii="Courier New" w:cs="Courier New" w:eastAsia="Courier New" w:hAnsi="Courier New"/>
                <w:sz w:val="19"/>
                <w:szCs w:val="19"/>
              </w:rPr>
              <w:t xml:space="preserve">[SLOT: insert the CN case study paper here.]</w:t>
            </w:r>
          </w:p>
          <w:p>
            <w:pPr>
              <w:spacing w:after="40"/>
            </w:pPr>
            <w:r>
              <w:rPr>
                <w:rFonts w:ascii="Courier New" w:cs="Courier New" w:eastAsia="Courier New" w:hAnsi="Courier New"/>
                <w:sz w:val="19"/>
                <w:szCs w:val="19"/>
              </w:rPr>
              <w:t xml:space="preserve">Upload the paper (or paste its text) and this section will be written from it:</w:t>
            </w:r>
          </w:p>
          <w:p>
            <w:pPr>
              <w:spacing w:after="40"/>
            </w:pPr>
            <w:r>
              <w:rPr>
                <w:rFonts w:ascii="Courier New" w:cs="Courier New" w:eastAsia="Courier New" w:hAnsi="Courier New"/>
                <w:sz w:val="19"/>
                <w:szCs w:val="19"/>
              </w:rPr>
              <w:t xml:space="preserve">problem, setup, findings, and the link back to the controls audited above.</w:t>
            </w:r>
          </w:p>
        </w:tc>
      </w:tr>
    </w:tbl>
    <w:p>
      <w:pPr>
        <w:spacing w:after="60"/>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The audited controls sit on ordinary networking mechanisms: time synchronisation (NTP), management-plane access (SSH and remote login), SNMP community handling, BGP session protection, logging, and interface hygiene. A misconfiguration in any of them has a protocol-level explanation, and that is the link we want this section to make explicit once the case study is in. Nothing below the slot is drawn from the case study.</w:t>
      </w:r>
    </w:p>
    <w:p>
      <w:pPr>
        <w:pStyle w:val="Heading1"/>
        <w:spacing w:after="120" w:before="300"/>
      </w:pPr>
      <w:r>
        <w:rPr>
          <w:rFonts w:ascii="Arial" w:cs="Arial" w:eastAsia="Arial" w:hAnsi="Arial"/>
          <w:b/>
          <w:bCs/>
          <w:sz w:val="28"/>
          <w:szCs w:val="28"/>
        </w:rPr>
        <w:t xml:space="preserve">9. Limitations and Threats to Validity</w:t>
      </w:r>
    </w:p>
    <w:p>
      <w:pPr>
        <w:pStyle w:val="ListParagraph"/>
        <w:numPr>
          <w:ilvl w:val="0"/>
          <w:numId w:val="2"/>
        </w:numPr>
        <w:spacing w:after="60" w:line="276"/>
      </w:pPr>
      <w:r>
        <w:rPr>
          <w:rFonts w:ascii="Times New Roman" w:cs="Times New Roman" w:eastAsia="Times New Roman" w:hAnsi="Times New Roman"/>
          <w:sz w:val="22"/>
          <w:szCs w:val="22"/>
        </w:rPr>
        <w:t xml:space="preserve">Coverage is limited. Executable controls number in the tens per vendor and do not amount to full CIS, NIST or STIG coverage. NCIIPC controls are not implemented.</w:t>
      </w:r>
    </w:p>
    <w:p>
      <w:pPr>
        <w:pStyle w:val="ListParagraph"/>
        <w:numPr>
          <w:ilvl w:val="0"/>
          <w:numId w:val="2"/>
        </w:numPr>
        <w:spacing w:after="60" w:line="276"/>
      </w:pPr>
      <w:r>
        <w:rPr>
          <w:rFonts w:ascii="Times New Roman" w:cs="Times New Roman" w:eastAsia="Times New Roman" w:hAnsi="Times New Roman"/>
          <w:sz w:val="22"/>
          <w:szCs w:val="22"/>
        </w:rPr>
        <w:t xml:space="preserve">Only two vendors are implemented. The other three are architecture-ready and the paper does not claim otherwise.</w:t>
      </w:r>
    </w:p>
    <w:p>
      <w:pPr>
        <w:pStyle w:val="ListParagraph"/>
        <w:numPr>
          <w:ilvl w:val="0"/>
          <w:numId w:val="2"/>
        </w:numPr>
        <w:spacing w:after="60" w:line="276"/>
      </w:pPr>
      <w:r>
        <w:rPr>
          <w:rFonts w:ascii="Times New Roman" w:cs="Times New Roman" w:eastAsia="Times New Roman" w:hAnsi="Times New Roman"/>
          <w:sz w:val="22"/>
          <w:szCs w:val="22"/>
        </w:rPr>
        <w:t xml:space="preserve">Conflict analysis is scoped to one rule, as described in 5.6.</w:t>
      </w:r>
    </w:p>
    <w:p>
      <w:pPr>
        <w:pStyle w:val="ListParagraph"/>
        <w:numPr>
          <w:ilvl w:val="0"/>
          <w:numId w:val="2"/>
        </w:numPr>
        <w:spacing w:after="60" w:line="276"/>
      </w:pPr>
      <w:r>
        <w:rPr>
          <w:rFonts w:ascii="Times New Roman" w:cs="Times New Roman" w:eastAsia="Times New Roman" w:hAnsi="Times New Roman"/>
          <w:sz w:val="22"/>
          <w:szCs w:val="22"/>
        </w:rPr>
        <w:t xml:space="preserve">Known rule-level limits: unused-interface detection depends on the word "unused" in an interface description (INT-001); routing checks cover BGP only, not OSPF or EIGRP (ROUTING-001); SNMP checks flag any community string instead of separating weak from restricted ones (SNMP-001).</w:t>
      </w:r>
    </w:p>
    <w:p>
      <w:pPr>
        <w:pStyle w:val="ListParagraph"/>
        <w:numPr>
          <w:ilvl w:val="0"/>
          <w:numId w:val="2"/>
        </w:numPr>
        <w:spacing w:after="60" w:line="276"/>
      </w:pPr>
      <w:r>
        <w:rPr>
          <w:rFonts w:ascii="Times New Roman" w:cs="Times New Roman" w:eastAsia="Times New Roman" w:hAnsi="Times New Roman"/>
          <w:sz w:val="22"/>
          <w:szCs w:val="22"/>
        </w:rPr>
        <w:t xml:space="preserve">Test inputs are configurations we prepared or sourced from public examples. Results on real production configurations are not yet measured.</w:t>
      </w:r>
    </w:p>
    <w:p>
      <w:pPr>
        <w:pStyle w:val="ListParagraph"/>
        <w:numPr>
          <w:ilvl w:val="0"/>
          <w:numId w:val="2"/>
        </w:numPr>
        <w:spacing w:after="60" w:line="276"/>
      </w:pPr>
      <w:r>
        <w:rPr>
          <w:rFonts w:ascii="Times New Roman" w:cs="Times New Roman" w:eastAsia="Times New Roman" w:hAnsi="Times New Roman"/>
          <w:sz w:val="22"/>
          <w:szCs w:val="22"/>
        </w:rPr>
        <w:t xml:space="preserve">AI timings are single-machine measurements and the small model has a non-zero refusal rate (OLLAMA-NTP-001).</w:t>
      </w:r>
    </w:p>
    <w:p>
      <w:pPr>
        <w:pStyle w:val="ListParagraph"/>
        <w:numPr>
          <w:ilvl w:val="0"/>
          <w:numId w:val="2"/>
        </w:numPr>
        <w:spacing w:after="60" w:line="276"/>
      </w:pPr>
      <w:r>
        <w:rPr>
          <w:rFonts w:ascii="Times New Roman" w:cs="Times New Roman" w:eastAsia="Times New Roman" w:hAnsi="Times New Roman"/>
          <w:sz w:val="22"/>
          <w:szCs w:val="22"/>
        </w:rPr>
        <w:t xml:space="preserve">The demo persists to SQLite on one node. Multi-reviewer approval and multi-tenant operation are not built.</w:t>
      </w:r>
    </w:p>
    <w:p>
      <w:pPr>
        <w:pStyle w:val="ListParagraph"/>
        <w:numPr>
          <w:ilvl w:val="0"/>
          <w:numId w:val="2"/>
        </w:numPr>
        <w:spacing w:after="60" w:line="276"/>
      </w:pPr>
      <w:r>
        <w:rPr>
          <w:rFonts w:ascii="Times New Roman" w:cs="Times New Roman" w:eastAsia="Times New Roman" w:hAnsi="Times New Roman"/>
          <w:sz w:val="22"/>
          <w:szCs w:val="22"/>
        </w:rPr>
        <w:t xml:space="preserve">This is a static analyser. It does not simulate reachability or the effect of a change on live traffic.</w:t>
      </w:r>
    </w:p>
    <w:p>
      <w:pPr>
        <w:pStyle w:val="Heading1"/>
        <w:spacing w:after="120" w:before="300"/>
      </w:pPr>
      <w:r>
        <w:rPr>
          <w:rFonts w:ascii="Arial" w:cs="Arial" w:eastAsia="Arial" w:hAnsi="Arial"/>
          <w:b/>
          <w:bCs/>
          <w:sz w:val="28"/>
          <w:szCs w:val="28"/>
        </w:rPr>
        <w:t xml:space="preserve">10. Roadmap</w:t>
      </w:r>
    </w:p>
    <w:p>
      <w:pPr>
        <w:spacing w:after="120" w:line="276"/>
        <w:jc w:val="both"/>
      </w:pPr>
      <w:r>
        <w:rPr>
          <w:rFonts w:ascii="Times New Roman" w:cs="Times New Roman" w:eastAsia="Times New Roman" w:hAnsi="Times New Roman"/>
          <w:sz w:val="22"/>
          <w:szCs w:val="22"/>
        </w:rPr>
        <w:t xml:space="preserve">In order: Arista, Fortinet and Palo Alto adapters; bulk ingestion with a background queue and progress streaming; a generic conflict analyser covering all four categories; the missing provenance fields; additional frameworks and NCIIPC once authoritative material is available; and, later, live retrieval, reachability simulation, production multi-reviewer approval and multi-tenant deployment. Each of these is planned work and is not part of the current claims.</w:t>
      </w:r>
    </w:p>
    <w:p>
      <w:pPr>
        <w:pStyle w:val="Heading1"/>
        <w:spacing w:after="120" w:before="300"/>
      </w:pPr>
      <w:r>
        <w:rPr>
          <w:rFonts w:ascii="Arial" w:cs="Arial" w:eastAsia="Arial" w:hAnsi="Arial"/>
          <w:b/>
          <w:bCs/>
          <w:sz w:val="28"/>
          <w:szCs w:val="28"/>
        </w:rPr>
        <w:t xml:space="preserve">11. Conclusion</w:t>
      </w:r>
    </w:p>
    <w:p>
      <w:pPr>
        <w:spacing w:after="120" w:line="276"/>
        <w:jc w:val="both"/>
      </w:pPr>
      <w:r>
        <w:rPr>
          <w:rFonts w:ascii="Times New Roman" w:cs="Times New Roman" w:eastAsia="Times New Roman" w:hAnsi="Times New Roman"/>
          <w:sz w:val="22"/>
          <w:szCs w:val="22"/>
        </w:rPr>
        <w:t xml:space="preserve">The system shows that a compliance auditor can use a local language model for what models are useful for, understanding unfamiliar text, without giving it authority it should not have. Compliance results come from deterministic rules, mappings become trusted only after human approval, remediation is shown and never run, and every finalised audit is chained and exportable. What remains is breadth: more vendors, more controls, a more general conflict analyser, and evaluation on real configurations. We would rather present a narrower system whose claims all hold than a wider one where they do not.</w:t>
      </w:r>
    </w:p>
    <w:p>
      <w:pPr>
        <w:pStyle w:val="Heading1"/>
        <w:spacing w:after="120" w:before="300"/>
      </w:pPr>
      <w:r>
        <w:rPr>
          <w:rFonts w:ascii="Arial" w:cs="Arial" w:eastAsia="Arial" w:hAnsi="Arial"/>
          <w:b/>
          <w:bCs/>
          <w:sz w:val="28"/>
          <w:szCs w:val="28"/>
        </w:rPr>
        <w:t xml:space="preserve">References</w:t>
      </w:r>
    </w:p>
    <w:p>
      <w:pPr>
        <w:spacing w:after="60"/>
        <w:ind w:left="400" w:hanging="400"/>
      </w:pPr>
      <w:r>
        <w:rPr>
          <w:rFonts w:ascii="Times New Roman" w:cs="Times New Roman" w:eastAsia="Times New Roman" w:hAnsi="Times New Roman"/>
          <w:sz w:val="20"/>
          <w:szCs w:val="20"/>
        </w:rPr>
        <w:t xml:space="preserve">[1]  Center for Internet Security. CIS Benchmarks (Cisco). https://www.cisecurity.org/cis-benchmarks</w:t>
      </w:r>
    </w:p>
    <w:p>
      <w:pPr>
        <w:spacing w:after="60"/>
        <w:ind w:left="400" w:hanging="400"/>
      </w:pPr>
      <w:r>
        <w:rPr>
          <w:rFonts w:ascii="Times New Roman" w:cs="Times New Roman" w:eastAsia="Times New Roman" w:hAnsi="Times New Roman"/>
          <w:sz w:val="20"/>
          <w:szCs w:val="20"/>
        </w:rPr>
        <w:t xml:space="preserve">[2]  DISA. Security Technical Implementation Guides. https://public.cyber.mil/stigs/</w:t>
      </w:r>
    </w:p>
    <w:p>
      <w:pPr>
        <w:spacing w:after="60"/>
        <w:ind w:left="400" w:hanging="400"/>
      </w:pPr>
      <w:r>
        <w:rPr>
          <w:rFonts w:ascii="Times New Roman" w:cs="Times New Roman" w:eastAsia="Times New Roman" w:hAnsi="Times New Roman"/>
          <w:sz w:val="20"/>
          <w:szCs w:val="20"/>
        </w:rPr>
        <w:t xml:space="preserve">[3]  NIST. Security and Privacy Controls for Information Systems and Organizations, SP 800-53 Rev. 5. https://csrc.nist.gov/pubs/sp/800/53/r5/upd1/final</w:t>
      </w:r>
    </w:p>
    <w:p>
      <w:pPr>
        <w:spacing w:after="60"/>
        <w:ind w:left="400" w:hanging="400"/>
      </w:pPr>
      <w:r>
        <w:rPr>
          <w:rFonts w:ascii="Times New Roman" w:cs="Times New Roman" w:eastAsia="Times New Roman" w:hAnsi="Times New Roman"/>
          <w:sz w:val="20"/>
          <w:szCs w:val="20"/>
        </w:rPr>
        <w:t xml:space="preserve">[4]  NIST. Security Content Automation Protocol. https://csrc.nist.gov/projects/security-content-automation-protocol</w:t>
      </w:r>
    </w:p>
    <w:p>
      <w:pPr>
        <w:spacing w:after="60"/>
        <w:ind w:left="400" w:hanging="400"/>
      </w:pPr>
      <w:r>
        <w:rPr>
          <w:rFonts w:ascii="Times New Roman" w:cs="Times New Roman" w:eastAsia="Times New Roman" w:hAnsi="Times New Roman"/>
          <w:sz w:val="20"/>
          <w:szCs w:val="20"/>
        </w:rPr>
        <w:t xml:space="preserve">[5]  NIST. Cybersecurity Framework. https://www.nist.gov/cyberframework</w:t>
      </w:r>
    </w:p>
    <w:p>
      <w:pPr>
        <w:spacing w:after="60"/>
        <w:ind w:left="400" w:hanging="400"/>
      </w:pPr>
      <w:r>
        <w:rPr>
          <w:rFonts w:ascii="Times New Roman" w:cs="Times New Roman" w:eastAsia="Times New Roman" w:hAnsi="Times New Roman"/>
          <w:sz w:val="20"/>
          <w:szCs w:val="20"/>
        </w:rPr>
        <w:t xml:space="preserve">[6]  OpenConfig. Vendor-neutral network data models. https://www.openconfig.net</w:t>
      </w:r>
    </w:p>
    <w:p>
      <w:pPr>
        <w:spacing w:after="60"/>
        <w:ind w:left="400" w:hanging="400"/>
      </w:pPr>
      <w:r>
        <w:rPr>
          <w:rFonts w:ascii="Times New Roman" w:cs="Times New Roman" w:eastAsia="Times New Roman" w:hAnsi="Times New Roman"/>
          <w:sz w:val="20"/>
          <w:szCs w:val="20"/>
        </w:rPr>
        <w:t xml:space="preserve">[7]  Batfish. Network configuration analysis. https://github.com/batfish/batfish</w:t>
      </w:r>
    </w:p>
    <w:p>
      <w:pPr>
        <w:spacing w:after="60"/>
        <w:ind w:left="400" w:hanging="400"/>
      </w:pPr>
      <w:r>
        <w:rPr>
          <w:rFonts w:ascii="Times New Roman" w:cs="Times New Roman" w:eastAsia="Times New Roman" w:hAnsi="Times New Roman"/>
          <w:sz w:val="20"/>
          <w:szCs w:val="20"/>
        </w:rPr>
        <w:t xml:space="preserve">[8]  Cisco IOS and IOS-XE configuration documentation. https://www.cisco.com</w:t>
      </w:r>
    </w:p>
    <w:p>
      <w:pPr>
        <w:spacing w:after="60"/>
        <w:ind w:left="400" w:hanging="400"/>
      </w:pPr>
      <w:r>
        <w:rPr>
          <w:rFonts w:ascii="Times New Roman" w:cs="Times New Roman" w:eastAsia="Times New Roman" w:hAnsi="Times New Roman"/>
          <w:sz w:val="20"/>
          <w:szCs w:val="20"/>
        </w:rPr>
        <w:t xml:space="preserve">[9]  Juniper Networks. Junos documentation. https://www.juniper.net/documentation/</w:t>
      </w:r>
    </w:p>
    <w:p>
      <w:pPr>
        <w:spacing w:after="60"/>
        <w:ind w:left="400" w:hanging="400"/>
      </w:pPr>
      <w:r>
        <w:rPr>
          <w:rFonts w:ascii="Times New Roman" w:cs="Times New Roman" w:eastAsia="Times New Roman" w:hAnsi="Times New Roman"/>
          <w:sz w:val="20"/>
          <w:szCs w:val="20"/>
        </w:rPr>
        <w:t xml:space="preserve">[10]  Verizon. 2023 Data Breach Investigations Report.</w:t>
      </w:r>
    </w:p>
    <w:p>
      <w:pPr>
        <w:spacing w:after="60"/>
        <w:ind w:left="400" w:hanging="400"/>
      </w:pPr>
      <w:r>
        <w:rPr>
          <w:rFonts w:ascii="Times New Roman" w:cs="Times New Roman" w:eastAsia="Times New Roman" w:hAnsi="Times New Roman"/>
          <w:sz w:val="20"/>
          <w:szCs w:val="20"/>
        </w:rPr>
        <w:t xml:space="preserve">[11]  Leveraging LLM Agents for Translating Network Configurations (IRAG and multi-agent translation). Full citation to be completed from the reference library.</w:t>
      </w:r>
    </w:p>
    <w:p>
      <w:pPr>
        <w:spacing w:after="60"/>
        <w:ind w:left="400" w:hanging="400"/>
      </w:pPr>
      <w:r>
        <w:rPr>
          <w:rFonts w:ascii="Times New Roman" w:cs="Times New Roman" w:eastAsia="Times New Roman" w:hAnsi="Times New Roman"/>
          <w:sz w:val="20"/>
          <w:szCs w:val="20"/>
        </w:rPr>
        <w:t xml:space="preserve">[12]  NTRO Problem Statement 26155, Smart India Hackathon 2026, and Team NextGen PRD v6.0.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77777"/>
        <w:sz w:val="17"/>
        <w:szCs w:val="17"/>
      </w:rPr>
      <w:t xml:space="preserve">NTRO PS26155  |  Team NextGen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Multi-Vendor Network Security Compliance Auditor: Research Paper</dc:title>
  <dc:creator>Team NextGen</dc:creator>
  <cp:lastModifiedBy>Un-named</cp:lastModifiedBy>
  <cp:revision>1</cp:revision>
  <dcterms:created xsi:type="dcterms:W3CDTF">2026-09-29T05:29:02.895Z</dcterms:created>
  <dcterms:modified xsi:type="dcterms:W3CDTF">2026-09-29T05:29:02.904Z</dcterms:modified>
</cp:coreProperties>
</file>

<file path=docProps/custom.xml><?xml version="1.0" encoding="utf-8"?>
<Properties xmlns="http://schemas.openxmlformats.org/officeDocument/2006/custom-properties" xmlns:vt="http://schemas.openxmlformats.org/officeDocument/2006/docPropsVTypes"/>
</file>