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338D"/>
          <w:sz w:val="48"/>
        </w:rPr>
        <w:t>WEALTH CLIENT ONBOARDING</w:t>
      </w:r>
    </w:p>
    <w:p>
      <w:r>
        <w:rPr>
          <w:b/>
          <w:color w:val="1F2937"/>
          <w:sz w:val="26"/>
        </w:rPr>
        <w:t>Know Your Client (KYC) and Account Opening</w:t>
      </w:r>
    </w:p>
    <w:p>
      <w:r>
        <w:t>Standard Operating Procedure - rebuilt test export</w:t>
      </w:r>
    </w:p>
    <w:tbl>
      <w:tblPr>
        <w:tblStyle w:val="TableGrid"/>
        <w:tblW w:type="auto" w:w="0"/>
        <w:tblLook w:firstColumn="1" w:firstRow="1" w:lastColumn="0" w:lastRow="0" w:noHBand="0" w:noVBand="1" w:val="04A0"/>
      </w:tblPr>
      <w:tblGrid>
        <w:gridCol w:w="5040"/>
        <w:gridCol w:w="5040"/>
      </w:tblGrid>
      <w:tr>
        <w:tc>
          <w:tcPr>
            <w:tcW w:type="dxa" w:w="5040"/>
            <w:shd w:fill="00338D"/>
          </w:tcPr>
          <w:p>
            <w:pPr>
              <w:jc w:val="left"/>
            </w:pPr>
            <w:r/>
            <w:r>
              <w:rPr>
                <w:rFonts w:ascii="Arial" w:hAnsi="Arial"/>
                <w:b/>
                <w:color w:val="FFFFFF"/>
                <w:sz w:val="18"/>
              </w:rPr>
              <w:t>Source file</w:t>
            </w:r>
          </w:p>
        </w:tc>
        <w:tc>
          <w:tcPr>
            <w:tcW w:type="dxa" w:w="5040"/>
            <w:shd w:fill="FFFFFF"/>
          </w:tcPr>
          <w:p>
            <w:pPr>
              <w:jc w:val="left"/>
            </w:pPr>
            <w:r/>
            <w:r>
              <w:rPr>
                <w:rFonts w:ascii="Arial" w:hAnsi="Arial"/>
                <w:b w:val="0"/>
                <w:sz w:val="18"/>
              </w:rPr>
              <w:t>asd_uplift (1).docx</w:t>
            </w:r>
          </w:p>
        </w:tc>
      </w:tr>
      <w:tr>
        <w:tc>
          <w:tcPr>
            <w:tcW w:type="dxa" w:w="5040"/>
            <w:shd w:fill="00338D"/>
          </w:tcPr>
          <w:p>
            <w:pPr>
              <w:jc w:val="left"/>
            </w:pPr>
            <w:r/>
            <w:r>
              <w:rPr>
                <w:rFonts w:ascii="Arial" w:hAnsi="Arial"/>
                <w:b/>
                <w:color w:val="FFFFFF"/>
                <w:sz w:val="18"/>
              </w:rPr>
              <w:t>Rebuilt by</w:t>
            </w:r>
          </w:p>
        </w:tc>
        <w:tc>
          <w:tcPr>
            <w:tcW w:type="dxa" w:w="5040"/>
            <w:shd w:fill="FFFFFF"/>
          </w:tcPr>
          <w:p>
            <w:pPr>
              <w:jc w:val="left"/>
            </w:pPr>
            <w:r/>
            <w:r>
              <w:rPr>
                <w:rFonts w:ascii="Arial" w:hAnsi="Arial"/>
                <w:b w:val="0"/>
                <w:sz w:val="18"/>
              </w:rPr>
              <w:t>TRACE SOP Uplift</w:t>
            </w:r>
          </w:p>
        </w:tc>
      </w:tr>
      <w:tr>
        <w:tc>
          <w:tcPr>
            <w:tcW w:type="dxa" w:w="5040"/>
            <w:shd w:fill="00338D"/>
          </w:tcPr>
          <w:p>
            <w:pPr>
              <w:jc w:val="left"/>
            </w:pPr>
            <w:r/>
            <w:r>
              <w:rPr>
                <w:rFonts w:ascii="Arial" w:hAnsi="Arial"/>
                <w:b/>
                <w:color w:val="FFFFFF"/>
                <w:sz w:val="18"/>
              </w:rPr>
              <w:t>Rebuilt at</w:t>
            </w:r>
          </w:p>
        </w:tc>
        <w:tc>
          <w:tcPr>
            <w:tcW w:type="dxa" w:w="5040"/>
            <w:shd w:fill="FFFFFF"/>
          </w:tcPr>
          <w:p>
            <w:pPr>
              <w:jc w:val="left"/>
            </w:pPr>
            <w:r/>
            <w:r>
              <w:rPr>
                <w:rFonts w:ascii="Arial" w:hAnsi="Arial"/>
                <w:b w:val="0"/>
                <w:sz w:val="18"/>
              </w:rPr>
              <w:t>2026-05-03T18:03:08Z</w:t>
            </w:r>
          </w:p>
        </w:tc>
      </w:tr>
      <w:tr>
        <w:tc>
          <w:tcPr>
            <w:tcW w:type="dxa" w:w="5040"/>
            <w:shd w:fill="00338D"/>
          </w:tcPr>
          <w:p>
            <w:pPr>
              <w:jc w:val="left"/>
            </w:pPr>
            <w:r/>
            <w:r>
              <w:rPr>
                <w:rFonts w:ascii="Arial" w:hAnsi="Arial"/>
                <w:b/>
                <w:color w:val="FFFFFF"/>
                <w:sz w:val="18"/>
              </w:rPr>
              <w:t>Applied changes found</w:t>
            </w:r>
          </w:p>
        </w:tc>
        <w:tc>
          <w:tcPr>
            <w:tcW w:type="dxa" w:w="5040"/>
            <w:shd w:fill="FFFFFF"/>
          </w:tcPr>
          <w:p>
            <w:pPr>
              <w:jc w:val="left"/>
            </w:pPr>
            <w:r/>
            <w:r>
              <w:rPr>
                <w:rFonts w:ascii="Arial" w:hAnsi="Arial"/>
                <w:b w:val="0"/>
                <w:sz w:val="18"/>
              </w:rPr>
              <w:t>5</w:t>
            </w:r>
          </w:p>
        </w:tc>
      </w:tr>
    </w:tbl>
    <w:p/>
    <w:p>
      <w:pPr>
        <w:pStyle w:val="Heading1"/>
      </w:pPr>
      <w:r>
        <w:t>Change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00338D"/>
          </w:tcPr>
          <w:p>
            <w:pPr>
              <w:jc w:val="left"/>
            </w:pPr>
            <w:r/>
            <w:r>
              <w:rPr>
                <w:rFonts w:ascii="Arial" w:hAnsi="Arial"/>
                <w:b/>
                <w:color w:val="FFFFFF"/>
                <w:sz w:val="16"/>
              </w:rPr>
              <w:t>#</w:t>
            </w:r>
          </w:p>
        </w:tc>
        <w:tc>
          <w:tcPr>
            <w:tcW w:type="dxa" w:w="2520"/>
            <w:shd w:fill="00338D"/>
          </w:tcPr>
          <w:p>
            <w:pPr>
              <w:jc w:val="left"/>
            </w:pPr>
            <w:r/>
            <w:r>
              <w:rPr>
                <w:rFonts w:ascii="Arial" w:hAnsi="Arial"/>
                <w:b/>
                <w:color w:val="FFFFFF"/>
                <w:sz w:val="16"/>
              </w:rPr>
              <w:t>Section</w:t>
            </w:r>
          </w:p>
        </w:tc>
        <w:tc>
          <w:tcPr>
            <w:tcW w:type="dxa" w:w="2520"/>
            <w:shd w:fill="00338D"/>
          </w:tcPr>
          <w:p>
            <w:pPr>
              <w:jc w:val="left"/>
            </w:pPr>
            <w:r/>
            <w:r>
              <w:rPr>
                <w:rFonts w:ascii="Arial" w:hAnsi="Arial"/>
                <w:b/>
                <w:color w:val="FFFFFF"/>
                <w:sz w:val="16"/>
              </w:rPr>
              <w:t>Original language</w:t>
            </w:r>
          </w:p>
        </w:tc>
        <w:tc>
          <w:tcPr>
            <w:tcW w:type="dxa" w:w="2520"/>
            <w:shd w:fill="00338D"/>
          </w:tcPr>
          <w:p>
            <w:pPr>
              <w:jc w:val="left"/>
            </w:pPr>
            <w:r/>
            <w:r>
              <w:rPr>
                <w:rFonts w:ascii="Arial" w:hAnsi="Arial"/>
                <w:b/>
                <w:color w:val="FFFFFF"/>
                <w:sz w:val="16"/>
              </w:rPr>
              <w:t>Applied language</w:t>
            </w:r>
          </w:p>
        </w:tc>
      </w:tr>
      <w:tr>
        <w:tc>
          <w:tcPr>
            <w:tcW w:type="dxa" w:w="2520"/>
            <w:shd w:fill="FFFFFF"/>
          </w:tcPr>
          <w:p>
            <w:pPr>
              <w:jc w:val="left"/>
            </w:pPr>
            <w:r/>
            <w:r>
              <w:rPr>
                <w:rFonts w:ascii="Arial" w:hAnsi="Arial"/>
                <w:b w:val="0"/>
                <w:sz w:val="16"/>
              </w:rPr>
              <w:t>1</w:t>
            </w:r>
          </w:p>
        </w:tc>
        <w:tc>
          <w:tcPr>
            <w:tcW w:type="dxa" w:w="2520"/>
            <w:shd w:fill="FFFFFF"/>
          </w:tcPr>
          <w:p>
            <w:pPr>
              <w:jc w:val="left"/>
            </w:pPr>
            <w:r/>
            <w:r>
              <w:rPr>
                <w:rFonts w:ascii="Arial" w:hAnsi="Arial"/>
                <w:b w:val="0"/>
                <w:sz w:val="16"/>
              </w:rPr>
              <w:t>5. Client Onboarding Process &gt; 5.2 Know Your Client (KYC) Assessment</w:t>
            </w:r>
          </w:p>
        </w:tc>
        <w:tc>
          <w:tcPr>
            <w:tcW w:type="dxa" w:w="2520"/>
            <w:shd w:fill="FFFFFF"/>
          </w:tcPr>
          <w:p>
            <w:pPr>
              <w:jc w:val="left"/>
            </w:pPr>
            <w:r/>
            <w:r>
              <w:rPr>
                <w:rFonts w:ascii="Arial" w:hAnsi="Arial"/>
                <w:b w:val="0"/>
                <w:sz w:val="14"/>
              </w:rPr>
              <w:t>The IA/RM completes the New Account Application Form (NAAF) using the approved template (TMD-NAAF-STD). The NAAF must include all fields required under CIRO Rule 3200:</w:t>
            </w:r>
          </w:p>
        </w:tc>
        <w:tc>
          <w:tcPr>
            <w:tcW w:type="dxa" w:w="2520"/>
            <w:shd w:fill="FFFFFF"/>
          </w:tcPr>
          <w:p>
            <w:pPr>
              <w:jc w:val="left"/>
            </w:pPr>
            <w:r/>
            <w:r>
              <w:rPr>
                <w:rFonts w:ascii="Arial" w:hAnsi="Arial"/>
                <w:b w:val="0"/>
                <w:sz w:val="14"/>
              </w:rPr>
              <w:t>The IA/RM must certify completeness of the NAAF before submission to Branch Operations. The certification must be signed on the NAAF and must reference the current approved template version, TMD-NAAF-STD.</w:t>
            </w:r>
          </w:p>
        </w:tc>
      </w:tr>
      <w:tr>
        <w:tc>
          <w:tcPr>
            <w:tcW w:type="dxa" w:w="2520"/>
            <w:shd w:fill="F8FAFC"/>
          </w:tcPr>
          <w:p>
            <w:pPr>
              <w:jc w:val="left"/>
            </w:pPr>
            <w:r/>
            <w:r>
              <w:rPr>
                <w:rFonts w:ascii="Arial" w:hAnsi="Arial"/>
                <w:b w:val="0"/>
                <w:sz w:val="16"/>
              </w:rPr>
              <w:t>2</w:t>
            </w:r>
          </w:p>
        </w:tc>
        <w:tc>
          <w:tcPr>
            <w:tcW w:type="dxa" w:w="2520"/>
            <w:shd w:fill="F8FAFC"/>
          </w:tcPr>
          <w:p>
            <w:pPr>
              <w:jc w:val="left"/>
            </w:pPr>
            <w:r/>
            <w:r>
              <w:rPr>
                <w:rFonts w:ascii="Arial" w:hAnsi="Arial"/>
                <w:b w:val="0"/>
                <w:sz w:val="16"/>
              </w:rPr>
              <w:t>5. Client Onboarding Process &gt; 5.2 Know Your Client (KYC) Assessment</w:t>
            </w:r>
          </w:p>
        </w:tc>
        <w:tc>
          <w:tcPr>
            <w:tcW w:type="dxa" w:w="2520"/>
            <w:shd w:fill="F8FAFC"/>
          </w:tcPr>
          <w:p>
            <w:pPr>
              <w:jc w:val="left"/>
            </w:pPr>
            <w:r/>
            <w:r>
              <w:rPr>
                <w:rFonts w:ascii="Arial" w:hAnsi="Arial"/>
                <w:b w:val="0"/>
                <w:sz w:val="14"/>
              </w:rPr>
              <w:t>Branch Operations reviews the NAAF for completeness before the account is activated. Incomplete NAAFs are returned to the IA/RM for remediation.</w:t>
            </w:r>
          </w:p>
        </w:tc>
        <w:tc>
          <w:tcPr>
            <w:tcW w:type="dxa" w:w="2520"/>
            <w:shd w:fill="F8FAFC"/>
          </w:tcPr>
          <w:p>
            <w:pPr>
              <w:jc w:val="left"/>
            </w:pPr>
            <w:r/>
            <w:r>
              <w:rPr>
                <w:rFonts w:ascii="Arial" w:hAnsi="Arial"/>
                <w:b w:val="0"/>
                <w:sz w:val="14"/>
              </w:rPr>
              <w:t>Branch Operations must review each NAAF against the required field checklist before account activation and record the NAAF completeness flag in the account management system. NAAFs that do not meet the completeness standard must be returned to the IA/RM and recorded in the returned NAAF log. Any supervisor override of the completeness check must be approved by the Branch Manager and retained as a supervisor override approval record before the account is activated.</w:t>
            </w:r>
          </w:p>
        </w:tc>
      </w:tr>
      <w:tr>
        <w:tc>
          <w:tcPr>
            <w:tcW w:type="dxa" w:w="2520"/>
            <w:shd w:fill="FFFFFF"/>
          </w:tcPr>
          <w:p>
            <w:pPr>
              <w:jc w:val="left"/>
            </w:pPr>
            <w:r/>
            <w:r>
              <w:rPr>
                <w:rFonts w:ascii="Arial" w:hAnsi="Arial"/>
                <w:b w:val="0"/>
                <w:sz w:val="16"/>
              </w:rPr>
              <w:t>3</w:t>
            </w:r>
          </w:p>
        </w:tc>
        <w:tc>
          <w:tcPr>
            <w:tcW w:type="dxa" w:w="2520"/>
            <w:shd w:fill="FFFFFF"/>
          </w:tcPr>
          <w:p>
            <w:pPr>
              <w:jc w:val="left"/>
            </w:pPr>
            <w:r/>
            <w:r>
              <w:rPr>
                <w:rFonts w:ascii="Arial" w:hAnsi="Arial"/>
                <w:b w:val="0"/>
                <w:sz w:val="16"/>
              </w:rPr>
              <w:t>5. Client Onboarding Process &gt; 5.3 AML and ATF Screening</w:t>
            </w:r>
          </w:p>
        </w:tc>
        <w:tc>
          <w:tcPr>
            <w:tcW w:type="dxa" w:w="2520"/>
            <w:shd w:fill="FFFFFF"/>
          </w:tcPr>
          <w:p>
            <w:pPr>
              <w:jc w:val="left"/>
            </w:pPr>
            <w:r/>
            <w:r>
              <w:rPr>
                <w:rFonts w:ascii="Arial" w:hAnsi="Arial"/>
                <w:b w:val="0"/>
                <w:sz w:val="14"/>
              </w:rPr>
              <w:t>Screening results are documented in the client file with the screening date, platform name, and outcome recorded.</w:t>
            </w:r>
          </w:p>
        </w:tc>
        <w:tc>
          <w:tcPr>
            <w:tcW w:type="dxa" w:w="2520"/>
            <w:shd w:fill="FFFFFF"/>
          </w:tcPr>
          <w:p>
            <w:pPr>
              <w:jc w:val="left"/>
            </w:pPr>
            <w:r/>
            <w:r>
              <w:rPr>
                <w:rFonts w:ascii="Arial" w:hAnsi="Arial"/>
                <w:b w:val="0"/>
                <w:sz w:val="14"/>
              </w:rPr>
              <w:t>Screening results are documented in the client file with the screening date, platform name, list version, and outcome recorded.</w:t>
            </w:r>
          </w:p>
        </w:tc>
      </w:tr>
      <w:tr>
        <w:tc>
          <w:tcPr>
            <w:tcW w:type="dxa" w:w="2520"/>
            <w:shd w:fill="F8FAFC"/>
          </w:tcPr>
          <w:p>
            <w:pPr>
              <w:jc w:val="left"/>
            </w:pPr>
            <w:r/>
            <w:r>
              <w:rPr>
                <w:rFonts w:ascii="Arial" w:hAnsi="Arial"/>
                <w:b w:val="0"/>
                <w:sz w:val="16"/>
              </w:rPr>
              <w:t>4</w:t>
            </w:r>
          </w:p>
        </w:tc>
        <w:tc>
          <w:tcPr>
            <w:tcW w:type="dxa" w:w="2520"/>
            <w:shd w:fill="F8FAFC"/>
          </w:tcPr>
          <w:p>
            <w:pPr>
              <w:jc w:val="left"/>
            </w:pPr>
            <w:r/>
            <w:r>
              <w:rPr>
                <w:rFonts w:ascii="Arial" w:hAnsi="Arial"/>
                <w:b w:val="0"/>
                <w:sz w:val="16"/>
              </w:rPr>
              <w:t>5. Client Onboarding Process &gt; 5.4 Suitability Assessment</w:t>
            </w:r>
          </w:p>
        </w:tc>
        <w:tc>
          <w:tcPr>
            <w:tcW w:type="dxa" w:w="2520"/>
            <w:shd w:fill="F8FAFC"/>
          </w:tcPr>
          <w:p>
            <w:pPr>
              <w:jc w:val="left"/>
            </w:pPr>
            <w:r/>
            <w:r>
              <w:rPr>
                <w:rFonts w:ascii="Arial" w:hAnsi="Arial"/>
                <w:b w:val="0"/>
                <w:sz w:val="14"/>
              </w:rPr>
              <w:t>The suitability assessment is documented in the client file. For discretionary accounts, suitability is embedded in the Investment Policy Statement (IPS).</w:t>
            </w:r>
          </w:p>
        </w:tc>
        <w:tc>
          <w:tcPr>
            <w:tcW w:type="dxa" w:w="2520"/>
            <w:shd w:fill="F8FAFC"/>
          </w:tcPr>
          <w:p>
            <w:pPr>
              <w:jc w:val="left"/>
            </w:pPr>
            <w:r/>
            <w:r>
              <w:rPr>
                <w:rFonts w:ascii="Arial" w:hAnsi="Arial"/>
                <w:b w:val="0"/>
                <w:sz w:val="14"/>
              </w:rPr>
              <w:t>The IA/RM must retain a documented suitability assessment record in the client file before trading commences. Verbal discussion alone does not satisfy the documentation requirement. For discretionary accounts, suitability is embedded in the Investment Policy Statement (IPS).</w:t>
            </w:r>
          </w:p>
        </w:tc>
      </w:tr>
      <w:tr>
        <w:tc>
          <w:tcPr>
            <w:tcW w:type="dxa" w:w="2520"/>
            <w:shd w:fill="FFFFFF"/>
          </w:tcPr>
          <w:p>
            <w:pPr>
              <w:jc w:val="left"/>
            </w:pPr>
            <w:r/>
            <w:r>
              <w:rPr>
                <w:rFonts w:ascii="Arial" w:hAnsi="Arial"/>
                <w:b w:val="0"/>
                <w:sz w:val="16"/>
              </w:rPr>
              <w:t>5</w:t>
            </w:r>
          </w:p>
        </w:tc>
        <w:tc>
          <w:tcPr>
            <w:tcW w:type="dxa" w:w="2520"/>
            <w:shd w:fill="FFFFFF"/>
          </w:tcPr>
          <w:p>
            <w:pPr>
              <w:jc w:val="left"/>
            </w:pPr>
            <w:r/>
            <w:r>
              <w:rPr>
                <w:rFonts w:ascii="Arial" w:hAnsi="Arial"/>
                <w:b w:val="0"/>
                <w:sz w:val="16"/>
              </w:rPr>
              <w:t>5. Client Onboarding Process &gt; 5.7 Ongoing KYC Refresh</w:t>
            </w:r>
          </w:p>
        </w:tc>
        <w:tc>
          <w:tcPr>
            <w:tcW w:type="dxa" w:w="2520"/>
            <w:shd w:fill="FFFFFF"/>
          </w:tcPr>
          <w:p>
            <w:pPr>
              <w:jc w:val="left"/>
            </w:pPr>
            <w:r/>
            <w:r>
              <w:rPr>
                <w:rFonts w:ascii="Arial" w:hAnsi="Arial"/>
                <w:b w:val="0"/>
                <w:sz w:val="14"/>
              </w:rPr>
              <w:t>KYC refresh is performed at least annually or as per the risk rating. Records of each refresh are retained in the client file.</w:t>
            </w:r>
          </w:p>
        </w:tc>
        <w:tc>
          <w:tcPr>
            <w:tcW w:type="dxa" w:w="2520"/>
            <w:shd w:fill="FFFFFF"/>
          </w:tcPr>
          <w:p>
            <w:pPr>
              <w:jc w:val="left"/>
            </w:pPr>
            <w:r/>
            <w:r>
              <w:rPr>
                <w:rFonts w:ascii="Arial" w:hAnsi="Arial"/>
                <w:b w:val="0"/>
                <w:sz w:val="14"/>
              </w:rPr>
              <w:t>KYC refresh must be performed on a risk-rated frequency: Low risk every 3 years, Medium risk annually, and High risk semi-annually. Refresh is also triggered by material change in client circumstances. Records of each refresh are retained in the client file.</w:t>
            </w:r>
          </w:p>
        </w:tc>
      </w:tr>
    </w:tbl>
    <w:p/>
    <w:p>
      <w:r>
        <w:br w:type="page"/>
      </w:r>
    </w:p>
    <w:p>
      <w:pPr>
        <w:pStyle w:val="Heading1"/>
      </w:pPr>
      <w:r>
        <w:t>Rebuilt SOP Content</w:t>
      </w:r>
    </w:p>
    <w:p>
      <w:pPr>
        <w:pStyle w:val="Heading1"/>
      </w:pPr>
      <w:r>
        <w:t>Document Overview</w:t>
      </w:r>
    </w:p>
    <w:p>
      <w:r>
        <w:t>WEALTH CLIENT ONBOARDING</w:t>
      </w:r>
    </w:p>
    <w:p>
      <w:r>
        <w:t>Know Your Client (KYC) and Account Opening</w:t>
      </w:r>
    </w:p>
    <w:p>
      <w:r>
        <w:t>Standard Operating Procedure</w:t>
      </w:r>
    </w:p>
    <w:p>
      <w:r>
        <w:t>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pPr>
        <w:pStyle w:val="Heading1"/>
      </w:pPr>
      <w:r>
        <w:t>1. Purpose</w:t>
      </w:r>
    </w:p>
    <w:p>
      <w:r>
        <w:t>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t>The SOP ensures that client onboarding is performed in a controlled, compliant, and risk-sensitive manner consistent with applicable Canadian federal and provincial regulatory requirements, CIRO Rules, and internal policy.</w:t>
      </w:r>
    </w:p>
    <w:p>
      <w:pPr>
        <w:pStyle w:val="Heading1"/>
      </w:pPr>
      <w:r>
        <w:t>2. Scope</w:t>
      </w:r>
    </w:p>
    <w:p>
      <w:r>
        <w:t>This SOP applies to all new client relationships established within the Wealth Management and Private Banking business lines, including:</w:t>
      </w:r>
    </w:p>
    <w:p>
      <w:r>
        <w:t>Individual clients (retail wealth, high-net-worth, and ultra-high-net-worth)</w:t>
      </w:r>
    </w:p>
    <w:p>
      <w:r>
        <w:t>Corporate clients, investment holding companies, and private corporations</w:t>
      </w:r>
    </w:p>
    <w:p>
      <w:r>
        <w:t>Trusts (family trusts, testamentary trusts, bare trusts, and nominee arrangements)</w:t>
      </w:r>
    </w:p>
    <w:p>
      <w:r>
        <w:t>Registered accounts (RRSP, TFSA, RESP, RRIF, LIRA, RDSP)</w:t>
      </w:r>
    </w:p>
    <w:p>
      <w:r>
        <w:t>Non-personal accounts including estates and foundations</w:t>
      </w:r>
    </w:p>
    <w:p>
      <w:r>
        <w:t>Exclusions:</w:t>
      </w:r>
    </w:p>
    <w:p>
      <w:r>
        <w:t>Existing clients undergoing account type additions or product changes - governed by SOP-WM-ACCT-AMEND-002</w:t>
      </w:r>
    </w:p>
    <w:p>
      <w:r>
        <w:t>Institutional clients - governed by SOP-WM-INSTIT-ONBOARD-004</w:t>
      </w:r>
    </w:p>
    <w:p>
      <w:r>
        <w:t>Deceased estate administration - refer to SOP-WM-ESTATE-001</w:t>
      </w:r>
    </w:p>
    <w:p>
      <w:pPr>
        <w:pStyle w:val="Heading1"/>
      </w:pPr>
      <w:r>
        <w:t>3. Regulatory and Policy Context</w:t>
      </w:r>
    </w:p>
    <w:p>
      <w:r>
        <w:t>This SOP is subject to the following primary regulatory requirements:</w:t>
      </w:r>
    </w:p>
    <w:p>
      <w:r>
        <w:t>PCMLTFA and PCMLTFR: Mandate client identification, record keeping, and reporting of suspicious and prescribed transactions to FINTRAC. Records must be retained for a minimum of 7 years.</w:t>
      </w:r>
    </w:p>
    <w:p>
      <w:r>
        <w:t>FINTRAC Guidelines: Specify approved client identification methods (in-person government-issued ID; dual-process identification; credit file method) and verification standards for individuals, corporations, and trusts.</w:t>
      </w:r>
    </w:p>
    <w:p>
      <w:r>
        <w:t>CIRO Rule 3200 (Know Your Client): Requires collection of client name, address, date of birth, employment, investment knowledge, risk tolerance, investment objectives, time horizon, and net worth. KYC must be updated upon material change and at regular intervals.</w:t>
      </w:r>
    </w:p>
    <w:p>
      <w:r>
        <w:t>CIRO Rule 3400 (Supervision): Requires supervisory review and approval of new account openings by a designated Branch or Regional Manager. Review must occur before or promptly after account activation.</w:t>
      </w:r>
    </w:p>
    <w:p>
      <w:r>
        <w:t>NI 31-103 (Registrant Obligations): Requires suitability assessment at account opening, upon receiving instructions, and upon material change in client circumstances. Dealers must act in the client's best interest.</w:t>
      </w:r>
    </w:p>
    <w:p>
      <w:r>
        <w:t>FINTRAC RECORD KEEPING: All client identification records, account records, and transaction records must be retained for a minimum of 7 years from the date of record creation. Failure to retain records is a PCMLTFA offence subject to regulatory penalty.</w:t>
      </w:r>
    </w:p>
    <w:p>
      <w:pPr>
        <w:pStyle w:val="Heading1"/>
      </w:pPr>
      <w:r>
        <w:t>5. Client Onboarding Process</w:t>
      </w:r>
    </w:p>
    <w:p>
      <w:pPr>
        <w:pStyle w:val="Heading2"/>
      </w:pPr>
      <w:r>
        <w:t>5.1 Client Identification and Verification (CIV)</w:t>
      </w:r>
    </w:p>
    <w:p>
      <w:r>
        <w:t>The Investment Advisor / Relationship Manager (IA/RM) collects government-issued photo identification from the client and verifies identity using an approved FINTRAC method prior to account opening.</w:t>
      </w:r>
    </w:p>
    <w:p>
      <w:r>
        <w:t>Approved identification methods (FINTRAC GL-01):</w:t>
      </w:r>
    </w:p>
    <w:p>
      <w:r>
        <w:t>In-person: Single government-issued photo ID (passport, provincial driver's licence, or provincial ID card). The ID must be valid and not expired.</w:t>
      </w:r>
    </w:p>
    <w:p>
      <w:r>
        <w:t>Non-face-to-face: Dual-process method - two independent and reliable sources confirming the client's name and one confirming address. Acceptable sources include credit files, utility bills, and financial institution records.</w:t>
      </w:r>
    </w:p>
    <w:p>
      <w:r>
        <w:t>Credit file method: Reference to a credit file that has been in existence for at least three years.</w:t>
      </w:r>
    </w:p>
    <w:p>
      <w:r>
        <w:t>For corporations: Confirm legal existence (certificate of incorporation or equivalent); confirm name, address, and directors. Verify identity of individuals who own or control 25% or more of the corporation.</w:t>
      </w:r>
    </w:p>
    <w:p>
      <w:r>
        <w:t>For trusts: Obtain trust deed or equivalent document. Identify and verify the trustee and settlor. Identify all beneficiaries where known.</w:t>
      </w:r>
    </w:p>
    <w:p>
      <w:r>
        <w:t>Verification results are recorded in the client record in the account management system. Copies of identification documents are scanned and stored in the document management system.</w:t>
      </w:r>
    </w:p>
    <w:p>
      <w:pPr>
        <w:pStyle w:val="Heading2"/>
      </w:pPr>
      <w:r>
        <w:t>5.2 Know Your Client (KYC) Assessment</w:t>
      </w:r>
    </w:p>
    <w:p>
      <w:r>
        <w:rPr>
          <w:b/>
          <w:color w:val="00338D"/>
          <w:highlight w:val="yellow"/>
        </w:rPr>
        <w:t>TRACE Uplift Change 1</w:t>
      </w:r>
    </w:p>
    <w:tbl>
      <w:tblPr>
        <w:tblStyle w:val="TableGrid"/>
        <w:tblW w:type="auto" w:w="0"/>
        <w:tblLook w:firstColumn="1" w:firstRow="1" w:lastColumn="0" w:lastRow="0" w:noHBand="0" w:noVBand="1" w:val="04A0"/>
      </w:tblPr>
      <w:tblGrid>
        <w:gridCol w:w="5040"/>
        <w:gridCol w:w="5040"/>
      </w:tblGrid>
      <w:tr>
        <w:tc>
          <w:tcPr>
            <w:tcW w:type="dxa" w:w="5040"/>
            <w:shd w:fill="808080"/>
          </w:tcPr>
          <w:p>
            <w:pPr>
              <w:jc w:val="left"/>
            </w:pPr>
            <w:r/>
            <w:r>
              <w:rPr>
                <w:rFonts w:ascii="Arial" w:hAnsi="Arial"/>
                <w:b/>
                <w:color w:val="FFFFFF"/>
                <w:sz w:val="16"/>
              </w:rPr>
              <w:t>Original</w:t>
            </w:r>
          </w:p>
        </w:tc>
        <w:tc>
          <w:tcPr>
            <w:tcW w:type="dxa" w:w="5040"/>
            <w:shd w:fill="FCE4D6"/>
          </w:tcPr>
          <w:p>
            <w:r/>
            <w:r>
              <w:rPr>
                <w:rFonts w:ascii="Arial" w:hAnsi="Arial"/>
                <w:strike/>
                <w:color w:val="64748B"/>
                <w:sz w:val="16"/>
              </w:rPr>
              <w:t>The IA/RM completes the New Account Application Form (NAAF) using the approved template (TMD-NAAF-STD). The NAAF must include all fields required under CIRO Rule 3200:</w:t>
            </w:r>
          </w:p>
        </w:tc>
      </w:tr>
      <w:tr>
        <w:tc>
          <w:tcPr>
            <w:tcW w:type="dxa" w:w="5040"/>
            <w:shd w:fill="009A44"/>
          </w:tcPr>
          <w:p>
            <w:pPr>
              <w:jc w:val="left"/>
            </w:pPr>
            <w:r/>
            <w:r>
              <w:rPr>
                <w:rFonts w:ascii="Arial" w:hAnsi="Arial"/>
                <w:b/>
                <w:color w:val="FFFFFF"/>
                <w:sz w:val="16"/>
              </w:rPr>
              <w:t>Applied</w:t>
            </w:r>
          </w:p>
        </w:tc>
        <w:tc>
          <w:tcPr>
            <w:tcW w:type="dxa" w:w="5040"/>
            <w:shd w:fill="E2F0D9"/>
          </w:tcPr>
          <w:p>
            <w:pPr>
              <w:jc w:val="left"/>
            </w:pPr>
            <w:r/>
            <w:r>
              <w:rPr>
                <w:rFonts w:ascii="Arial" w:hAnsi="Arial"/>
                <w:b w:val="0"/>
                <w:color w:val="008050"/>
                <w:sz w:val="16"/>
              </w:rPr>
              <w:t>The IA/RM must certify completeness of the NAAF before submission to Branch Operations. The certification must be signed on the NAAF and must reference the current approved template version, TMD-NAAF-STD.</w:t>
            </w:r>
          </w:p>
        </w:tc>
      </w:tr>
    </w:tbl>
    <w:p/>
    <w:p>
      <w:r>
        <w:t>Full legal name, date of birth, current residential address, citizenship and tax residency</w:t>
      </w:r>
    </w:p>
    <w:p>
      <w:r>
        <w:t>Employment status, occupation, and employer name</w:t>
      </w:r>
    </w:p>
    <w:p>
      <w:r>
        <w:t>Investment knowledge level (None / Limited / Good / Sophisticated)</w:t>
      </w:r>
    </w:p>
    <w:p>
      <w:r>
        <w:t>Risk tolerance (Low / Medium / High)</w:t>
      </w:r>
    </w:p>
    <w:p>
      <w:r>
        <w:t>Investment objectives (Capital Preservation / Income / Balanced / Growth / Aggressive Growth)</w:t>
      </w:r>
    </w:p>
    <w:p>
      <w:r>
        <w:t>Time horizon (Short / Medium / Long)</w:t>
      </w:r>
    </w:p>
    <w:p>
      <w:r>
        <w:t>Net worth (approximate liquid and total net worth)</w:t>
      </w:r>
    </w:p>
    <w:p>
      <w:r>
        <w:t>Source of funds and source of wealth (required for all accounts; mandatory for high-risk and EDD accounts)</w:t>
      </w:r>
    </w:p>
    <w:p>
      <w:r>
        <w:t>Insider or significant shareholder status</w:t>
      </w:r>
    </w:p>
    <w:p>
      <w:r>
        <w:t>Politically Exposed Person (PEP) or Head of an International Organisation (HIO) declaration</w:t>
      </w:r>
    </w:p>
    <w:p>
      <w:r>
        <w:rPr>
          <w:b/>
          <w:color w:val="00338D"/>
          <w:highlight w:val="yellow"/>
        </w:rPr>
        <w:t>TRACE Uplift Change 2</w:t>
      </w:r>
    </w:p>
    <w:tbl>
      <w:tblPr>
        <w:tblStyle w:val="TableGrid"/>
        <w:tblW w:type="auto" w:w="0"/>
        <w:tblLook w:firstColumn="1" w:firstRow="1" w:lastColumn="0" w:lastRow="0" w:noHBand="0" w:noVBand="1" w:val="04A0"/>
      </w:tblPr>
      <w:tblGrid>
        <w:gridCol w:w="5040"/>
        <w:gridCol w:w="5040"/>
      </w:tblGrid>
      <w:tr>
        <w:tc>
          <w:tcPr>
            <w:tcW w:type="dxa" w:w="5040"/>
            <w:shd w:fill="808080"/>
          </w:tcPr>
          <w:p>
            <w:pPr>
              <w:jc w:val="left"/>
            </w:pPr>
            <w:r/>
            <w:r>
              <w:rPr>
                <w:rFonts w:ascii="Arial" w:hAnsi="Arial"/>
                <w:b/>
                <w:color w:val="FFFFFF"/>
                <w:sz w:val="16"/>
              </w:rPr>
              <w:t>Original</w:t>
            </w:r>
          </w:p>
        </w:tc>
        <w:tc>
          <w:tcPr>
            <w:tcW w:type="dxa" w:w="5040"/>
            <w:shd w:fill="FCE4D6"/>
          </w:tcPr>
          <w:p>
            <w:r/>
            <w:r>
              <w:rPr>
                <w:rFonts w:ascii="Arial" w:hAnsi="Arial"/>
                <w:strike/>
                <w:color w:val="64748B"/>
                <w:sz w:val="16"/>
              </w:rPr>
              <w:t>Branch Operations reviews the NAAF for completeness before the account is activated. Incomplete NAAFs are returned to the IA/RM for remediation.</w:t>
            </w:r>
          </w:p>
        </w:tc>
      </w:tr>
      <w:tr>
        <w:tc>
          <w:tcPr>
            <w:tcW w:type="dxa" w:w="5040"/>
            <w:shd w:fill="009A44"/>
          </w:tcPr>
          <w:p>
            <w:pPr>
              <w:jc w:val="left"/>
            </w:pPr>
            <w:r/>
            <w:r>
              <w:rPr>
                <w:rFonts w:ascii="Arial" w:hAnsi="Arial"/>
                <w:b/>
                <w:color w:val="FFFFFF"/>
                <w:sz w:val="16"/>
              </w:rPr>
              <w:t>Applied</w:t>
            </w:r>
          </w:p>
        </w:tc>
        <w:tc>
          <w:tcPr>
            <w:tcW w:type="dxa" w:w="5040"/>
            <w:shd w:fill="E2F0D9"/>
          </w:tcPr>
          <w:p>
            <w:pPr>
              <w:jc w:val="left"/>
            </w:pPr>
            <w:r/>
            <w:r>
              <w:rPr>
                <w:rFonts w:ascii="Arial" w:hAnsi="Arial"/>
                <w:b w:val="0"/>
                <w:color w:val="008050"/>
                <w:sz w:val="16"/>
              </w:rPr>
              <w:t>Branch Operations must review each NAAF against the required field checklist before account activation and record the NAAF completeness flag in the account management system. NAAFs that do not meet the completeness standard must be returned to the IA/RM and recorded in the returned NAAF log. Any supervisor override of the completeness check must be approved by the Branch Manager and retained as a supervisor override approval record before the account is activated.</w:t>
            </w:r>
          </w:p>
        </w:tc>
      </w:tr>
    </w:tbl>
    <w:p/>
    <w:p>
      <w:pPr>
        <w:pStyle w:val="Heading2"/>
      </w:pPr>
      <w:r>
        <w:t>5.3 AML and ATF Screening</w:t>
      </w:r>
    </w:p>
    <w:p>
      <w:r>
        <w:t>The Compliance - AML/ATF Officer screens all new clients against applicable lists using the approved screening platform prior to account opening. Screening must include:</w:t>
      </w:r>
    </w:p>
    <w:p>
      <w:r>
        <w:t>OFAC (U.S. Sanctions), UN Security Council Consolidated List, Canadian Sanctions (SEMA, Criminal Code, PCMLTFA)</w:t>
      </w:r>
    </w:p>
    <w:p>
      <w:r>
        <w:t>PEP and HIO databases (domestic and foreign)</w:t>
      </w:r>
    </w:p>
    <w:p>
      <w:r>
        <w:t>Adverse media screening (negative news)</w:t>
      </w:r>
    </w:p>
    <w:p>
      <w:r>
        <w:rPr>
          <w:b/>
          <w:color w:val="00338D"/>
          <w:highlight w:val="yellow"/>
        </w:rPr>
        <w:t>TRACE Uplift Change 3</w:t>
      </w:r>
    </w:p>
    <w:tbl>
      <w:tblPr>
        <w:tblStyle w:val="TableGrid"/>
        <w:tblW w:type="auto" w:w="0"/>
        <w:tblLook w:firstColumn="1" w:firstRow="1" w:lastColumn="0" w:lastRow="0" w:noHBand="0" w:noVBand="1" w:val="04A0"/>
      </w:tblPr>
      <w:tblGrid>
        <w:gridCol w:w="5040"/>
        <w:gridCol w:w="5040"/>
      </w:tblGrid>
      <w:tr>
        <w:tc>
          <w:tcPr>
            <w:tcW w:type="dxa" w:w="5040"/>
            <w:shd w:fill="808080"/>
          </w:tcPr>
          <w:p>
            <w:pPr>
              <w:jc w:val="left"/>
            </w:pPr>
            <w:r/>
            <w:r>
              <w:rPr>
                <w:rFonts w:ascii="Arial" w:hAnsi="Arial"/>
                <w:b/>
                <w:color w:val="FFFFFF"/>
                <w:sz w:val="16"/>
              </w:rPr>
              <w:t>Original</w:t>
            </w:r>
          </w:p>
        </w:tc>
        <w:tc>
          <w:tcPr>
            <w:tcW w:type="dxa" w:w="5040"/>
            <w:shd w:fill="FCE4D6"/>
          </w:tcPr>
          <w:p>
            <w:r/>
            <w:r>
              <w:rPr>
                <w:rFonts w:ascii="Arial" w:hAnsi="Arial"/>
                <w:strike/>
                <w:color w:val="64748B"/>
                <w:sz w:val="16"/>
              </w:rPr>
              <w:t>Screening results are documented in the client file with the screening date, platform name, and outcome recorded.</w:t>
            </w:r>
          </w:p>
        </w:tc>
      </w:tr>
      <w:tr>
        <w:tc>
          <w:tcPr>
            <w:tcW w:type="dxa" w:w="5040"/>
            <w:shd w:fill="009A44"/>
          </w:tcPr>
          <w:p>
            <w:pPr>
              <w:jc w:val="left"/>
            </w:pPr>
            <w:r/>
            <w:r>
              <w:rPr>
                <w:rFonts w:ascii="Arial" w:hAnsi="Arial"/>
                <w:b/>
                <w:color w:val="FFFFFF"/>
                <w:sz w:val="16"/>
              </w:rPr>
              <w:t>Applied</w:t>
            </w:r>
          </w:p>
        </w:tc>
        <w:tc>
          <w:tcPr>
            <w:tcW w:type="dxa" w:w="5040"/>
            <w:shd w:fill="E2F0D9"/>
          </w:tcPr>
          <w:p>
            <w:pPr>
              <w:jc w:val="left"/>
            </w:pPr>
            <w:r/>
            <w:r>
              <w:rPr>
                <w:rFonts w:ascii="Arial" w:hAnsi="Arial"/>
                <w:b w:val="0"/>
                <w:color w:val="008050"/>
                <w:sz w:val="16"/>
              </w:rPr>
              <w:t>Screening results are documented in the client file with the screening date, platform name, list version, and outcome recorded.</w:t>
            </w:r>
          </w:p>
        </w:tc>
      </w:tr>
    </w:tbl>
    <w:p/>
    <w:p>
      <w:r>
        <w:t>Clients who generate a positive screening match are escalated to the AML/ATF Officer for review. Accounts must not be opened until the match has been reviewed and dispositioned.</w:t>
      </w:r>
    </w:p>
    <w:p>
      <w:pPr>
        <w:pStyle w:val="Heading2"/>
      </w:pPr>
      <w:r>
        <w:t>5.4 Suitability Assessment</w:t>
      </w:r>
    </w:p>
    <w:p>
      <w:r>
        <w:t>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r>
        <w:t>Financial situation and net worth</w:t>
      </w:r>
    </w:p>
    <w:p>
      <w:r>
        <w:t>Risk tolerance and investment objectives</w:t>
      </w:r>
    </w:p>
    <w:p>
      <w:r>
        <w:t>Investment knowledge and time horizon</w:t>
      </w:r>
    </w:p>
    <w:p>
      <w:r>
        <w:t>Any known legal, tax, or regulatory constraints</w:t>
      </w:r>
    </w:p>
    <w:p>
      <w:r>
        <w:rPr>
          <w:b/>
          <w:color w:val="00338D"/>
          <w:highlight w:val="yellow"/>
        </w:rPr>
        <w:t>TRACE Uplift Change 4</w:t>
      </w:r>
    </w:p>
    <w:tbl>
      <w:tblPr>
        <w:tblStyle w:val="TableGrid"/>
        <w:tblW w:type="auto" w:w="0"/>
        <w:tblLook w:firstColumn="1" w:firstRow="1" w:lastColumn="0" w:lastRow="0" w:noHBand="0" w:noVBand="1" w:val="04A0"/>
      </w:tblPr>
      <w:tblGrid>
        <w:gridCol w:w="5040"/>
        <w:gridCol w:w="5040"/>
      </w:tblGrid>
      <w:tr>
        <w:tc>
          <w:tcPr>
            <w:tcW w:type="dxa" w:w="5040"/>
            <w:shd w:fill="808080"/>
          </w:tcPr>
          <w:p>
            <w:pPr>
              <w:jc w:val="left"/>
            </w:pPr>
            <w:r/>
            <w:r>
              <w:rPr>
                <w:rFonts w:ascii="Arial" w:hAnsi="Arial"/>
                <w:b/>
                <w:color w:val="FFFFFF"/>
                <w:sz w:val="16"/>
              </w:rPr>
              <w:t>Original</w:t>
            </w:r>
          </w:p>
        </w:tc>
        <w:tc>
          <w:tcPr>
            <w:tcW w:type="dxa" w:w="5040"/>
            <w:shd w:fill="FCE4D6"/>
          </w:tcPr>
          <w:p>
            <w:r/>
            <w:r>
              <w:rPr>
                <w:rFonts w:ascii="Arial" w:hAnsi="Arial"/>
                <w:strike/>
                <w:color w:val="64748B"/>
                <w:sz w:val="16"/>
              </w:rPr>
              <w:t>The suitability assessment is documented in the client file. For discretionary accounts, suitability is embedded in the Investment Policy Statement (IPS).</w:t>
            </w:r>
          </w:p>
        </w:tc>
      </w:tr>
      <w:tr>
        <w:tc>
          <w:tcPr>
            <w:tcW w:type="dxa" w:w="5040"/>
            <w:shd w:fill="009A44"/>
          </w:tcPr>
          <w:p>
            <w:pPr>
              <w:jc w:val="left"/>
            </w:pPr>
            <w:r/>
            <w:r>
              <w:rPr>
                <w:rFonts w:ascii="Arial" w:hAnsi="Arial"/>
                <w:b/>
                <w:color w:val="FFFFFF"/>
                <w:sz w:val="16"/>
              </w:rPr>
              <w:t>Applied</w:t>
            </w:r>
          </w:p>
        </w:tc>
        <w:tc>
          <w:tcPr>
            <w:tcW w:type="dxa" w:w="5040"/>
            <w:shd w:fill="E2F0D9"/>
          </w:tcPr>
          <w:p>
            <w:pPr>
              <w:jc w:val="left"/>
            </w:pPr>
            <w:r/>
            <w:r>
              <w:rPr>
                <w:rFonts w:ascii="Arial" w:hAnsi="Arial"/>
                <w:b w:val="0"/>
                <w:color w:val="008050"/>
                <w:sz w:val="16"/>
              </w:rPr>
              <w:t>The IA/RM must retain a documented suitability assessment record in the client file before trading commences. Verbal discussion alone does not satisfy the documentation requirement. For discretionary accounts, suitability is embedded in the Investment Policy Statement (IPS).</w:t>
            </w:r>
          </w:p>
        </w:tc>
      </w:tr>
    </w:tbl>
    <w:p/>
    <w:p>
      <w:pPr>
        <w:pStyle w:val="Heading2"/>
      </w:pPr>
      <w:r>
        <w:t>5.5 Account Opening Approval</w:t>
      </w:r>
    </w:p>
    <w:p>
      <w:r>
        <w:t>The Branch / Regional Manager reviews and approves the new account in accordance with CIRO Rule 3400. Supervisory approval must be completed before or promptly after account activation.</w:t>
      </w:r>
    </w:p>
    <w:p>
      <w:r>
        <w:t>For high-risk or EDD accounts, the AML/ATF Officer must also provide written approval before the account is activated.</w:t>
      </w:r>
    </w:p>
    <w:p>
      <w:r>
        <w:t>Accounts must not be activated until all required approvals are obtained and documented.</w:t>
      </w:r>
    </w:p>
    <w:p>
      <w:pPr>
        <w:pStyle w:val="Heading2"/>
      </w:pPr>
      <w:r>
        <w:t>5.6 Investment Policy Statement (IPS) and Mandate Setup</w:t>
      </w:r>
    </w:p>
    <w:p>
      <w:r>
        <w:t>For discretionary accounts, the Senior Portfolio Manager completes and signs the Investment Policy Statement (IPS) using the standard template (TMD-IPS-STD). The IPS documents:</w:t>
      </w:r>
    </w:p>
    <w:p>
      <w:r>
        <w:t>Investment objectives and constraints</w:t>
      </w:r>
    </w:p>
    <w:p>
      <w:r>
        <w:t>Asset allocation parameters and permitted investment categories</w:t>
      </w:r>
    </w:p>
    <w:p>
      <w:r>
        <w:t>Performance benchmarks and review frequency</w:t>
      </w:r>
    </w:p>
    <w:p>
      <w:r>
        <w:t>Restrictions and client-specific guidelines</w:t>
      </w:r>
    </w:p>
    <w:p>
      <w:r>
        <w:t>The completed IPS is signed by the client and the Senior Portfolio Manager and stored in the document management system. Account management system mandate parameters are set to match the IPS before any trading commences.</w:t>
      </w:r>
    </w:p>
    <w:p>
      <w:pPr>
        <w:pStyle w:val="Heading2"/>
      </w:pPr>
      <w:r>
        <w:t>5.7 Ongoing KYC Refresh</w:t>
      </w:r>
    </w:p>
    <w:p>
      <w:r>
        <w:t>KYC information must be reviewed and updated at regular intervals and upon material change in client circumstances. Material changes include:</w:t>
      </w:r>
    </w:p>
    <w:p>
      <w:r>
        <w:t>Change in employment, income, or net worth</w:t>
      </w:r>
    </w:p>
    <w:p>
      <w:r>
        <w:t>Change in investment objectives, risk tolerance, or time horizon</w:t>
      </w:r>
    </w:p>
    <w:p>
      <w:r>
        <w:t>Change in tax residency or citizenship</w:t>
      </w:r>
    </w:p>
    <w:p>
      <w:r>
        <w:t>Client becomes a PEP, HIO, or close associate thereof</w:t>
      </w:r>
    </w:p>
    <w:p>
      <w:r>
        <w:t>Material change in account activity inconsistent with the client's known profile</w:t>
      </w:r>
    </w:p>
    <w:p>
      <w:r>
        <w:rPr>
          <w:b/>
          <w:color w:val="00338D"/>
          <w:highlight w:val="yellow"/>
        </w:rPr>
        <w:t>TRACE Uplift Change 5</w:t>
      </w:r>
    </w:p>
    <w:tbl>
      <w:tblPr>
        <w:tblStyle w:val="TableGrid"/>
        <w:tblW w:type="auto" w:w="0"/>
        <w:tblLook w:firstColumn="1" w:firstRow="1" w:lastColumn="0" w:lastRow="0" w:noHBand="0" w:noVBand="1" w:val="04A0"/>
      </w:tblPr>
      <w:tblGrid>
        <w:gridCol w:w="5040"/>
        <w:gridCol w:w="5040"/>
      </w:tblGrid>
      <w:tr>
        <w:tc>
          <w:tcPr>
            <w:tcW w:type="dxa" w:w="5040"/>
            <w:shd w:fill="808080"/>
          </w:tcPr>
          <w:p>
            <w:pPr>
              <w:jc w:val="left"/>
            </w:pPr>
            <w:r/>
            <w:r>
              <w:rPr>
                <w:rFonts w:ascii="Arial" w:hAnsi="Arial"/>
                <w:b/>
                <w:color w:val="FFFFFF"/>
                <w:sz w:val="16"/>
              </w:rPr>
              <w:t>Original</w:t>
            </w:r>
          </w:p>
        </w:tc>
        <w:tc>
          <w:tcPr>
            <w:tcW w:type="dxa" w:w="5040"/>
            <w:shd w:fill="FCE4D6"/>
          </w:tcPr>
          <w:p>
            <w:r/>
            <w:r>
              <w:rPr>
                <w:rFonts w:ascii="Arial" w:hAnsi="Arial"/>
                <w:strike/>
                <w:color w:val="64748B"/>
                <w:sz w:val="16"/>
              </w:rPr>
              <w:t>KYC refresh is performed at least annually or as per the risk rating. Records of each refresh are retained in the client file.</w:t>
            </w:r>
          </w:p>
        </w:tc>
      </w:tr>
      <w:tr>
        <w:tc>
          <w:tcPr>
            <w:tcW w:type="dxa" w:w="5040"/>
            <w:shd w:fill="009A44"/>
          </w:tcPr>
          <w:p>
            <w:pPr>
              <w:jc w:val="left"/>
            </w:pPr>
            <w:r/>
            <w:r>
              <w:rPr>
                <w:rFonts w:ascii="Arial" w:hAnsi="Arial"/>
                <w:b/>
                <w:color w:val="FFFFFF"/>
                <w:sz w:val="16"/>
              </w:rPr>
              <w:t>Applied</w:t>
            </w:r>
          </w:p>
        </w:tc>
        <w:tc>
          <w:tcPr>
            <w:tcW w:type="dxa" w:w="5040"/>
            <w:shd w:fill="E2F0D9"/>
          </w:tcPr>
          <w:p>
            <w:pPr>
              <w:jc w:val="left"/>
            </w:pPr>
            <w:r/>
            <w:r>
              <w:rPr>
                <w:rFonts w:ascii="Arial" w:hAnsi="Arial"/>
                <w:b w:val="0"/>
                <w:color w:val="008050"/>
                <w:sz w:val="16"/>
              </w:rPr>
              <w:t>KYC refresh must be performed on a risk-rated frequency: Low risk every 3 years, Medium risk annually, and High risk semi-annually. Refresh is also triggered by material change in client circumstances. Records of each refresh are retained in the client file.</w:t>
            </w:r>
          </w:p>
        </w:tc>
      </w:tr>
    </w:tbl>
    <w:p/>
    <w:p>
      <w:pPr>
        <w:pStyle w:val="Heading1"/>
      </w:pPr>
      <w:r>
        <w:t>6. Enhanced Due Diligence (EDD)</w:t>
      </w:r>
    </w:p>
    <w:p>
      <w:r>
        <w:t>Enhanced Due Diligence is required for all clients rated High risk and for all identified PEPs, HIOs, and their close associates or family members.</w:t>
      </w:r>
    </w:p>
    <w:p>
      <w:r>
        <w:t>EDD must include:</w:t>
      </w:r>
    </w:p>
    <w:p>
      <w:r>
        <w:t>Enhanced source of funds and source of wealth documentation</w:t>
      </w:r>
    </w:p>
    <w:p>
      <w:r>
        <w:t>Additional beneficial ownership verification for corporate and trust structures</w:t>
      </w:r>
    </w:p>
    <w:p>
      <w:r>
        <w:t>Detailed adverse media review with findings documented</w:t>
      </w:r>
    </w:p>
    <w:p>
      <w:r>
        <w:t>Senior Management approval before account opening</w:t>
      </w:r>
    </w:p>
    <w:p>
      <w:r>
        <w:t>Enhanced ongoing monitoring (more frequent KYC refresh and transaction review)</w:t>
      </w:r>
    </w:p>
    <w:p>
      <w:r>
        <w:t>EDD cases are reviewed and approved by the AML/ATF Officer. Accounts must not be opened without documented EDD completion and approval.</w:t>
      </w:r>
    </w:p>
    <w:p>
      <w:r>
        <w:t>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pPr>
        <w:pStyle w:val="Heading1"/>
      </w:pPr>
      <w:r>
        <w:t>7. Suspicious Transaction Reporting</w:t>
      </w:r>
    </w:p>
    <w:p>
      <w:r>
        <w:t>Where reasonable grounds exist to suspect that a transaction or attempted transaction is related to money laundering or terrorist financing, an STR must be filed with FINTRAC.</w:t>
      </w:r>
    </w:p>
    <w:p>
      <w:r>
        <w:t>STR filing is the responsibility of the AML/ATF Officer. The IA/RM must escalate suspicious activity to the AML/ATF Officer immediately upon identification.</w:t>
      </w:r>
    </w:p>
    <w:p>
      <w:r>
        <w:t>STRs are filed electronically with FINTRAC. The STR must be completed and submitted. Transaction records are retained for 7 years.</w:t>
      </w:r>
    </w:p>
    <w:p>
      <w:r>
        <w:t>FINTRAC REPORTING: STRs must be filed with FINTRAC as soon as practicable after reasonable grounds are established. Tipping off the client that an STR has been or may be filed is prohibited under the PCMLTFA.</w:t>
      </w:r>
    </w:p>
    <w:p>
      <w:pPr>
        <w:pStyle w:val="Heading1"/>
      </w:pPr>
      <w:r>
        <w:t>8. Exceptions</w:t>
      </w:r>
    </w:p>
    <w:p>
      <w:r>
        <w:t>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t>All exceptions are recorded in the Exception Log and reviewed during the quarterly Compliance Management Committee meeting.</w:t>
      </w:r>
    </w:p>
    <w:p>
      <w:pPr>
        <w:pStyle w:val="Heading1"/>
      </w:pPr>
      <w:r>
        <w:t>10. Document History</w:t>
      </w:r>
    </w:p>
    <w:p>
      <w:r>
        <w:t>This document is CONFIDENTIAL and intended for internal use by authorised Wealth Management and Compliance personnel only. Unauthorised distribution or reproduction is prohibited.</w:t>
      </w:r>
    </w:p>
    <w:tbl>
      <w:tblPr>
        <w:tblStyle w:val="TableGrid"/>
        <w:tblW w:type="auto" w:w="0"/>
        <w:tblLayout w:type="autofit"/>
        <w:tblLook w:firstColumn="1" w:firstRow="1" w:lastColumn="0" w:lastRow="0" w:noHBand="0" w:noVBand="1" w:val="04A0"/>
      </w:tblPr>
      <w:tblGrid>
        <w:gridCol w:w="5040"/>
        <w:gridCol w:w="5040"/>
      </w:tblGrid>
      <w:tr>
        <w:tc>
          <w:tcPr>
            <w:tcW w:type="dxa" w:w="5040"/>
            <w:shd w:fill="00338D"/>
          </w:tcPr>
          <w:p>
            <w:pPr>
              <w:jc w:val="left"/>
            </w:pPr>
            <w:r/>
            <w:r>
              <w:rPr>
                <w:rFonts w:ascii="Arial" w:hAnsi="Arial"/>
                <w:b/>
                <w:color w:val="FFFFFF"/>
                <w:sz w:val="16"/>
              </w:rPr>
              <w:t>Document ID:</w:t>
            </w:r>
          </w:p>
        </w:tc>
        <w:tc>
          <w:tcPr>
            <w:tcW w:type="dxa" w:w="5040"/>
            <w:shd w:fill="00338D"/>
          </w:tcPr>
          <w:p>
            <w:pPr>
              <w:jc w:val="left"/>
            </w:pPr>
            <w:r/>
            <w:r>
              <w:rPr>
                <w:rFonts w:ascii="Arial" w:hAnsi="Arial"/>
                <w:b/>
                <w:color w:val="FFFFFF"/>
                <w:sz w:val="16"/>
              </w:rPr>
              <w:t>SOP-WM-KYC-ONBOARD-003</w:t>
            </w:r>
          </w:p>
        </w:tc>
      </w:tr>
      <w:tr>
        <w:tc>
          <w:tcPr>
            <w:tcW w:type="dxa" w:w="5040"/>
            <w:shd w:fill="FFFFFF"/>
          </w:tcPr>
          <w:p>
            <w:pPr>
              <w:jc w:val="left"/>
            </w:pPr>
            <w:r/>
            <w:r>
              <w:rPr>
                <w:rFonts w:ascii="Arial" w:hAnsi="Arial"/>
                <w:b w:val="0"/>
                <w:color w:val="1F2937"/>
                <w:sz w:val="16"/>
              </w:rPr>
              <w:t>Version:</w:t>
            </w:r>
          </w:p>
        </w:tc>
        <w:tc>
          <w:tcPr>
            <w:tcW w:type="dxa" w:w="5040"/>
            <w:shd w:fill="FFFFFF"/>
          </w:tcPr>
          <w:p>
            <w:pPr>
              <w:jc w:val="left"/>
            </w:pPr>
            <w:r/>
            <w:r>
              <w:rPr>
                <w:rFonts w:ascii="Arial" w:hAnsi="Arial"/>
                <w:b w:val="0"/>
                <w:color w:val="1F2937"/>
                <w:sz w:val="16"/>
              </w:rPr>
              <w:t>3.1</w:t>
            </w:r>
          </w:p>
        </w:tc>
      </w:tr>
      <w:tr>
        <w:tc>
          <w:tcPr>
            <w:tcW w:type="dxa" w:w="5040"/>
            <w:shd w:fill="F8FAFC"/>
          </w:tcPr>
          <w:p>
            <w:pPr>
              <w:jc w:val="left"/>
            </w:pPr>
            <w:r/>
            <w:r>
              <w:rPr>
                <w:rFonts w:ascii="Arial" w:hAnsi="Arial"/>
                <w:b w:val="0"/>
                <w:color w:val="1F2937"/>
                <w:sz w:val="16"/>
              </w:rPr>
              <w:t>Effective Date:</w:t>
            </w:r>
          </w:p>
        </w:tc>
        <w:tc>
          <w:tcPr>
            <w:tcW w:type="dxa" w:w="5040"/>
            <w:shd w:fill="F8FAFC"/>
          </w:tcPr>
          <w:p>
            <w:pPr>
              <w:jc w:val="left"/>
            </w:pPr>
            <w:r/>
            <w:r>
              <w:rPr>
                <w:rFonts w:ascii="Arial" w:hAnsi="Arial"/>
                <w:b w:val="0"/>
                <w:color w:val="1F2937"/>
                <w:sz w:val="16"/>
              </w:rPr>
              <w:t>01 February 2025</w:t>
            </w:r>
          </w:p>
        </w:tc>
      </w:tr>
      <w:tr>
        <w:tc>
          <w:tcPr>
            <w:tcW w:type="dxa" w:w="5040"/>
            <w:shd w:fill="FFFFFF"/>
          </w:tcPr>
          <w:p>
            <w:pPr>
              <w:jc w:val="left"/>
            </w:pPr>
            <w:r/>
            <w:r>
              <w:rPr>
                <w:rFonts w:ascii="Arial" w:hAnsi="Arial"/>
                <w:b w:val="0"/>
                <w:color w:val="1F2937"/>
                <w:sz w:val="16"/>
              </w:rPr>
              <w:t>Process Owner:</w:t>
            </w:r>
          </w:p>
        </w:tc>
        <w:tc>
          <w:tcPr>
            <w:tcW w:type="dxa" w:w="5040"/>
            <w:shd w:fill="FFFFFF"/>
          </w:tcPr>
          <w:p>
            <w:pPr>
              <w:jc w:val="left"/>
            </w:pPr>
            <w:r/>
            <w:r>
              <w:rPr>
                <w:rFonts w:ascii="Arial" w:hAnsi="Arial"/>
                <w:b w:val="0"/>
                <w:color w:val="1F2937"/>
                <w:sz w:val="16"/>
              </w:rPr>
              <w:t>Chief Compliance Officer, Wealth Management</w:t>
            </w:r>
          </w:p>
        </w:tc>
      </w:tr>
      <w:tr>
        <w:tc>
          <w:tcPr>
            <w:tcW w:type="dxa" w:w="5040"/>
            <w:shd w:fill="F8FAFC"/>
          </w:tcPr>
          <w:p>
            <w:pPr>
              <w:jc w:val="left"/>
            </w:pPr>
            <w:r/>
            <w:r>
              <w:rPr>
                <w:rFonts w:ascii="Arial" w:hAnsi="Arial"/>
                <w:b w:val="0"/>
                <w:color w:val="1F2937"/>
                <w:sz w:val="16"/>
              </w:rPr>
              <w:t>Business Line:</w:t>
            </w:r>
          </w:p>
        </w:tc>
        <w:tc>
          <w:tcPr>
            <w:tcW w:type="dxa" w:w="5040"/>
            <w:shd w:fill="F8FAFC"/>
          </w:tcPr>
          <w:p>
            <w:pPr>
              <w:jc w:val="left"/>
            </w:pPr>
            <w:r/>
            <w:r>
              <w:rPr>
                <w:rFonts w:ascii="Arial" w:hAnsi="Arial"/>
                <w:b w:val="0"/>
                <w:color w:val="1F2937"/>
                <w:sz w:val="16"/>
              </w:rPr>
              <w:t>Wealth Management &amp; Private Banking</w:t>
            </w:r>
          </w:p>
        </w:tc>
      </w:tr>
      <w:tr>
        <w:tc>
          <w:tcPr>
            <w:tcW w:type="dxa" w:w="5040"/>
            <w:shd w:fill="FFFFFF"/>
          </w:tcPr>
          <w:p>
            <w:pPr>
              <w:jc w:val="left"/>
            </w:pPr>
            <w:r/>
            <w:r>
              <w:rPr>
                <w:rFonts w:ascii="Arial" w:hAnsi="Arial"/>
                <w:b w:val="0"/>
                <w:color w:val="1F2937"/>
                <w:sz w:val="16"/>
              </w:rPr>
              <w:t>Regulatory Framework:</w:t>
            </w:r>
          </w:p>
        </w:tc>
        <w:tc>
          <w:tcPr>
            <w:tcW w:type="dxa" w:w="5040"/>
            <w:shd w:fill="FFFFFF"/>
          </w:tcPr>
          <w:p>
            <w:pPr>
              <w:jc w:val="left"/>
            </w:pPr>
            <w:r/>
            <w:r>
              <w:rPr>
                <w:rFonts w:ascii="Arial" w:hAnsi="Arial"/>
                <w:b w:val="0"/>
                <w:color w:val="1F2937"/>
                <w:sz w:val="16"/>
              </w:rPr>
              <w:t>PCMLTFA, FINTRAC Guidelines, CIRO Rules 3200 / 3400, NI 31-103</w:t>
            </w:r>
          </w:p>
        </w:tc>
      </w:tr>
      <w:tr>
        <w:tc>
          <w:tcPr>
            <w:tcW w:type="dxa" w:w="5040"/>
            <w:shd w:fill="F8FAFC"/>
          </w:tcPr>
          <w:p>
            <w:pPr>
              <w:jc w:val="left"/>
            </w:pPr>
            <w:r/>
            <w:r>
              <w:rPr>
                <w:rFonts w:ascii="Arial" w:hAnsi="Arial"/>
                <w:b w:val="0"/>
                <w:color w:val="1F2937"/>
                <w:sz w:val="16"/>
              </w:rPr>
              <w:t>Review Cycle:</w:t>
            </w:r>
          </w:p>
        </w:tc>
        <w:tc>
          <w:tcPr>
            <w:tcW w:type="dxa" w:w="5040"/>
            <w:shd w:fill="F8FAFC"/>
          </w:tcPr>
          <w:p>
            <w:pPr>
              <w:jc w:val="left"/>
            </w:pPr>
            <w:r/>
            <w:r>
              <w:rPr>
                <w:rFonts w:ascii="Arial" w:hAnsi="Arial"/>
                <w:b w:val="0"/>
                <w:color w:val="1F2937"/>
                <w:sz w:val="16"/>
              </w:rPr>
              <w:t>Annual (or upon regulatory change)</w:t>
            </w:r>
          </w:p>
        </w:tc>
      </w:tr>
      <w:tr>
        <w:tc>
          <w:tcPr>
            <w:tcW w:type="dxa" w:w="5040"/>
            <w:shd w:fill="FFFFFF"/>
          </w:tcPr>
          <w:p>
            <w:pPr>
              <w:jc w:val="left"/>
            </w:pPr>
            <w:r/>
            <w:r>
              <w:rPr>
                <w:rFonts w:ascii="Arial" w:hAnsi="Arial"/>
                <w:b w:val="0"/>
                <w:color w:val="1F2937"/>
                <w:sz w:val="16"/>
              </w:rPr>
              <w:t>Next Review Date:</w:t>
            </w:r>
          </w:p>
        </w:tc>
        <w:tc>
          <w:tcPr>
            <w:tcW w:type="dxa" w:w="5040"/>
            <w:shd w:fill="FFFFFF"/>
          </w:tcPr>
          <w:p>
            <w:pPr>
              <w:jc w:val="left"/>
            </w:pPr>
            <w:r/>
            <w:r>
              <w:rPr>
                <w:rFonts w:ascii="Arial" w:hAnsi="Arial"/>
                <w:b w:val="0"/>
                <w:color w:val="1F2937"/>
                <w:sz w:val="16"/>
              </w:rPr>
              <w:t>01 February 2026</w:t>
            </w:r>
          </w:p>
        </w:tc>
      </w:tr>
      <w:tr>
        <w:tc>
          <w:tcPr>
            <w:tcW w:type="dxa" w:w="5040"/>
            <w:shd w:fill="F8FAFC"/>
          </w:tcPr>
          <w:p>
            <w:pPr>
              <w:jc w:val="left"/>
            </w:pPr>
            <w:r/>
            <w:r>
              <w:rPr>
                <w:rFonts w:ascii="Arial" w:hAnsi="Arial"/>
                <w:b w:val="0"/>
                <w:color w:val="1F2937"/>
                <w:sz w:val="16"/>
              </w:rPr>
              <w:t>Status:</w:t>
            </w:r>
          </w:p>
        </w:tc>
        <w:tc>
          <w:tcPr>
            <w:tcW w:type="dxa" w:w="5040"/>
            <w:shd w:fill="F8FAFC"/>
          </w:tcPr>
          <w:p>
            <w:pPr>
              <w:jc w:val="left"/>
            </w:pPr>
            <w:r/>
            <w:r>
              <w:rPr>
                <w:rFonts w:ascii="Arial" w:hAnsi="Arial"/>
                <w:b w:val="0"/>
                <w:color w:val="1F2937"/>
                <w:sz w:val="16"/>
              </w:rPr>
              <w:t>Active - Current Version</w:t>
            </w:r>
          </w:p>
        </w:tc>
      </w:tr>
    </w:tbl>
    <w:p/>
    <w:tbl>
      <w:tblPr>
        <w:tblStyle w:val="TableGrid"/>
        <w:tblW w:type="auto" w:w="0"/>
        <w:tblLayout w:type="autofit"/>
        <w:tblLook w:firstColumn="1" w:firstRow="1" w:lastColumn="0" w:lastRow="0" w:noHBand="0" w:noVBand="1" w:val="04A0"/>
      </w:tblPr>
      <w:tblGrid>
        <w:gridCol w:w="5040"/>
        <w:gridCol w:w="5040"/>
      </w:tblGrid>
      <w:tr>
        <w:tc>
          <w:tcPr>
            <w:tcW w:type="dxa" w:w="5040"/>
            <w:shd w:fill="00338D"/>
          </w:tcPr>
          <w:p>
            <w:pPr>
              <w:jc w:val="left"/>
            </w:pPr>
            <w:r/>
            <w:r>
              <w:rPr>
                <w:rFonts w:ascii="Arial" w:hAnsi="Arial"/>
                <w:b/>
                <w:color w:val="FFFFFF"/>
                <w:sz w:val="16"/>
              </w:rPr>
              <w:t>Role</w:t>
            </w:r>
          </w:p>
        </w:tc>
        <w:tc>
          <w:tcPr>
            <w:tcW w:type="dxa" w:w="5040"/>
            <w:shd w:fill="00338D"/>
          </w:tcPr>
          <w:p>
            <w:pPr>
              <w:jc w:val="left"/>
            </w:pPr>
            <w:r/>
            <w:r>
              <w:rPr>
                <w:rFonts w:ascii="Arial" w:hAnsi="Arial"/>
                <w:b/>
                <w:color w:val="FFFFFF"/>
                <w:sz w:val="16"/>
              </w:rPr>
              <w:t>Responsibility</w:t>
            </w:r>
          </w:p>
        </w:tc>
      </w:tr>
      <w:tr>
        <w:tc>
          <w:tcPr>
            <w:tcW w:type="dxa" w:w="5040"/>
            <w:shd w:fill="FFFFFF"/>
          </w:tcPr>
          <w:p>
            <w:pPr>
              <w:jc w:val="left"/>
            </w:pPr>
            <w:r/>
            <w:r>
              <w:rPr>
                <w:rFonts w:ascii="Arial" w:hAnsi="Arial"/>
                <w:b w:val="0"/>
                <w:color w:val="1F2937"/>
                <w:sz w:val="16"/>
              </w:rPr>
              <w:t>Investment Advisor / Relationship Manager (IA/RM)</w:t>
            </w:r>
          </w:p>
        </w:tc>
        <w:tc>
          <w:tcPr>
            <w:tcW w:type="dxa" w:w="5040"/>
            <w:shd w:fill="FFFFFF"/>
          </w:tcPr>
          <w:p>
            <w:pPr>
              <w:jc w:val="left"/>
            </w:pPr>
            <w:r/>
            <w:r>
              <w:rPr>
                <w:rFonts w:ascii="Arial" w:hAnsi="Arial"/>
                <w:b w:val="0"/>
                <w:color w:val="1F2937"/>
                <w:sz w:val="16"/>
              </w:rPr>
              <w:t>Initiates client relationship; collects KYC documentation; completes New Account Application Form (NAAF); responsible for ongoing client suitability</w:t>
            </w:r>
          </w:p>
        </w:tc>
      </w:tr>
      <w:tr>
        <w:tc>
          <w:tcPr>
            <w:tcW w:type="dxa" w:w="5040"/>
            <w:shd w:fill="F8FAFC"/>
          </w:tcPr>
          <w:p>
            <w:pPr>
              <w:jc w:val="left"/>
            </w:pPr>
            <w:r/>
            <w:r>
              <w:rPr>
                <w:rFonts w:ascii="Arial" w:hAnsi="Arial"/>
                <w:b w:val="0"/>
                <w:color w:val="1F2937"/>
                <w:sz w:val="16"/>
              </w:rPr>
              <w:t>Branch Operations / New Accounts</w:t>
            </w:r>
          </w:p>
        </w:tc>
        <w:tc>
          <w:tcPr>
            <w:tcW w:type="dxa" w:w="5040"/>
            <w:shd w:fill="F8FAFC"/>
          </w:tcPr>
          <w:p>
            <w:pPr>
              <w:jc w:val="left"/>
            </w:pPr>
            <w:r/>
            <w:r>
              <w:rPr>
                <w:rFonts w:ascii="Arial" w:hAnsi="Arial"/>
                <w:b w:val="0"/>
                <w:color w:val="1F2937"/>
                <w:sz w:val="16"/>
              </w:rPr>
              <w:t>Reviews NAAF for completeness; performs primary account setup in the account management system; coordinates document scanning and archival</w:t>
            </w:r>
          </w:p>
        </w:tc>
      </w:tr>
      <w:tr>
        <w:tc>
          <w:tcPr>
            <w:tcW w:type="dxa" w:w="5040"/>
            <w:shd w:fill="FFFFFF"/>
          </w:tcPr>
          <w:p>
            <w:pPr>
              <w:jc w:val="left"/>
            </w:pPr>
            <w:r/>
            <w:r>
              <w:rPr>
                <w:rFonts w:ascii="Arial" w:hAnsi="Arial"/>
                <w:b w:val="0"/>
                <w:color w:val="1F2937"/>
                <w:sz w:val="16"/>
              </w:rPr>
              <w:t>Compliance - AML/ATF Officer</w:t>
            </w:r>
          </w:p>
        </w:tc>
        <w:tc>
          <w:tcPr>
            <w:tcW w:type="dxa" w:w="5040"/>
            <w:shd w:fill="FFFFFF"/>
          </w:tcPr>
          <w:p>
            <w:pPr>
              <w:jc w:val="left"/>
            </w:pPr>
            <w:r/>
            <w:r>
              <w:rPr>
                <w:rFonts w:ascii="Arial" w:hAnsi="Arial"/>
                <w:b w:val="0"/>
                <w:color w:val="1F2937"/>
                <w:sz w:val="16"/>
              </w:rPr>
              <w:t>Conducts AML screening; reviews PEP/HIO determinations; approves high-risk and EDD cases; files Suspicious Transaction Reports (STRs) with FINTRAC</w:t>
            </w:r>
          </w:p>
        </w:tc>
      </w:tr>
      <w:tr>
        <w:tc>
          <w:tcPr>
            <w:tcW w:type="dxa" w:w="5040"/>
            <w:shd w:fill="F8FAFC"/>
          </w:tcPr>
          <w:p>
            <w:pPr>
              <w:jc w:val="left"/>
            </w:pPr>
            <w:r/>
            <w:r>
              <w:rPr>
                <w:rFonts w:ascii="Arial" w:hAnsi="Arial"/>
                <w:b w:val="0"/>
                <w:color w:val="1F2937"/>
                <w:sz w:val="16"/>
              </w:rPr>
              <w:t>Compliance - Suitability Review</w:t>
            </w:r>
          </w:p>
        </w:tc>
        <w:tc>
          <w:tcPr>
            <w:tcW w:type="dxa" w:w="5040"/>
            <w:shd w:fill="F8FAFC"/>
          </w:tcPr>
          <w:p>
            <w:pPr>
              <w:jc w:val="left"/>
            </w:pPr>
            <w:r/>
            <w:r>
              <w:rPr>
                <w:rFonts w:ascii="Arial" w:hAnsi="Arial"/>
                <w:b w:val="0"/>
                <w:color w:val="1F2937"/>
                <w:sz w:val="16"/>
              </w:rPr>
              <w:t>Reviews suitability assessments for new accounts and upon material change; reviews exception requests</w:t>
            </w:r>
          </w:p>
        </w:tc>
      </w:tr>
      <w:tr>
        <w:tc>
          <w:tcPr>
            <w:tcW w:type="dxa" w:w="5040"/>
            <w:shd w:fill="FFFFFF"/>
          </w:tcPr>
          <w:p>
            <w:pPr>
              <w:jc w:val="left"/>
            </w:pPr>
            <w:r/>
            <w:r>
              <w:rPr>
                <w:rFonts w:ascii="Arial" w:hAnsi="Arial"/>
                <w:b w:val="0"/>
                <w:color w:val="1F2937"/>
                <w:sz w:val="16"/>
              </w:rPr>
              <w:t>Senior Portfolio Manager / Discretionary PM</w:t>
            </w:r>
          </w:p>
        </w:tc>
        <w:tc>
          <w:tcPr>
            <w:tcW w:type="dxa" w:w="5040"/>
            <w:shd w:fill="FFFFFF"/>
          </w:tcPr>
          <w:p>
            <w:pPr>
              <w:jc w:val="left"/>
            </w:pPr>
            <w:r/>
            <w:r>
              <w:rPr>
                <w:rFonts w:ascii="Arial" w:hAnsi="Arial"/>
                <w:b w:val="0"/>
                <w:color w:val="1F2937"/>
                <w:sz w:val="16"/>
              </w:rPr>
              <w:t>Reviews and signs off on Investment Policy Statement (IPS) for discretionary accounts; confirms mandate alignment</w:t>
            </w:r>
          </w:p>
        </w:tc>
      </w:tr>
      <w:tr>
        <w:tc>
          <w:tcPr>
            <w:tcW w:type="dxa" w:w="5040"/>
            <w:shd w:fill="F8FAFC"/>
          </w:tcPr>
          <w:p>
            <w:pPr>
              <w:jc w:val="left"/>
            </w:pPr>
            <w:r/>
            <w:r>
              <w:rPr>
                <w:rFonts w:ascii="Arial" w:hAnsi="Arial"/>
                <w:b w:val="0"/>
                <w:color w:val="1F2937"/>
                <w:sz w:val="16"/>
              </w:rPr>
              <w:t>Risk Management</w:t>
            </w:r>
          </w:p>
        </w:tc>
        <w:tc>
          <w:tcPr>
            <w:tcW w:type="dxa" w:w="5040"/>
            <w:shd w:fill="F8FAFC"/>
          </w:tcPr>
          <w:p>
            <w:pPr>
              <w:jc w:val="left"/>
            </w:pPr>
            <w:r/>
            <w:r>
              <w:rPr>
                <w:rFonts w:ascii="Arial" w:hAnsi="Arial"/>
                <w:b w:val="0"/>
                <w:color w:val="1F2937"/>
                <w:sz w:val="16"/>
              </w:rPr>
              <w:t>Reviews and approves exceptions for high-risk client classifications; provides independent risk oversight</w:t>
            </w:r>
          </w:p>
        </w:tc>
      </w:tr>
      <w:tr>
        <w:tc>
          <w:tcPr>
            <w:tcW w:type="dxa" w:w="5040"/>
            <w:shd w:fill="FFFFFF"/>
          </w:tcPr>
          <w:p>
            <w:pPr>
              <w:jc w:val="left"/>
            </w:pPr>
            <w:r/>
            <w:r>
              <w:rPr>
                <w:rFonts w:ascii="Arial" w:hAnsi="Arial"/>
                <w:b w:val="0"/>
                <w:color w:val="1F2937"/>
                <w:sz w:val="16"/>
              </w:rPr>
              <w:t>Branch / Regional Manager</w:t>
            </w:r>
          </w:p>
        </w:tc>
        <w:tc>
          <w:tcPr>
            <w:tcW w:type="dxa" w:w="5040"/>
            <w:shd w:fill="FFFFFF"/>
          </w:tcPr>
          <w:p>
            <w:pPr>
              <w:jc w:val="left"/>
            </w:pPr>
            <w:r/>
            <w:r>
              <w:rPr>
                <w:rFonts w:ascii="Arial" w:hAnsi="Arial"/>
                <w:b w:val="0"/>
                <w:color w:val="1F2937"/>
                <w:sz w:val="16"/>
              </w:rPr>
              <w:t>Provides supervisory approval on new account openings and exception requests per CIRO Rule 3400</w:t>
            </w:r>
          </w:p>
        </w:tc>
      </w:tr>
      <w:tr>
        <w:tc>
          <w:tcPr>
            <w:tcW w:type="dxa" w:w="5040"/>
            <w:shd w:fill="F8FAFC"/>
          </w:tcPr>
          <w:p>
            <w:pPr>
              <w:jc w:val="left"/>
            </w:pPr>
            <w:r/>
            <w:r>
              <w:rPr>
                <w:rFonts w:ascii="Arial" w:hAnsi="Arial"/>
                <w:b w:val="0"/>
                <w:color w:val="1F2937"/>
                <w:sz w:val="16"/>
              </w:rPr>
              <w:t>Technology / Wealth Operations</w:t>
            </w:r>
          </w:p>
        </w:tc>
        <w:tc>
          <w:tcPr>
            <w:tcW w:type="dxa" w:w="5040"/>
            <w:shd w:fill="F8FAFC"/>
          </w:tcPr>
          <w:p>
            <w:pPr>
              <w:jc w:val="left"/>
            </w:pPr>
            <w:r/>
            <w:r>
              <w:rPr>
                <w:rFonts w:ascii="Arial" w:hAnsi="Arial"/>
                <w:b w:val="0"/>
                <w:color w:val="1F2937"/>
                <w:sz w:val="16"/>
              </w:rPr>
              <w:t>Manages system access, account provisioning, and data integrity in the account management platform</w:t>
            </w:r>
          </w:p>
        </w:tc>
      </w:tr>
      <w:tr>
        <w:tc>
          <w:tcPr>
            <w:tcW w:type="dxa" w:w="5040"/>
            <w:shd w:fill="FFFFFF"/>
          </w:tcPr>
          <w:p>
            <w:pPr>
              <w:jc w:val="left"/>
            </w:pPr>
            <w:r/>
            <w:r>
              <w:rPr>
                <w:rFonts w:ascii="Arial" w:hAnsi="Arial"/>
                <w:b w:val="0"/>
                <w:color w:val="1F2937"/>
                <w:sz w:val="16"/>
              </w:rPr>
              <w:t>Control Testing / Internal Audit</w:t>
            </w:r>
          </w:p>
        </w:tc>
        <w:tc>
          <w:tcPr>
            <w:tcW w:type="dxa" w:w="5040"/>
            <w:shd w:fill="FFFFFF"/>
          </w:tcPr>
          <w:p>
            <w:pPr>
              <w:jc w:val="left"/>
            </w:pPr>
            <w:r/>
            <w:r>
              <w:rPr>
                <w:rFonts w:ascii="Arial" w:hAnsi="Arial"/>
                <w:b w:val="0"/>
                <w:color w:val="1F2937"/>
                <w:sz w:val="16"/>
              </w:rPr>
              <w:t>Periodically samples onboarding records to test control design and operating effectiveness</w:t>
            </w:r>
          </w:p>
        </w:tc>
      </w:tr>
    </w:tbl>
    <w:p/>
    <w:tbl>
      <w:tblPr>
        <w:tblStyle w:val="TableGrid"/>
        <w:tblW w:type="auto" w:w="0"/>
        <w:tblLayout w:type="autofit"/>
        <w:tblLook w:firstColumn="1" w:firstRow="1" w:lastColumn="0" w:lastRow="0" w:noHBand="0" w:noVBand="1" w:val="04A0"/>
      </w:tblPr>
      <w:tblGrid>
        <w:gridCol w:w="5040"/>
        <w:gridCol w:w="5040"/>
      </w:tblGrid>
      <w:tr>
        <w:tc>
          <w:tcPr>
            <w:tcW w:type="dxa" w:w="5040"/>
            <w:shd w:fill="00338D"/>
          </w:tcPr>
          <w:p>
            <w:pPr>
              <w:jc w:val="left"/>
            </w:pPr>
            <w:r/>
            <w:r>
              <w:rPr>
                <w:rFonts w:ascii="Arial" w:hAnsi="Arial"/>
                <w:b/>
                <w:color w:val="FFFFFF"/>
                <w:sz w:val="16"/>
              </w:rPr>
              <w:t>Reference</w:t>
            </w:r>
          </w:p>
        </w:tc>
        <w:tc>
          <w:tcPr>
            <w:tcW w:type="dxa" w:w="5040"/>
            <w:shd w:fill="00338D"/>
          </w:tcPr>
          <w:p>
            <w:pPr>
              <w:jc w:val="left"/>
            </w:pPr>
            <w:r/>
            <w:r>
              <w:rPr>
                <w:rFonts w:ascii="Arial" w:hAnsi="Arial"/>
                <w:b/>
                <w:color w:val="FFFFFF"/>
                <w:sz w:val="16"/>
              </w:rPr>
              <w:t>Document / Regulation</w:t>
            </w:r>
          </w:p>
        </w:tc>
      </w:tr>
      <w:tr>
        <w:tc>
          <w:tcPr>
            <w:tcW w:type="dxa" w:w="5040"/>
            <w:shd w:fill="FFFFFF"/>
          </w:tcPr>
          <w:p>
            <w:pPr>
              <w:jc w:val="left"/>
            </w:pPr>
            <w:r/>
            <w:r>
              <w:rPr>
                <w:rFonts w:ascii="Arial" w:hAnsi="Arial"/>
                <w:b w:val="0"/>
                <w:color w:val="1F2937"/>
                <w:sz w:val="16"/>
              </w:rPr>
              <w:t>PCMLTFA</w:t>
            </w:r>
          </w:p>
        </w:tc>
        <w:tc>
          <w:tcPr>
            <w:tcW w:type="dxa" w:w="5040"/>
            <w:shd w:fill="FFFFFF"/>
          </w:tcPr>
          <w:p>
            <w:pPr>
              <w:jc w:val="left"/>
            </w:pPr>
            <w:r/>
            <w:r>
              <w:rPr>
                <w:rFonts w:ascii="Arial" w:hAnsi="Arial"/>
                <w:b w:val="0"/>
                <w:color w:val="1F2937"/>
                <w:sz w:val="16"/>
              </w:rPr>
              <w:t>Proceeds of Crime (Money Laundering) and Terrorist Financing Act (Canada)</w:t>
            </w:r>
          </w:p>
        </w:tc>
      </w:tr>
      <w:tr>
        <w:tc>
          <w:tcPr>
            <w:tcW w:type="dxa" w:w="5040"/>
            <w:shd w:fill="F8FAFC"/>
          </w:tcPr>
          <w:p>
            <w:pPr>
              <w:jc w:val="left"/>
            </w:pPr>
            <w:r/>
            <w:r>
              <w:rPr>
                <w:rFonts w:ascii="Arial" w:hAnsi="Arial"/>
                <w:b w:val="0"/>
                <w:color w:val="1F2937"/>
                <w:sz w:val="16"/>
              </w:rPr>
              <w:t>PCMLTFR</w:t>
            </w:r>
          </w:p>
        </w:tc>
        <w:tc>
          <w:tcPr>
            <w:tcW w:type="dxa" w:w="5040"/>
            <w:shd w:fill="F8FAFC"/>
          </w:tcPr>
          <w:p>
            <w:pPr>
              <w:jc w:val="left"/>
            </w:pPr>
            <w:r/>
            <w:r>
              <w:rPr>
                <w:rFonts w:ascii="Arial" w:hAnsi="Arial"/>
                <w:b w:val="0"/>
                <w:color w:val="1F2937"/>
                <w:sz w:val="16"/>
              </w:rPr>
              <w:t>Proceeds of Crime (Money Laundering) and Terrorist Financing Regulations</w:t>
            </w:r>
          </w:p>
        </w:tc>
      </w:tr>
      <w:tr>
        <w:tc>
          <w:tcPr>
            <w:tcW w:type="dxa" w:w="5040"/>
            <w:shd w:fill="FFFFFF"/>
          </w:tcPr>
          <w:p>
            <w:pPr>
              <w:jc w:val="left"/>
            </w:pPr>
            <w:r/>
            <w:r>
              <w:rPr>
                <w:rFonts w:ascii="Arial" w:hAnsi="Arial"/>
                <w:b w:val="0"/>
                <w:color w:val="1F2937"/>
                <w:sz w:val="16"/>
              </w:rPr>
              <w:t>FINTRAC GL-01</w:t>
            </w:r>
          </w:p>
        </w:tc>
        <w:tc>
          <w:tcPr>
            <w:tcW w:type="dxa" w:w="5040"/>
            <w:shd w:fill="FFFFFF"/>
          </w:tcPr>
          <w:p>
            <w:pPr>
              <w:jc w:val="left"/>
            </w:pPr>
            <w:r/>
            <w:r>
              <w:rPr>
                <w:rFonts w:ascii="Arial" w:hAnsi="Arial"/>
                <w:b w:val="0"/>
                <w:color w:val="1F2937"/>
                <w:sz w:val="16"/>
              </w:rPr>
              <w:t>FINTRAC Guideline: Client Identification Methods</w:t>
            </w:r>
          </w:p>
        </w:tc>
      </w:tr>
      <w:tr>
        <w:tc>
          <w:tcPr>
            <w:tcW w:type="dxa" w:w="5040"/>
            <w:shd w:fill="F8FAFC"/>
          </w:tcPr>
          <w:p>
            <w:pPr>
              <w:jc w:val="left"/>
            </w:pPr>
            <w:r/>
            <w:r>
              <w:rPr>
                <w:rFonts w:ascii="Arial" w:hAnsi="Arial"/>
                <w:b w:val="0"/>
                <w:color w:val="1F2937"/>
                <w:sz w:val="16"/>
              </w:rPr>
              <w:t>FINTRAC GL-06E</w:t>
            </w:r>
          </w:p>
        </w:tc>
        <w:tc>
          <w:tcPr>
            <w:tcW w:type="dxa" w:w="5040"/>
            <w:shd w:fill="F8FAFC"/>
          </w:tcPr>
          <w:p>
            <w:pPr>
              <w:jc w:val="left"/>
            </w:pPr>
            <w:r/>
            <w:r>
              <w:rPr>
                <w:rFonts w:ascii="Arial" w:hAnsi="Arial"/>
                <w:b w:val="0"/>
                <w:color w:val="1F2937"/>
                <w:sz w:val="16"/>
              </w:rPr>
              <w:t>FINTRAC Guideline: Record Keeping Requirements (7-year retention)</w:t>
            </w:r>
          </w:p>
        </w:tc>
      </w:tr>
      <w:tr>
        <w:tc>
          <w:tcPr>
            <w:tcW w:type="dxa" w:w="5040"/>
            <w:shd w:fill="FFFFFF"/>
          </w:tcPr>
          <w:p>
            <w:pPr>
              <w:jc w:val="left"/>
            </w:pPr>
            <w:r/>
            <w:r>
              <w:rPr>
                <w:rFonts w:ascii="Arial" w:hAnsi="Arial"/>
                <w:b w:val="0"/>
                <w:color w:val="1F2937"/>
                <w:sz w:val="16"/>
              </w:rPr>
              <w:t>CIRO Rule 3200</w:t>
            </w:r>
          </w:p>
        </w:tc>
        <w:tc>
          <w:tcPr>
            <w:tcW w:type="dxa" w:w="5040"/>
            <w:shd w:fill="FFFFFF"/>
          </w:tcPr>
          <w:p>
            <w:pPr>
              <w:jc w:val="left"/>
            </w:pPr>
            <w:r/>
            <w:r>
              <w:rPr>
                <w:rFonts w:ascii="Arial" w:hAnsi="Arial"/>
                <w:b w:val="0"/>
                <w:color w:val="1F2937"/>
                <w:sz w:val="16"/>
              </w:rPr>
              <w:t>Know Your Client - Suitability and Client Information Requirements</w:t>
            </w:r>
          </w:p>
        </w:tc>
      </w:tr>
      <w:tr>
        <w:tc>
          <w:tcPr>
            <w:tcW w:type="dxa" w:w="5040"/>
            <w:shd w:fill="F8FAFC"/>
          </w:tcPr>
          <w:p>
            <w:pPr>
              <w:jc w:val="left"/>
            </w:pPr>
            <w:r/>
            <w:r>
              <w:rPr>
                <w:rFonts w:ascii="Arial" w:hAnsi="Arial"/>
                <w:b w:val="0"/>
                <w:color w:val="1F2937"/>
                <w:sz w:val="16"/>
              </w:rPr>
              <w:t>CIRO Rule 3400</w:t>
            </w:r>
          </w:p>
        </w:tc>
        <w:tc>
          <w:tcPr>
            <w:tcW w:type="dxa" w:w="5040"/>
            <w:shd w:fill="F8FAFC"/>
          </w:tcPr>
          <w:p>
            <w:pPr>
              <w:jc w:val="left"/>
            </w:pPr>
            <w:r/>
            <w:r>
              <w:rPr>
                <w:rFonts w:ascii="Arial" w:hAnsi="Arial"/>
                <w:b w:val="0"/>
                <w:color w:val="1F2937"/>
                <w:sz w:val="16"/>
              </w:rPr>
              <w:t>Supervision and Branch Manager Responsibilities</w:t>
            </w:r>
          </w:p>
        </w:tc>
      </w:tr>
      <w:tr>
        <w:tc>
          <w:tcPr>
            <w:tcW w:type="dxa" w:w="5040"/>
            <w:shd w:fill="FFFFFF"/>
          </w:tcPr>
          <w:p>
            <w:pPr>
              <w:jc w:val="left"/>
            </w:pPr>
            <w:r/>
            <w:r>
              <w:rPr>
                <w:rFonts w:ascii="Arial" w:hAnsi="Arial"/>
                <w:b w:val="0"/>
                <w:color w:val="1F2937"/>
                <w:sz w:val="16"/>
              </w:rPr>
              <w:t>NI 31-103</w:t>
            </w:r>
          </w:p>
        </w:tc>
        <w:tc>
          <w:tcPr>
            <w:tcW w:type="dxa" w:w="5040"/>
            <w:shd w:fill="FFFFFF"/>
          </w:tcPr>
          <w:p>
            <w:pPr>
              <w:jc w:val="left"/>
            </w:pPr>
            <w:r/>
            <w:r>
              <w:rPr>
                <w:rFonts w:ascii="Arial" w:hAnsi="Arial"/>
                <w:b w:val="0"/>
                <w:color w:val="1F2937"/>
                <w:sz w:val="16"/>
              </w:rPr>
              <w:t>National Instrument 31-103 - Registration Requirements, Exemptions and Ongoing Registrant Obligations</w:t>
            </w:r>
          </w:p>
        </w:tc>
      </w:tr>
      <w:tr>
        <w:tc>
          <w:tcPr>
            <w:tcW w:type="dxa" w:w="5040"/>
            <w:shd w:fill="F8FAFC"/>
          </w:tcPr>
          <w:p>
            <w:pPr>
              <w:jc w:val="left"/>
            </w:pPr>
            <w:r/>
            <w:r>
              <w:rPr>
                <w:rFonts w:ascii="Arial" w:hAnsi="Arial"/>
                <w:b w:val="0"/>
                <w:color w:val="1F2937"/>
                <w:sz w:val="16"/>
              </w:rPr>
              <w:t>OSC Staff Notice 33-748</w:t>
            </w:r>
          </w:p>
        </w:tc>
        <w:tc>
          <w:tcPr>
            <w:tcW w:type="dxa" w:w="5040"/>
            <w:shd w:fill="F8FAFC"/>
          </w:tcPr>
          <w:p>
            <w:pPr>
              <w:jc w:val="left"/>
            </w:pPr>
            <w:r/>
            <w:r>
              <w:rPr>
                <w:rFonts w:ascii="Arial" w:hAnsi="Arial"/>
                <w:b w:val="0"/>
                <w:color w:val="1F2937"/>
                <w:sz w:val="16"/>
              </w:rPr>
              <w:t>Compliance and Registrant Regulation Branch Annual Summary Report</w:t>
            </w:r>
          </w:p>
        </w:tc>
      </w:tr>
      <w:tr>
        <w:tc>
          <w:tcPr>
            <w:tcW w:type="dxa" w:w="5040"/>
            <w:shd w:fill="FFFFFF"/>
          </w:tcPr>
          <w:p>
            <w:pPr>
              <w:jc w:val="left"/>
            </w:pPr>
            <w:r/>
            <w:r>
              <w:rPr>
                <w:rFonts w:ascii="Arial" w:hAnsi="Arial"/>
                <w:b w:val="0"/>
                <w:color w:val="1F2937"/>
                <w:sz w:val="16"/>
              </w:rPr>
              <w:t>POL-WM-AML-001</w:t>
            </w:r>
          </w:p>
        </w:tc>
        <w:tc>
          <w:tcPr>
            <w:tcW w:type="dxa" w:w="5040"/>
            <w:shd w:fill="FFFFFF"/>
          </w:tcPr>
          <w:p>
            <w:pPr>
              <w:jc w:val="left"/>
            </w:pPr>
            <w:r/>
            <w:r>
              <w:rPr>
                <w:rFonts w:ascii="Arial" w:hAnsi="Arial"/>
                <w:b w:val="0"/>
                <w:color w:val="1F2937"/>
                <w:sz w:val="16"/>
              </w:rPr>
              <w:t>Enterprise AML/ATF Policy</w:t>
            </w:r>
          </w:p>
        </w:tc>
      </w:tr>
      <w:tr>
        <w:tc>
          <w:tcPr>
            <w:tcW w:type="dxa" w:w="5040"/>
            <w:shd w:fill="F8FAFC"/>
          </w:tcPr>
          <w:p>
            <w:pPr>
              <w:jc w:val="left"/>
            </w:pPr>
            <w:r/>
            <w:r>
              <w:rPr>
                <w:rFonts w:ascii="Arial" w:hAnsi="Arial"/>
                <w:b w:val="0"/>
                <w:color w:val="1F2937"/>
                <w:sz w:val="16"/>
              </w:rPr>
              <w:t>POL-WM-COMPL-002</w:t>
            </w:r>
          </w:p>
        </w:tc>
        <w:tc>
          <w:tcPr>
            <w:tcW w:type="dxa" w:w="5040"/>
            <w:shd w:fill="F8FAFC"/>
          </w:tcPr>
          <w:p>
            <w:pPr>
              <w:jc w:val="left"/>
            </w:pPr>
            <w:r/>
            <w:r>
              <w:rPr>
                <w:rFonts w:ascii="Arial" w:hAnsi="Arial"/>
                <w:b w:val="0"/>
                <w:color w:val="1F2937"/>
                <w:sz w:val="16"/>
              </w:rPr>
              <w:t>Wealth Management Compliance Policy</w:t>
            </w:r>
          </w:p>
        </w:tc>
      </w:tr>
      <w:tr>
        <w:tc>
          <w:tcPr>
            <w:tcW w:type="dxa" w:w="5040"/>
            <w:shd w:fill="FFFFFF"/>
          </w:tcPr>
          <w:p>
            <w:pPr>
              <w:jc w:val="left"/>
            </w:pPr>
            <w:r/>
            <w:r>
              <w:rPr>
                <w:rFonts w:ascii="Arial" w:hAnsi="Arial"/>
                <w:b w:val="0"/>
                <w:color w:val="1F2937"/>
                <w:sz w:val="16"/>
              </w:rPr>
              <w:t>POL-WM-SUIT-003</w:t>
            </w:r>
          </w:p>
        </w:tc>
        <w:tc>
          <w:tcPr>
            <w:tcW w:type="dxa" w:w="5040"/>
            <w:shd w:fill="FFFFFF"/>
          </w:tcPr>
          <w:p>
            <w:pPr>
              <w:jc w:val="left"/>
            </w:pPr>
            <w:r/>
            <w:r>
              <w:rPr>
                <w:rFonts w:ascii="Arial" w:hAnsi="Arial"/>
                <w:b w:val="0"/>
                <w:color w:val="1F2937"/>
                <w:sz w:val="16"/>
              </w:rPr>
              <w:t>Suitability Assessment Policy</w:t>
            </w:r>
          </w:p>
        </w:tc>
      </w:tr>
      <w:tr>
        <w:tc>
          <w:tcPr>
            <w:tcW w:type="dxa" w:w="5040"/>
            <w:shd w:fill="F8FAFC"/>
          </w:tcPr>
          <w:p>
            <w:pPr>
              <w:jc w:val="left"/>
            </w:pPr>
            <w:r/>
            <w:r>
              <w:rPr>
                <w:rFonts w:ascii="Arial" w:hAnsi="Arial"/>
                <w:b w:val="0"/>
                <w:color w:val="1F2937"/>
                <w:sz w:val="16"/>
              </w:rPr>
              <w:t>PROC-SCREEN-WM-001</w:t>
            </w:r>
          </w:p>
        </w:tc>
        <w:tc>
          <w:tcPr>
            <w:tcW w:type="dxa" w:w="5040"/>
            <w:shd w:fill="F8FAFC"/>
          </w:tcPr>
          <w:p>
            <w:pPr>
              <w:jc w:val="left"/>
            </w:pPr>
            <w:r/>
            <w:r>
              <w:rPr>
                <w:rFonts w:ascii="Arial" w:hAnsi="Arial"/>
                <w:b w:val="0"/>
                <w:color w:val="1F2937"/>
                <w:sz w:val="16"/>
              </w:rPr>
              <w:t>AML Screening and PEP/HIO Identification Procedures</w:t>
            </w:r>
          </w:p>
        </w:tc>
      </w:tr>
      <w:tr>
        <w:tc>
          <w:tcPr>
            <w:tcW w:type="dxa" w:w="5040"/>
            <w:shd w:fill="FFFFFF"/>
          </w:tcPr>
          <w:p>
            <w:pPr>
              <w:jc w:val="left"/>
            </w:pPr>
            <w:r/>
            <w:r>
              <w:rPr>
                <w:rFonts w:ascii="Arial" w:hAnsi="Arial"/>
                <w:b w:val="0"/>
                <w:color w:val="1F2937"/>
                <w:sz w:val="16"/>
              </w:rPr>
              <w:t>TMD-NAAF-STD</w:t>
            </w:r>
          </w:p>
        </w:tc>
        <w:tc>
          <w:tcPr>
            <w:tcW w:type="dxa" w:w="5040"/>
            <w:shd w:fill="FFFFFF"/>
          </w:tcPr>
          <w:p>
            <w:pPr>
              <w:jc w:val="left"/>
            </w:pPr>
            <w:r/>
            <w:r>
              <w:rPr>
                <w:rFonts w:ascii="Arial" w:hAnsi="Arial"/>
                <w:b w:val="0"/>
                <w:color w:val="1F2937"/>
                <w:sz w:val="16"/>
              </w:rPr>
              <w:t>Standard New Account Application Form Template</w:t>
            </w:r>
          </w:p>
        </w:tc>
      </w:tr>
      <w:tr>
        <w:tc>
          <w:tcPr>
            <w:tcW w:type="dxa" w:w="5040"/>
            <w:shd w:fill="F8FAFC"/>
          </w:tcPr>
          <w:p>
            <w:pPr>
              <w:jc w:val="left"/>
            </w:pPr>
            <w:r/>
            <w:r>
              <w:rPr>
                <w:rFonts w:ascii="Arial" w:hAnsi="Arial"/>
                <w:b w:val="0"/>
                <w:color w:val="1F2937"/>
                <w:sz w:val="16"/>
              </w:rPr>
              <w:t>TMD-IPS-STD</w:t>
            </w:r>
          </w:p>
        </w:tc>
        <w:tc>
          <w:tcPr>
            <w:tcW w:type="dxa" w:w="5040"/>
            <w:shd w:fill="F8FAFC"/>
          </w:tcPr>
          <w:p>
            <w:pPr>
              <w:jc w:val="left"/>
            </w:pPr>
            <w:r/>
            <w:r>
              <w:rPr>
                <w:rFonts w:ascii="Arial" w:hAnsi="Arial"/>
                <w:b w:val="0"/>
                <w:color w:val="1F2937"/>
                <w:sz w:val="16"/>
              </w:rPr>
              <w:t>Standard Investment Policy Statement Template (Discretionary Accounts)</w:t>
            </w:r>
          </w:p>
        </w:tc>
      </w:tr>
      <w:tr>
        <w:tc>
          <w:tcPr>
            <w:tcW w:type="dxa" w:w="5040"/>
            <w:shd w:fill="FFFFFF"/>
          </w:tcPr>
          <w:p>
            <w:pPr>
              <w:jc w:val="left"/>
            </w:pPr>
            <w:r/>
            <w:r>
              <w:rPr>
                <w:rFonts w:ascii="Arial" w:hAnsi="Arial"/>
                <w:b w:val="0"/>
                <w:color w:val="1F2937"/>
                <w:sz w:val="16"/>
              </w:rPr>
              <w:t>REC-RET-WM-001</w:t>
            </w:r>
          </w:p>
        </w:tc>
        <w:tc>
          <w:tcPr>
            <w:tcW w:type="dxa" w:w="5040"/>
            <w:shd w:fill="FFFFFF"/>
          </w:tcPr>
          <w:p>
            <w:pPr>
              <w:jc w:val="left"/>
            </w:pPr>
            <w:r/>
            <w:r>
              <w:rPr>
                <w:rFonts w:ascii="Arial" w:hAnsi="Arial"/>
                <w:b w:val="0"/>
                <w:color w:val="1F2937"/>
                <w:sz w:val="16"/>
              </w:rPr>
              <w:t>Wealth Management Records Retention Schedule</w:t>
            </w:r>
          </w:p>
        </w:tc>
      </w:tr>
    </w:tbl>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00338D"/>
          </w:tcPr>
          <w:p>
            <w:pPr>
              <w:jc w:val="left"/>
            </w:pPr>
            <w:r/>
            <w:r>
              <w:rPr>
                <w:rFonts w:ascii="Arial" w:hAnsi="Arial"/>
                <w:b/>
                <w:color w:val="FFFFFF"/>
                <w:sz w:val="16"/>
              </w:rPr>
              <w:t>Version</w:t>
            </w:r>
          </w:p>
        </w:tc>
        <w:tc>
          <w:tcPr>
            <w:tcW w:type="dxa" w:w="2520"/>
            <w:shd w:fill="00338D"/>
          </w:tcPr>
          <w:p>
            <w:pPr>
              <w:jc w:val="left"/>
            </w:pPr>
            <w:r/>
            <w:r>
              <w:rPr>
                <w:rFonts w:ascii="Arial" w:hAnsi="Arial"/>
                <w:b/>
                <w:color w:val="FFFFFF"/>
                <w:sz w:val="16"/>
              </w:rPr>
              <w:t>Date</w:t>
            </w:r>
          </w:p>
        </w:tc>
        <w:tc>
          <w:tcPr>
            <w:tcW w:type="dxa" w:w="2520"/>
            <w:shd w:fill="00338D"/>
          </w:tcPr>
          <w:p>
            <w:pPr>
              <w:jc w:val="left"/>
            </w:pPr>
            <w:r/>
            <w:r>
              <w:rPr>
                <w:rFonts w:ascii="Arial" w:hAnsi="Arial"/>
                <w:b/>
                <w:color w:val="FFFFFF"/>
                <w:sz w:val="16"/>
              </w:rPr>
              <w:t>Author</w:t>
            </w:r>
          </w:p>
        </w:tc>
        <w:tc>
          <w:tcPr>
            <w:tcW w:type="dxa" w:w="2520"/>
            <w:shd w:fill="00338D"/>
          </w:tcPr>
          <w:p>
            <w:pPr>
              <w:jc w:val="left"/>
            </w:pPr>
            <w:r/>
            <w:r>
              <w:rPr>
                <w:rFonts w:ascii="Arial" w:hAnsi="Arial"/>
                <w:b/>
                <w:color w:val="FFFFFF"/>
                <w:sz w:val="16"/>
              </w:rPr>
              <w:t>Change Summary</w:t>
            </w:r>
          </w:p>
        </w:tc>
      </w:tr>
      <w:tr>
        <w:tc>
          <w:tcPr>
            <w:tcW w:type="dxa" w:w="2520"/>
            <w:shd w:fill="FFFFFF"/>
          </w:tcPr>
          <w:p>
            <w:pPr>
              <w:jc w:val="left"/>
            </w:pPr>
            <w:r/>
            <w:r>
              <w:rPr>
                <w:rFonts w:ascii="Arial" w:hAnsi="Arial"/>
                <w:b w:val="0"/>
                <w:color w:val="1F2937"/>
                <w:sz w:val="16"/>
              </w:rPr>
              <w:t>1.0</w:t>
            </w:r>
          </w:p>
        </w:tc>
        <w:tc>
          <w:tcPr>
            <w:tcW w:type="dxa" w:w="2520"/>
            <w:shd w:fill="FFFFFF"/>
          </w:tcPr>
          <w:p>
            <w:pPr>
              <w:jc w:val="left"/>
            </w:pPr>
            <w:r/>
            <w:r>
              <w:rPr>
                <w:rFonts w:ascii="Arial" w:hAnsi="Arial"/>
                <w:b w:val="0"/>
                <w:color w:val="1F2937"/>
                <w:sz w:val="16"/>
              </w:rPr>
              <w:t>Feb 2022</w:t>
            </w:r>
          </w:p>
        </w:tc>
        <w:tc>
          <w:tcPr>
            <w:tcW w:type="dxa" w:w="2520"/>
            <w:shd w:fill="FFFFFF"/>
          </w:tcPr>
          <w:p>
            <w:pPr>
              <w:jc w:val="left"/>
            </w:pPr>
            <w:r/>
            <w:r>
              <w:rPr>
                <w:rFonts w:ascii="Arial" w:hAnsi="Arial"/>
                <w:b w:val="0"/>
                <w:color w:val="1F2937"/>
                <w:sz w:val="16"/>
              </w:rPr>
              <w:t>M. Leblanc</w:t>
            </w:r>
          </w:p>
        </w:tc>
        <w:tc>
          <w:tcPr>
            <w:tcW w:type="dxa" w:w="2520"/>
            <w:shd w:fill="FFFFFF"/>
          </w:tcPr>
          <w:p>
            <w:pPr>
              <w:jc w:val="left"/>
            </w:pPr>
            <w:r/>
            <w:r>
              <w:rPr>
                <w:rFonts w:ascii="Arial" w:hAnsi="Arial"/>
                <w:b w:val="0"/>
                <w:color w:val="1F2937"/>
                <w:sz w:val="16"/>
              </w:rPr>
              <w:t>Initial release post-FINTRAC examination</w:t>
            </w:r>
          </w:p>
        </w:tc>
      </w:tr>
      <w:tr>
        <w:tc>
          <w:tcPr>
            <w:tcW w:type="dxa" w:w="2520"/>
            <w:shd w:fill="F8FAFC"/>
          </w:tcPr>
          <w:p>
            <w:pPr>
              <w:jc w:val="left"/>
            </w:pPr>
            <w:r/>
            <w:r>
              <w:rPr>
                <w:rFonts w:ascii="Arial" w:hAnsi="Arial"/>
                <w:b w:val="0"/>
                <w:color w:val="1F2937"/>
                <w:sz w:val="16"/>
              </w:rPr>
              <w:t>2.0</w:t>
            </w:r>
          </w:p>
        </w:tc>
        <w:tc>
          <w:tcPr>
            <w:tcW w:type="dxa" w:w="2520"/>
            <w:shd w:fill="F8FAFC"/>
          </w:tcPr>
          <w:p>
            <w:pPr>
              <w:jc w:val="left"/>
            </w:pPr>
            <w:r/>
            <w:r>
              <w:rPr>
                <w:rFonts w:ascii="Arial" w:hAnsi="Arial"/>
                <w:b w:val="0"/>
                <w:color w:val="1F2937"/>
                <w:sz w:val="16"/>
              </w:rPr>
              <w:t>Mar 2023</w:t>
            </w:r>
          </w:p>
        </w:tc>
        <w:tc>
          <w:tcPr>
            <w:tcW w:type="dxa" w:w="2520"/>
            <w:shd w:fill="F8FAFC"/>
          </w:tcPr>
          <w:p>
            <w:pPr>
              <w:jc w:val="left"/>
            </w:pPr>
            <w:r/>
            <w:r>
              <w:rPr>
                <w:rFonts w:ascii="Arial" w:hAnsi="Arial"/>
                <w:b w:val="0"/>
                <w:color w:val="1F2937"/>
                <w:sz w:val="16"/>
              </w:rPr>
              <w:t>S. Nguyen</w:t>
            </w:r>
          </w:p>
        </w:tc>
        <w:tc>
          <w:tcPr>
            <w:tcW w:type="dxa" w:w="2520"/>
            <w:shd w:fill="F8FAFC"/>
          </w:tcPr>
          <w:p>
            <w:pPr>
              <w:jc w:val="left"/>
            </w:pPr>
            <w:r/>
            <w:r>
              <w:rPr>
                <w:rFonts w:ascii="Arial" w:hAnsi="Arial"/>
                <w:b w:val="0"/>
                <w:color w:val="1F2937"/>
                <w:sz w:val="16"/>
              </w:rPr>
              <w:t>Updated for CIRO consolidation (IIROC/MFDA merger); added CIRO Rule 3200 references</w:t>
            </w:r>
          </w:p>
        </w:tc>
      </w:tr>
      <w:tr>
        <w:tc>
          <w:tcPr>
            <w:tcW w:type="dxa" w:w="2520"/>
            <w:shd w:fill="FFFFFF"/>
          </w:tcPr>
          <w:p>
            <w:pPr>
              <w:jc w:val="left"/>
            </w:pPr>
            <w:r/>
            <w:r>
              <w:rPr>
                <w:rFonts w:ascii="Arial" w:hAnsi="Arial"/>
                <w:b w:val="0"/>
                <w:color w:val="1F2937"/>
                <w:sz w:val="16"/>
              </w:rPr>
              <w:t>3.0</w:t>
            </w:r>
          </w:p>
        </w:tc>
        <w:tc>
          <w:tcPr>
            <w:tcW w:type="dxa" w:w="2520"/>
            <w:shd w:fill="FFFFFF"/>
          </w:tcPr>
          <w:p>
            <w:pPr>
              <w:jc w:val="left"/>
            </w:pPr>
            <w:r/>
            <w:r>
              <w:rPr>
                <w:rFonts w:ascii="Arial" w:hAnsi="Arial"/>
                <w:b w:val="0"/>
                <w:color w:val="1F2937"/>
                <w:sz w:val="16"/>
              </w:rPr>
              <w:t>Feb 2024</w:t>
            </w:r>
          </w:p>
        </w:tc>
        <w:tc>
          <w:tcPr>
            <w:tcW w:type="dxa" w:w="2520"/>
            <w:shd w:fill="FFFFFF"/>
          </w:tcPr>
          <w:p>
            <w:pPr>
              <w:jc w:val="left"/>
            </w:pPr>
            <w:r/>
            <w:r>
              <w:rPr>
                <w:rFonts w:ascii="Arial" w:hAnsi="Arial"/>
                <w:b w:val="0"/>
                <w:color w:val="1F2937"/>
                <w:sz w:val="16"/>
              </w:rPr>
              <w:t>R. Singh</w:t>
            </w:r>
          </w:p>
        </w:tc>
        <w:tc>
          <w:tcPr>
            <w:tcW w:type="dxa" w:w="2520"/>
            <w:shd w:fill="FFFFFF"/>
          </w:tcPr>
          <w:p>
            <w:pPr>
              <w:jc w:val="left"/>
            </w:pPr>
            <w:r/>
            <w:r>
              <w:rPr>
                <w:rFonts w:ascii="Arial" w:hAnsi="Arial"/>
                <w:b w:val="0"/>
                <w:color w:val="1F2937"/>
                <w:sz w:val="16"/>
              </w:rPr>
              <w:t>Incorporated FINTRAC 2023 amendments; expanded EDD requirements for trust accounts and nominee structures</w:t>
            </w:r>
          </w:p>
        </w:tc>
      </w:tr>
      <w:tr>
        <w:tc>
          <w:tcPr>
            <w:tcW w:type="dxa" w:w="2520"/>
            <w:shd w:fill="F8FAFC"/>
          </w:tcPr>
          <w:p>
            <w:pPr>
              <w:jc w:val="left"/>
            </w:pPr>
            <w:r/>
            <w:r>
              <w:rPr>
                <w:rFonts w:ascii="Arial" w:hAnsi="Arial"/>
                <w:b w:val="0"/>
                <w:color w:val="1F2937"/>
                <w:sz w:val="16"/>
              </w:rPr>
              <w:t>3.1</w:t>
            </w:r>
          </w:p>
        </w:tc>
        <w:tc>
          <w:tcPr>
            <w:tcW w:type="dxa" w:w="2520"/>
            <w:shd w:fill="F8FAFC"/>
          </w:tcPr>
          <w:p>
            <w:pPr>
              <w:jc w:val="left"/>
            </w:pPr>
            <w:r/>
            <w:r>
              <w:rPr>
                <w:rFonts w:ascii="Arial" w:hAnsi="Arial"/>
                <w:b w:val="0"/>
                <w:color w:val="1F2937"/>
                <w:sz w:val="16"/>
              </w:rPr>
              <w:t>Feb 2025</w:t>
            </w:r>
          </w:p>
        </w:tc>
        <w:tc>
          <w:tcPr>
            <w:tcW w:type="dxa" w:w="2520"/>
            <w:shd w:fill="F8FAFC"/>
          </w:tcPr>
          <w:p>
            <w:pPr>
              <w:jc w:val="left"/>
            </w:pPr>
            <w:r/>
            <w:r>
              <w:rPr>
                <w:rFonts w:ascii="Arial" w:hAnsi="Arial"/>
                <w:b w:val="0"/>
                <w:color w:val="1F2937"/>
                <w:sz w:val="16"/>
              </w:rPr>
              <w:t>Admin Analyst</w:t>
            </w:r>
          </w:p>
        </w:tc>
        <w:tc>
          <w:tcPr>
            <w:tcW w:type="dxa" w:w="2520"/>
            <w:shd w:fill="F8FAFC"/>
          </w:tcPr>
          <w:p>
            <w:pPr>
              <w:jc w:val="left"/>
            </w:pPr>
            <w:r/>
            <w:r>
              <w:rPr>
                <w:rFonts w:ascii="Arial" w:hAnsi="Arial"/>
                <w:b w:val="0"/>
                <w:color w:val="1F2937"/>
                <w:sz w:val="16"/>
              </w:rPr>
              <w:t>Minor clarifications to Sections 5.3 and 5.6; updated roles table for new Compliance structure</w:t>
            </w:r>
          </w:p>
        </w:tc>
      </w:tr>
    </w:tbl>
    <w:p/>
    <w:p>
      <w:r>
        <w:br w:type="page"/>
      </w:r>
    </w:p>
    <w:p>
      <w:pPr>
        <w:pStyle w:val="Heading1"/>
      </w:pPr>
      <w:r>
        <w:t>Supporting Context Extracts</w:t>
      </w:r>
    </w:p>
    <w:p>
      <w:pPr>
        <w:pStyle w:val="Heading1"/>
      </w:pPr>
      <w:r>
        <w:t>Cover</w:t>
      </w:r>
    </w:p>
    <w:tbl>
      <w:tblPr>
        <w:tblStyle w:val="TableGrid"/>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t>WEALTH CLIENT ONBOARDING RISK REGISTER</w:t>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Wealth Management &amp; Private Banking</w:t>
            </w:r>
          </w:p>
        </w:tc>
        <w:tc>
          <w:tcPr>
            <w:tcW w:type="dxa" w:w="1260"/>
            <w:shd w:fill="FFFFFF"/>
          </w:tcPr>
          <w:p>
            <w:pPr>
              <w:jc w:val="left"/>
            </w:pPr>
            <w:r/>
            <w:r>
              <w:rPr>
                <w:rFonts w:ascii="Arial" w:hAnsi="Arial"/>
                <w:b w:val="0"/>
                <w:color w:val="1F2937"/>
                <w:sz w:val="14"/>
              </w:rPr>
              <w:t>KYC and Account Opening Process</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Document Reference:</w:t>
            </w:r>
          </w:p>
        </w:tc>
        <w:tc>
          <w:tcPr>
            <w:tcW w:type="dxa" w:w="1260"/>
            <w:shd w:fill="F8FAFC"/>
          </w:tcPr>
          <w:p>
            <w:pPr>
              <w:jc w:val="left"/>
            </w:pPr>
            <w:r/>
            <w:r>
              <w:rPr>
                <w:rFonts w:ascii="Arial" w:hAnsi="Arial"/>
                <w:b w:val="0"/>
                <w:color w:val="1F2937"/>
                <w:sz w:val="14"/>
              </w:rPr>
              <w:t>REGRISK-WM-KYC-2025-001</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Process:</w:t>
            </w:r>
          </w:p>
        </w:tc>
        <w:tc>
          <w:tcPr>
            <w:tcW w:type="dxa" w:w="1260"/>
            <w:shd w:fill="FFFFFF"/>
          </w:tcPr>
          <w:p>
            <w:pPr>
              <w:jc w:val="left"/>
            </w:pPr>
            <w:r/>
            <w:r>
              <w:rPr>
                <w:rFonts w:ascii="Arial" w:hAnsi="Arial"/>
                <w:b w:val="0"/>
                <w:color w:val="1F2937"/>
                <w:sz w:val="14"/>
              </w:rPr>
              <w:t>Wealth Client Onboarding and KYC</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Business Line:</w:t>
            </w:r>
          </w:p>
        </w:tc>
        <w:tc>
          <w:tcPr>
            <w:tcW w:type="dxa" w:w="1260"/>
            <w:shd w:fill="F8FAFC"/>
          </w:tcPr>
          <w:p>
            <w:pPr>
              <w:jc w:val="left"/>
            </w:pPr>
            <w:r/>
            <w:r>
              <w:rPr>
                <w:rFonts w:ascii="Arial" w:hAnsi="Arial"/>
                <w:b w:val="0"/>
                <w:color w:val="1F2937"/>
                <w:sz w:val="14"/>
              </w:rPr>
              <w:t>Wealth Management &amp; Private Banking</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Period:</w:t>
            </w:r>
          </w:p>
        </w:tc>
        <w:tc>
          <w:tcPr>
            <w:tcW w:type="dxa" w:w="1260"/>
            <w:shd w:fill="FFFFFF"/>
          </w:tcPr>
          <w:p>
            <w:pPr>
              <w:jc w:val="left"/>
            </w:pPr>
            <w:r/>
            <w:r>
              <w:rPr>
                <w:rFonts w:ascii="Arial" w:hAnsi="Arial"/>
                <w:b w:val="0"/>
                <w:color w:val="1F2937"/>
                <w:sz w:val="14"/>
              </w:rPr>
              <w:t>FY 2025</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Regulatory Framework:</w:t>
            </w:r>
          </w:p>
        </w:tc>
        <w:tc>
          <w:tcPr>
            <w:tcW w:type="dxa" w:w="1260"/>
            <w:shd w:fill="F8FAFC"/>
          </w:tcPr>
          <w:p>
            <w:pPr>
              <w:jc w:val="left"/>
            </w:pPr>
            <w:r/>
            <w:r>
              <w:rPr>
                <w:rFonts w:ascii="Arial" w:hAnsi="Arial"/>
                <w:b w:val="0"/>
                <w:color w:val="1F2937"/>
                <w:sz w:val="14"/>
              </w:rPr>
              <w:t>PCMLTFA / FINTRAC / CIRO Rule 3200 / NI 31-103</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Owner:</w:t>
            </w:r>
          </w:p>
        </w:tc>
        <w:tc>
          <w:tcPr>
            <w:tcW w:type="dxa" w:w="1260"/>
            <w:shd w:fill="FFFFFF"/>
          </w:tcPr>
          <w:p>
            <w:pPr>
              <w:jc w:val="left"/>
            </w:pPr>
            <w:r/>
            <w:r>
              <w:rPr>
                <w:rFonts w:ascii="Arial" w:hAnsi="Arial"/>
                <w:b w:val="0"/>
                <w:color w:val="1F2937"/>
                <w:sz w:val="14"/>
              </w:rPr>
              <w:t>Compliance - AML/ATF &amp; Suitability Review</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Status:</w:t>
            </w:r>
          </w:p>
        </w:tc>
        <w:tc>
          <w:tcPr>
            <w:tcW w:type="dxa" w:w="1260"/>
            <w:shd w:fill="F8FAFC"/>
          </w:tcPr>
          <w:p>
            <w:pPr>
              <w:jc w:val="left"/>
            </w:pPr>
            <w:r/>
            <w:r>
              <w:rPr>
                <w:rFonts w:ascii="Arial" w:hAnsi="Arial"/>
                <w:b w:val="0"/>
                <w:color w:val="1F2937"/>
                <w:sz w:val="14"/>
              </w:rPr>
              <w:t>Active</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bl>
    <w:p/>
    <w:p>
      <w:pPr>
        <w:pStyle w:val="Heading2"/>
      </w:pPr>
      <w:r>
        <w:t>Risk Register</w:t>
      </w:r>
    </w:p>
    <w:tbl>
      <w:tblPr>
        <w:tblStyle w:val="TableGrid"/>
        <w:tblW w:type="auto" w:w="0"/>
        <w:tblLayout w:type="autofit"/>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775"/>
            <w:shd w:fill="00338D"/>
          </w:tcPr>
          <w:p>
            <w:pPr>
              <w:jc w:val="left"/>
            </w:pPr>
            <w:r/>
            <w:r>
              <w:rPr>
                <w:rFonts w:ascii="Arial" w:hAnsi="Arial"/>
                <w:b/>
                <w:color w:val="FFFFFF"/>
                <w:sz w:val="14"/>
              </w:rPr>
              <w:t>Wealth Client Onboarding Risk Register (REGRISK-WM-KYC-2025-001) - Wealth Management &amp; Private Banking</w:t>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c>
          <w:tcPr>
            <w:tcW w:type="dxa" w:w="775"/>
            <w:shd w:fill="00338D"/>
          </w:tcPr>
          <w:p>
            <w:pPr>
              <w:jc w:val="left"/>
            </w:pPr>
            <w:r/>
            <w:r>
              <w:rPr>
                <w:rFonts w:ascii="Arial" w:hAnsi="Arial"/>
                <w:b/>
                <w:color w:val="FFFFFF"/>
                <w:sz w:val="14"/>
              </w:rPr>
            </w:r>
          </w:p>
        </w:tc>
      </w:tr>
      <w:tr>
        <w:tc>
          <w:tcPr>
            <w:tcW w:type="dxa" w:w="775"/>
            <w:shd w:fill="FFFFFF"/>
          </w:tcPr>
          <w:p>
            <w:pPr>
              <w:jc w:val="left"/>
            </w:pPr>
            <w:r/>
            <w:r>
              <w:rPr>
                <w:rFonts w:ascii="Arial" w:hAnsi="Arial"/>
                <w:b w:val="0"/>
                <w:color w:val="1F2937"/>
                <w:sz w:val="14"/>
              </w:rPr>
              <w:t>Risk Event ID</w:t>
            </w:r>
          </w:p>
        </w:tc>
        <w:tc>
          <w:tcPr>
            <w:tcW w:type="dxa" w:w="775"/>
            <w:shd w:fill="FFFFFF"/>
          </w:tcPr>
          <w:p>
            <w:pPr>
              <w:jc w:val="left"/>
            </w:pPr>
            <w:r/>
            <w:r>
              <w:rPr>
                <w:rFonts w:ascii="Arial" w:hAnsi="Arial"/>
                <w:b w:val="0"/>
                <w:color w:val="1F2937"/>
                <w:sz w:val="14"/>
              </w:rPr>
              <w:t>Risk Title</w:t>
            </w:r>
          </w:p>
        </w:tc>
        <w:tc>
          <w:tcPr>
            <w:tcW w:type="dxa" w:w="775"/>
            <w:shd w:fill="FFFFFF"/>
          </w:tcPr>
          <w:p>
            <w:pPr>
              <w:jc w:val="left"/>
            </w:pPr>
            <w:r/>
            <w:r>
              <w:rPr>
                <w:rFonts w:ascii="Arial" w:hAnsi="Arial"/>
                <w:b w:val="0"/>
                <w:color w:val="1F2937"/>
                <w:sz w:val="14"/>
              </w:rPr>
              <w:t>Process Area</w:t>
            </w:r>
          </w:p>
        </w:tc>
        <w:tc>
          <w:tcPr>
            <w:tcW w:type="dxa" w:w="775"/>
            <w:shd w:fill="FFFFFF"/>
          </w:tcPr>
          <w:p>
            <w:pPr>
              <w:jc w:val="left"/>
            </w:pPr>
            <w:r/>
            <w:r>
              <w:rPr>
                <w:rFonts w:ascii="Arial" w:hAnsi="Arial"/>
                <w:b w:val="0"/>
                <w:color w:val="1F2937"/>
                <w:sz w:val="14"/>
              </w:rPr>
              <w:t>Description</w:t>
            </w:r>
          </w:p>
        </w:tc>
        <w:tc>
          <w:tcPr>
            <w:tcW w:type="dxa" w:w="775"/>
            <w:shd w:fill="FFFFFF"/>
          </w:tcPr>
          <w:p>
            <w:pPr>
              <w:jc w:val="left"/>
            </w:pPr>
            <w:r/>
            <w:r>
              <w:rPr>
                <w:rFonts w:ascii="Arial" w:hAnsi="Arial"/>
                <w:b w:val="0"/>
                <w:color w:val="1F2937"/>
                <w:sz w:val="14"/>
              </w:rPr>
              <w:t>Cause</w:t>
            </w:r>
          </w:p>
        </w:tc>
        <w:tc>
          <w:tcPr>
            <w:tcW w:type="dxa" w:w="775"/>
            <w:shd w:fill="FFFFFF"/>
          </w:tcPr>
          <w:p>
            <w:pPr>
              <w:jc w:val="left"/>
            </w:pPr>
            <w:r/>
            <w:r>
              <w:rPr>
                <w:rFonts w:ascii="Arial" w:hAnsi="Arial"/>
                <w:b w:val="0"/>
                <w:color w:val="1F2937"/>
                <w:sz w:val="14"/>
              </w:rPr>
              <w:t>Impact</w:t>
            </w:r>
          </w:p>
        </w:tc>
        <w:tc>
          <w:tcPr>
            <w:tcW w:type="dxa" w:w="775"/>
            <w:shd w:fill="FFFFFF"/>
          </w:tcPr>
          <w:p>
            <w:pPr>
              <w:jc w:val="left"/>
            </w:pPr>
            <w:r/>
            <w:r>
              <w:rPr>
                <w:rFonts w:ascii="Arial" w:hAnsi="Arial"/>
                <w:b w:val="0"/>
                <w:color w:val="1F2937"/>
                <w:sz w:val="14"/>
              </w:rPr>
              <w:t>Severity</w:t>
            </w:r>
          </w:p>
        </w:tc>
        <w:tc>
          <w:tcPr>
            <w:tcW w:type="dxa" w:w="775"/>
            <w:shd w:fill="FFFFFF"/>
          </w:tcPr>
          <w:p>
            <w:pPr>
              <w:jc w:val="left"/>
            </w:pPr>
            <w:r/>
            <w:r>
              <w:rPr>
                <w:rFonts w:ascii="Arial" w:hAnsi="Arial"/>
                <w:b w:val="0"/>
                <w:color w:val="1F2937"/>
                <w:sz w:val="14"/>
              </w:rPr>
              <w:t>Likelihood</w:t>
            </w:r>
          </w:p>
        </w:tc>
        <w:tc>
          <w:tcPr>
            <w:tcW w:type="dxa" w:w="775"/>
            <w:shd w:fill="FFFFFF"/>
          </w:tcPr>
          <w:p>
            <w:pPr>
              <w:jc w:val="left"/>
            </w:pPr>
            <w:r/>
            <w:r>
              <w:rPr>
                <w:rFonts w:ascii="Arial" w:hAnsi="Arial"/>
                <w:b w:val="0"/>
                <w:color w:val="1F2937"/>
                <w:sz w:val="14"/>
              </w:rPr>
              <w:t>Existing Mitigations</w:t>
            </w:r>
          </w:p>
        </w:tc>
        <w:tc>
          <w:tcPr>
            <w:tcW w:type="dxa" w:w="775"/>
            <w:shd w:fill="FFFFFF"/>
          </w:tcPr>
          <w:p>
            <w:pPr>
              <w:jc w:val="left"/>
            </w:pPr>
            <w:r/>
            <w:r>
              <w:rPr>
                <w:rFonts w:ascii="Arial" w:hAnsi="Arial"/>
                <w:b w:val="0"/>
                <w:color w:val="1F2937"/>
                <w:sz w:val="14"/>
              </w:rPr>
              <w:t>Linked Controls</w:t>
            </w:r>
          </w:p>
        </w:tc>
        <w:tc>
          <w:tcPr>
            <w:tcW w:type="dxa" w:w="775"/>
            <w:shd w:fill="FFFFFF"/>
          </w:tcPr>
          <w:p>
            <w:pPr>
              <w:jc w:val="left"/>
            </w:pPr>
            <w:r/>
            <w:r>
              <w:rPr>
                <w:rFonts w:ascii="Arial" w:hAnsi="Arial"/>
                <w:b w:val="0"/>
                <w:color w:val="1F2937"/>
                <w:sz w:val="14"/>
              </w:rPr>
              <w:t>Regulatory Consequence</w:t>
            </w:r>
          </w:p>
        </w:tc>
        <w:tc>
          <w:tcPr>
            <w:tcW w:type="dxa" w:w="775"/>
            <w:shd w:fill="FFFFFF"/>
          </w:tcPr>
          <w:p>
            <w:pPr>
              <w:jc w:val="left"/>
            </w:pPr>
            <w:r/>
            <w:r>
              <w:rPr>
                <w:rFonts w:ascii="Arial" w:hAnsi="Arial"/>
                <w:b w:val="0"/>
                <w:color w:val="1F2937"/>
                <w:sz w:val="14"/>
              </w:rPr>
              <w:t>Open Issues / Notes</w:t>
            </w:r>
          </w:p>
        </w:tc>
        <w:tc>
          <w:tcPr>
            <w:tcW w:type="dxa" w:w="775"/>
            <w:shd w:fill="FFFFFF"/>
          </w:tcPr>
          <w:p>
            <w:pPr>
              <w:jc w:val="left"/>
            </w:pPr>
            <w:r/>
            <w:r>
              <w:rPr>
                <w:rFonts w:ascii="Arial" w:hAnsi="Arial"/>
                <w:b w:val="0"/>
                <w:color w:val="1F2937"/>
                <w:sz w:val="14"/>
              </w:rPr>
              <w:t>Date Logged</w:t>
            </w:r>
          </w:p>
        </w:tc>
      </w:tr>
      <w:tr>
        <w:tc>
          <w:tcPr>
            <w:tcW w:type="dxa" w:w="775"/>
            <w:shd w:fill="F8FAFC"/>
          </w:tcPr>
          <w:p>
            <w:pPr>
              <w:jc w:val="left"/>
            </w:pPr>
            <w:r/>
            <w:r>
              <w:rPr>
                <w:rFonts w:ascii="Arial" w:hAnsi="Arial"/>
                <w:b w:val="0"/>
                <w:color w:val="1F2937"/>
                <w:sz w:val="14"/>
              </w:rPr>
              <w:t>RE-001</w:t>
            </w:r>
          </w:p>
        </w:tc>
        <w:tc>
          <w:tcPr>
            <w:tcW w:type="dxa" w:w="775"/>
            <w:shd w:fill="F8FAFC"/>
          </w:tcPr>
          <w:p>
            <w:pPr>
              <w:jc w:val="left"/>
            </w:pPr>
            <w:r/>
            <w:r>
              <w:rPr>
                <w:rFonts w:ascii="Arial" w:hAnsi="Arial"/>
                <w:b w:val="0"/>
                <w:color w:val="1F2937"/>
                <w:sz w:val="14"/>
              </w:rPr>
              <w:t>Incomplete KYC - Missing Client Information</w:t>
            </w:r>
          </w:p>
        </w:tc>
        <w:tc>
          <w:tcPr>
            <w:tcW w:type="dxa" w:w="775"/>
            <w:shd w:fill="F8FAFC"/>
          </w:tcPr>
          <w:p>
            <w:pPr>
              <w:jc w:val="left"/>
            </w:pPr>
            <w:r/>
            <w:r>
              <w:rPr>
                <w:rFonts w:ascii="Arial" w:hAnsi="Arial"/>
                <w:b w:val="0"/>
                <w:color w:val="1F2937"/>
                <w:sz w:val="14"/>
              </w:rPr>
              <w:t>Client Onboarding - KYC Collection</w:t>
            </w:r>
          </w:p>
        </w:tc>
        <w:tc>
          <w:tcPr>
            <w:tcW w:type="dxa" w:w="775"/>
            <w:shd w:fill="F8FAFC"/>
          </w:tcPr>
          <w:p>
            <w:pPr>
              <w:jc w:val="left"/>
            </w:pPr>
            <w:r/>
            <w:r>
              <w:rPr>
                <w:rFonts w:ascii="Arial" w:hAnsi="Arial"/>
                <w:b w:val="0"/>
                <w:color w:val="1F2937"/>
                <w:sz w:val="14"/>
              </w:rPr>
              <w:t>New account activated with incomplete KYC information on the NAAF, including missing source of funds, tax residency, or PEP/HIO declaration.</w:t>
            </w:r>
          </w:p>
        </w:tc>
        <w:tc>
          <w:tcPr>
            <w:tcW w:type="dxa" w:w="775"/>
            <w:shd w:fill="F8FAFC"/>
          </w:tcPr>
          <w:p>
            <w:pPr>
              <w:jc w:val="left"/>
            </w:pPr>
            <w:r/>
            <w:r>
              <w:rPr>
                <w:rFonts w:ascii="Arial" w:hAnsi="Arial"/>
                <w:b w:val="0"/>
                <w:color w:val="1F2937"/>
                <w:sz w:val="14"/>
              </w:rPr>
              <w:t>IA/RM does not complete all required NAAF fields; Branch Operations completeness check bypassed or override used without approval.</w:t>
            </w:r>
          </w:p>
        </w:tc>
        <w:tc>
          <w:tcPr>
            <w:tcW w:type="dxa" w:w="775"/>
            <w:shd w:fill="F8FAFC"/>
          </w:tcPr>
          <w:p>
            <w:pPr>
              <w:jc w:val="left"/>
            </w:pPr>
            <w:r/>
            <w:r>
              <w:rPr>
                <w:rFonts w:ascii="Arial" w:hAnsi="Arial"/>
                <w:b w:val="0"/>
                <w:color w:val="1F2937"/>
                <w:sz w:val="14"/>
              </w:rPr>
              <w:t>CIRO Rule 3200 violation; unsuitable product recommendations; failure to identify PEP/HIO risk; potential FINTRAC compliance gap.</w:t>
            </w:r>
          </w:p>
        </w:tc>
        <w:tc>
          <w:tcPr>
            <w:tcW w:type="dxa" w:w="775"/>
            <w:shd w:fill="F8FAFC"/>
          </w:tcPr>
          <w:p>
            <w:pPr>
              <w:jc w:val="left"/>
            </w:pPr>
            <w:r/>
            <w:r>
              <w:rPr>
                <w:rFonts w:ascii="Arial" w:hAnsi="Arial"/>
                <w:b w:val="0"/>
                <w:color w:val="1F2937"/>
                <w:sz w:val="14"/>
              </w:rPr>
              <w:t>High</w:t>
            </w:r>
          </w:p>
        </w:tc>
        <w:tc>
          <w:tcPr>
            <w:tcW w:type="dxa" w:w="775"/>
            <w:shd w:fill="F8FAFC"/>
          </w:tcPr>
          <w:p>
            <w:pPr>
              <w:jc w:val="left"/>
            </w:pPr>
            <w:r/>
            <w:r>
              <w:rPr>
                <w:rFonts w:ascii="Arial" w:hAnsi="Arial"/>
                <w:b w:val="0"/>
                <w:color w:val="1F2937"/>
                <w:sz w:val="14"/>
              </w:rPr>
              <w:t>Medium</w:t>
            </w:r>
          </w:p>
        </w:tc>
        <w:tc>
          <w:tcPr>
            <w:tcW w:type="dxa" w:w="775"/>
            <w:shd w:fill="F8FAFC"/>
          </w:tcPr>
          <w:p>
            <w:pPr>
              <w:jc w:val="left"/>
            </w:pPr>
            <w:r/>
            <w:r>
              <w:rPr>
                <w:rFonts w:ascii="Arial" w:hAnsi="Arial"/>
                <w:b w:val="0"/>
                <w:color w:val="1F2937"/>
                <w:sz w:val="14"/>
              </w:rPr>
              <w:t>NAAF completeness review (C-01); IA/RM self-certification (C-02); Branch Manager approval (C-05).</w:t>
            </w:r>
          </w:p>
        </w:tc>
        <w:tc>
          <w:tcPr>
            <w:tcW w:type="dxa" w:w="775"/>
            <w:shd w:fill="F8FAFC"/>
          </w:tcPr>
          <w:p>
            <w:pPr>
              <w:jc w:val="left"/>
            </w:pPr>
            <w:r/>
            <w:r>
              <w:rPr>
                <w:rFonts w:ascii="Arial" w:hAnsi="Arial"/>
                <w:b w:val="0"/>
                <w:color w:val="1F2937"/>
                <w:sz w:val="14"/>
              </w:rPr>
              <w:t>C-01, C-02, C-05</w:t>
            </w:r>
          </w:p>
        </w:tc>
        <w:tc>
          <w:tcPr>
            <w:tcW w:type="dxa" w:w="775"/>
            <w:shd w:fill="F8FAFC"/>
          </w:tcPr>
          <w:p>
            <w:pPr>
              <w:jc w:val="left"/>
            </w:pPr>
            <w:r/>
            <w:r>
              <w:rPr>
                <w:rFonts w:ascii="Arial" w:hAnsi="Arial"/>
                <w:b w:val="0"/>
                <w:color w:val="1F2937"/>
                <w:sz w:val="14"/>
              </w:rPr>
              <w:t>CIRO Rule 3200; NI 31-103 s.13.2. OSC or CIRO examination finding possible. Potential registration conditions or fine.</w:t>
            </w:r>
          </w:p>
        </w:tc>
        <w:tc>
          <w:tcPr>
            <w:tcW w:type="dxa" w:w="775"/>
            <w:shd w:fill="F8FAFC"/>
          </w:tcPr>
          <w:p>
            <w:pPr>
              <w:jc w:val="left"/>
            </w:pPr>
            <w:r/>
            <w:r>
              <w:rPr>
                <w:rFonts w:ascii="Arial" w:hAnsi="Arial"/>
                <w:b w:val="0"/>
                <w:color w:val="1F2937"/>
                <w:sz w:val="14"/>
              </w:rPr>
              <w:t>1 open remediation from Q3 2024 internal review. Q1 2025 testing: 3/15 NAAFs activated with incomplete fields. SOP completeness check language requires strengthening.</w:t>
            </w:r>
          </w:p>
        </w:tc>
        <w:tc>
          <w:tcPr>
            <w:tcW w:type="dxa" w:w="775"/>
            <w:shd w:fill="F8FAFC"/>
          </w:tcPr>
          <w:p>
            <w:pPr>
              <w:jc w:val="left"/>
            </w:pPr>
            <w:r/>
            <w:r>
              <w:rPr>
                <w:rFonts w:ascii="Arial" w:hAnsi="Arial"/>
                <w:b w:val="0"/>
                <w:color w:val="1F2937"/>
                <w:sz w:val="14"/>
              </w:rPr>
              <w:t>2024-02-18</w:t>
            </w:r>
          </w:p>
        </w:tc>
      </w:tr>
      <w:tr>
        <w:tc>
          <w:tcPr>
            <w:tcW w:type="dxa" w:w="775"/>
            <w:shd w:fill="FFFFFF"/>
          </w:tcPr>
          <w:p>
            <w:pPr>
              <w:jc w:val="left"/>
            </w:pPr>
            <w:r/>
            <w:r>
              <w:rPr>
                <w:rFonts w:ascii="Arial" w:hAnsi="Arial"/>
                <w:b w:val="0"/>
                <w:color w:val="1F2937"/>
                <w:sz w:val="14"/>
              </w:rPr>
              <w:t>RE-002</w:t>
            </w:r>
          </w:p>
        </w:tc>
        <w:tc>
          <w:tcPr>
            <w:tcW w:type="dxa" w:w="775"/>
            <w:shd w:fill="FFFFFF"/>
          </w:tcPr>
          <w:p>
            <w:pPr>
              <w:jc w:val="left"/>
            </w:pPr>
            <w:r/>
            <w:r>
              <w:rPr>
                <w:rFonts w:ascii="Arial" w:hAnsi="Arial"/>
                <w:b w:val="0"/>
                <w:color w:val="1F2937"/>
                <w:sz w:val="14"/>
              </w:rPr>
              <w:t>Unidentified PEP, HIO, or Sanctioned Client</w:t>
            </w:r>
          </w:p>
        </w:tc>
        <w:tc>
          <w:tcPr>
            <w:tcW w:type="dxa" w:w="775"/>
            <w:shd w:fill="FFFFFF"/>
          </w:tcPr>
          <w:p>
            <w:pPr>
              <w:jc w:val="left"/>
            </w:pPr>
            <w:r/>
            <w:r>
              <w:rPr>
                <w:rFonts w:ascii="Arial" w:hAnsi="Arial"/>
                <w:b w:val="0"/>
                <w:color w:val="1F2937"/>
                <w:sz w:val="14"/>
              </w:rPr>
              <w:t>Client Onboarding - AML Screening</w:t>
            </w:r>
          </w:p>
        </w:tc>
        <w:tc>
          <w:tcPr>
            <w:tcW w:type="dxa" w:w="775"/>
            <w:shd w:fill="FFFFFF"/>
          </w:tcPr>
          <w:p>
            <w:pPr>
              <w:jc w:val="left"/>
            </w:pPr>
            <w:r/>
            <w:r>
              <w:rPr>
                <w:rFonts w:ascii="Arial" w:hAnsi="Arial"/>
                <w:b w:val="0"/>
                <w:color w:val="1F2937"/>
                <w:sz w:val="14"/>
              </w:rPr>
              <w:t>A client who is a Politically Exposed Person (PEP), Head of an International Organisation (HIO), their close associate, or a sanctioned individual is onboarded without identification and Enhanced Due Diligence.</w:t>
            </w:r>
          </w:p>
        </w:tc>
        <w:tc>
          <w:tcPr>
            <w:tcW w:type="dxa" w:w="775"/>
            <w:shd w:fill="FFFFFF"/>
          </w:tcPr>
          <w:p>
            <w:pPr>
              <w:jc w:val="left"/>
            </w:pPr>
            <w:r/>
            <w:r>
              <w:rPr>
                <w:rFonts w:ascii="Arial" w:hAnsi="Arial"/>
                <w:b w:val="0"/>
                <w:color w:val="1F2937"/>
                <w:sz w:val="14"/>
              </w:rPr>
              <w:t>AML screening not performed or performed against incomplete databases; PEP/HIO self-declaration not collected on NAAF; adverse media screening omitted.</w:t>
            </w:r>
          </w:p>
        </w:tc>
        <w:tc>
          <w:tcPr>
            <w:tcW w:type="dxa" w:w="775"/>
            <w:shd w:fill="FFFFFF"/>
          </w:tcPr>
          <w:p>
            <w:pPr>
              <w:jc w:val="left"/>
            </w:pPr>
            <w:r/>
            <w:r>
              <w:rPr>
                <w:rFonts w:ascii="Arial" w:hAnsi="Arial"/>
                <w:b w:val="0"/>
                <w:color w:val="1F2937"/>
                <w:sz w:val="14"/>
              </w:rPr>
              <w:t>PCMLTFA offence; mandatory FINTRAC reporting failure; regulatory penalty up to $2M per offence; reputational damage; potential criminal liability.</w:t>
            </w:r>
          </w:p>
        </w:tc>
        <w:tc>
          <w:tcPr>
            <w:tcW w:type="dxa" w:w="775"/>
            <w:shd w:fill="FFFFFF"/>
          </w:tcPr>
          <w:p>
            <w:pPr>
              <w:jc w:val="left"/>
            </w:pPr>
            <w:r/>
            <w:r>
              <w:rPr>
                <w:rFonts w:ascii="Arial" w:hAnsi="Arial"/>
                <w:b w:val="0"/>
                <w:color w:val="1F2937"/>
                <w:sz w:val="14"/>
              </w:rPr>
              <w:t>Critical</w:t>
            </w:r>
          </w:p>
        </w:tc>
        <w:tc>
          <w:tcPr>
            <w:tcW w:type="dxa" w:w="775"/>
            <w:shd w:fill="FFFFFF"/>
          </w:tcPr>
          <w:p>
            <w:pPr>
              <w:jc w:val="left"/>
            </w:pPr>
            <w:r/>
            <w:r>
              <w:rPr>
                <w:rFonts w:ascii="Arial" w:hAnsi="Arial"/>
                <w:b w:val="0"/>
                <w:color w:val="1F2937"/>
                <w:sz w:val="14"/>
              </w:rPr>
              <w:t>Low</w:t>
            </w:r>
          </w:p>
        </w:tc>
        <w:tc>
          <w:tcPr>
            <w:tcW w:type="dxa" w:w="775"/>
            <w:shd w:fill="FFFFFF"/>
          </w:tcPr>
          <w:p>
            <w:pPr>
              <w:jc w:val="left"/>
            </w:pPr>
            <w:r/>
            <w:r>
              <w:rPr>
                <w:rFonts w:ascii="Arial" w:hAnsi="Arial"/>
                <w:b w:val="0"/>
                <w:color w:val="1F2937"/>
                <w:sz w:val="14"/>
              </w:rPr>
              <w:t>AML and sanctions screening (C-03); annual re-screening (C-12); PEP/HIO self-declaration on NAAF.</w:t>
            </w:r>
          </w:p>
        </w:tc>
        <w:tc>
          <w:tcPr>
            <w:tcW w:type="dxa" w:w="775"/>
            <w:shd w:fill="FFFFFF"/>
          </w:tcPr>
          <w:p>
            <w:pPr>
              <w:jc w:val="left"/>
            </w:pPr>
            <w:r/>
            <w:r>
              <w:rPr>
                <w:rFonts w:ascii="Arial" w:hAnsi="Arial"/>
                <w:b w:val="0"/>
                <w:color w:val="1F2937"/>
                <w:sz w:val="14"/>
              </w:rPr>
              <w:t>C-03, C-12</w:t>
            </w:r>
          </w:p>
        </w:tc>
        <w:tc>
          <w:tcPr>
            <w:tcW w:type="dxa" w:w="775"/>
            <w:shd w:fill="FFFFFF"/>
          </w:tcPr>
          <w:p>
            <w:pPr>
              <w:jc w:val="left"/>
            </w:pPr>
            <w:r/>
            <w:r>
              <w:rPr>
                <w:rFonts w:ascii="Arial" w:hAnsi="Arial"/>
                <w:b w:val="0"/>
                <w:color w:val="1F2937"/>
                <w:sz w:val="14"/>
              </w:rPr>
              <w:t>PCMLTFA s.9.3; SEMA. FINTRAC administrative monetary penalty (AMP). OSC/CIRO reportable. May require RCMP notification.</w:t>
            </w:r>
          </w:p>
        </w:tc>
        <w:tc>
          <w:tcPr>
            <w:tcW w:type="dxa" w:w="775"/>
            <w:shd w:fill="FFFFFF"/>
          </w:tcPr>
          <w:p>
            <w:pPr>
              <w:jc w:val="left"/>
            </w:pPr>
            <w:r/>
            <w:r>
              <w:rPr>
                <w:rFonts w:ascii="Arial" w:hAnsi="Arial"/>
                <w:b w:val="0"/>
                <w:color w:val="1F2937"/>
                <w:sz w:val="14"/>
              </w:rPr>
              <w:t>No open issues. Q1 2025 testing: 0 exceptions. Screening platform name not specified in SOP. Re-screening of existing clients not referenced in SOP monitoring section.</w:t>
            </w:r>
          </w:p>
        </w:tc>
        <w:tc>
          <w:tcPr>
            <w:tcW w:type="dxa" w:w="775"/>
            <w:shd w:fill="FFFFFF"/>
          </w:tcPr>
          <w:p>
            <w:pPr>
              <w:jc w:val="left"/>
            </w:pPr>
            <w:r/>
            <w:r>
              <w:rPr>
                <w:rFonts w:ascii="Arial" w:hAnsi="Arial"/>
                <w:b w:val="0"/>
                <w:color w:val="1F2937"/>
                <w:sz w:val="14"/>
              </w:rPr>
              <w:t>2024-01-15</w:t>
            </w:r>
          </w:p>
        </w:tc>
      </w:tr>
      <w:tr>
        <w:tc>
          <w:tcPr>
            <w:tcW w:type="dxa" w:w="775"/>
            <w:shd w:fill="F8FAFC"/>
          </w:tcPr>
          <w:p>
            <w:pPr>
              <w:jc w:val="left"/>
            </w:pPr>
            <w:r/>
            <w:r>
              <w:rPr>
                <w:rFonts w:ascii="Arial" w:hAnsi="Arial"/>
                <w:b w:val="0"/>
                <w:color w:val="1F2937"/>
                <w:sz w:val="14"/>
              </w:rPr>
              <w:t>RE-003</w:t>
            </w:r>
          </w:p>
        </w:tc>
        <w:tc>
          <w:tcPr>
            <w:tcW w:type="dxa" w:w="775"/>
            <w:shd w:fill="F8FAFC"/>
          </w:tcPr>
          <w:p>
            <w:pPr>
              <w:jc w:val="left"/>
            </w:pPr>
            <w:r/>
            <w:r>
              <w:rPr>
                <w:rFonts w:ascii="Arial" w:hAnsi="Arial"/>
                <w:b w:val="0"/>
                <w:color w:val="1F2937"/>
                <w:sz w:val="14"/>
              </w:rPr>
              <w:t>Unsuitable Investment Recommendation at Onboarding</w:t>
            </w:r>
          </w:p>
        </w:tc>
        <w:tc>
          <w:tcPr>
            <w:tcW w:type="dxa" w:w="775"/>
            <w:shd w:fill="F8FAFC"/>
          </w:tcPr>
          <w:p>
            <w:pPr>
              <w:jc w:val="left"/>
            </w:pPr>
            <w:r/>
            <w:r>
              <w:rPr>
                <w:rFonts w:ascii="Arial" w:hAnsi="Arial"/>
                <w:b w:val="0"/>
                <w:color w:val="1F2937"/>
                <w:sz w:val="14"/>
              </w:rPr>
              <w:t>Client Onboarding - Suitability Assessment</w:t>
            </w:r>
          </w:p>
        </w:tc>
        <w:tc>
          <w:tcPr>
            <w:tcW w:type="dxa" w:w="775"/>
            <w:shd w:fill="F8FAFC"/>
          </w:tcPr>
          <w:p>
            <w:pPr>
              <w:jc w:val="left"/>
            </w:pPr>
            <w:r/>
            <w:r>
              <w:rPr>
                <w:rFonts w:ascii="Arial" w:hAnsi="Arial"/>
                <w:b w:val="0"/>
                <w:color w:val="1F2937"/>
                <w:sz w:val="14"/>
              </w:rPr>
              <w:t>Investment recommendations made or account instructions accepted that are not suitable for the client's documented KYC profile (risk tolerance, objectives, knowledge, time horizon).</w:t>
            </w:r>
          </w:p>
        </w:tc>
        <w:tc>
          <w:tcPr>
            <w:tcW w:type="dxa" w:w="775"/>
            <w:shd w:fill="F8FAFC"/>
          </w:tcPr>
          <w:p>
            <w:pPr>
              <w:jc w:val="left"/>
            </w:pPr>
            <w:r/>
            <w:r>
              <w:rPr>
                <w:rFonts w:ascii="Arial" w:hAnsi="Arial"/>
                <w:b w:val="0"/>
                <w:color w:val="1F2937"/>
                <w:sz w:val="14"/>
              </w:rPr>
              <w:t>Suitability assessment not documented or not reviewed; KYC information inaccurate or incomplete; IA/RM pressure to place product.</w:t>
            </w:r>
          </w:p>
        </w:tc>
        <w:tc>
          <w:tcPr>
            <w:tcW w:type="dxa" w:w="775"/>
            <w:shd w:fill="F8FAFC"/>
          </w:tcPr>
          <w:p>
            <w:pPr>
              <w:jc w:val="left"/>
            </w:pPr>
            <w:r/>
            <w:r>
              <w:rPr>
                <w:rFonts w:ascii="Arial" w:hAnsi="Arial"/>
                <w:b w:val="0"/>
                <w:color w:val="1F2937"/>
                <w:sz w:val="14"/>
              </w:rPr>
              <w:t>CIRO Rule 3200 and NI 31-103 violation; client financial harm; regulatory finding; potential civil liability; registration conditions.</w:t>
            </w:r>
          </w:p>
        </w:tc>
        <w:tc>
          <w:tcPr>
            <w:tcW w:type="dxa" w:w="775"/>
            <w:shd w:fill="F8FAFC"/>
          </w:tcPr>
          <w:p>
            <w:pPr>
              <w:jc w:val="left"/>
            </w:pPr>
            <w:r/>
            <w:r>
              <w:rPr>
                <w:rFonts w:ascii="Arial" w:hAnsi="Arial"/>
                <w:b w:val="0"/>
                <w:color w:val="1F2937"/>
                <w:sz w:val="14"/>
              </w:rPr>
              <w:t>High</w:t>
            </w:r>
          </w:p>
        </w:tc>
        <w:tc>
          <w:tcPr>
            <w:tcW w:type="dxa" w:w="775"/>
            <w:shd w:fill="F8FAFC"/>
          </w:tcPr>
          <w:p>
            <w:pPr>
              <w:jc w:val="left"/>
            </w:pPr>
            <w:r/>
            <w:r>
              <w:rPr>
                <w:rFonts w:ascii="Arial" w:hAnsi="Arial"/>
                <w:b w:val="0"/>
                <w:color w:val="1F2937"/>
                <w:sz w:val="14"/>
              </w:rPr>
              <w:t>Medium</w:t>
            </w:r>
          </w:p>
        </w:tc>
        <w:tc>
          <w:tcPr>
            <w:tcW w:type="dxa" w:w="775"/>
            <w:shd w:fill="F8FAFC"/>
          </w:tcPr>
          <w:p>
            <w:pPr>
              <w:jc w:val="left"/>
            </w:pPr>
            <w:r/>
            <w:r>
              <w:rPr>
                <w:rFonts w:ascii="Arial" w:hAnsi="Arial"/>
                <w:b w:val="0"/>
                <w:color w:val="1F2937"/>
                <w:sz w:val="14"/>
              </w:rPr>
              <w:t>Suitability assessment at account opening (C-04); NAAF completeness review (C-01); supervisory review (C-05).</w:t>
            </w:r>
          </w:p>
        </w:tc>
        <w:tc>
          <w:tcPr>
            <w:tcW w:type="dxa" w:w="775"/>
            <w:shd w:fill="F8FAFC"/>
          </w:tcPr>
          <w:p>
            <w:pPr>
              <w:jc w:val="left"/>
            </w:pPr>
            <w:r/>
            <w:r>
              <w:rPr>
                <w:rFonts w:ascii="Arial" w:hAnsi="Arial"/>
                <w:b w:val="0"/>
                <w:color w:val="1F2937"/>
                <w:sz w:val="14"/>
              </w:rPr>
              <w:t>C-04, C-05</w:t>
            </w:r>
          </w:p>
        </w:tc>
        <w:tc>
          <w:tcPr>
            <w:tcW w:type="dxa" w:w="775"/>
            <w:shd w:fill="F8FAFC"/>
          </w:tcPr>
          <w:p>
            <w:pPr>
              <w:jc w:val="left"/>
            </w:pPr>
            <w:r/>
            <w:r>
              <w:rPr>
                <w:rFonts w:ascii="Arial" w:hAnsi="Arial"/>
                <w:b w:val="0"/>
                <w:color w:val="1F2937"/>
                <w:sz w:val="14"/>
              </w:rPr>
              <w:t>CIRO Rule 3200; NI 31-103 s.13.3-13.4. CIRO disciplinary proceeding possible. Registration conditions, fines, or suspension.</w:t>
            </w:r>
          </w:p>
        </w:tc>
        <w:tc>
          <w:tcPr>
            <w:tcW w:type="dxa" w:w="775"/>
            <w:shd w:fill="F8FAFC"/>
          </w:tcPr>
          <w:p>
            <w:pPr>
              <w:jc w:val="left"/>
            </w:pPr>
            <w:r/>
            <w:r>
              <w:rPr>
                <w:rFonts w:ascii="Arial" w:hAnsi="Arial"/>
                <w:b w:val="0"/>
                <w:color w:val="1F2937"/>
                <w:sz w:val="14"/>
              </w:rPr>
              <w:t>Q1 2025 testing: 2/15 accounts had suitability assessment missing or undocumented. SOP section 5.4 does not reference CIRO Rule 3200 or NI 31-103.</w:t>
            </w:r>
          </w:p>
        </w:tc>
        <w:tc>
          <w:tcPr>
            <w:tcW w:type="dxa" w:w="775"/>
            <w:shd w:fill="F8FAFC"/>
          </w:tcPr>
          <w:p>
            <w:pPr>
              <w:jc w:val="left"/>
            </w:pPr>
            <w:r/>
            <w:r>
              <w:rPr>
                <w:rFonts w:ascii="Arial" w:hAnsi="Arial"/>
                <w:b w:val="0"/>
                <w:color w:val="1F2937"/>
                <w:sz w:val="14"/>
              </w:rPr>
              <w:t>2024-03-10</w:t>
            </w:r>
          </w:p>
        </w:tc>
      </w:tr>
      <w:tr>
        <w:tc>
          <w:tcPr>
            <w:tcW w:type="dxa" w:w="775"/>
            <w:shd w:fill="FFFFFF"/>
          </w:tcPr>
          <w:p>
            <w:pPr>
              <w:jc w:val="left"/>
            </w:pPr>
            <w:r/>
            <w:r>
              <w:rPr>
                <w:rFonts w:ascii="Arial" w:hAnsi="Arial"/>
                <w:b w:val="0"/>
                <w:color w:val="1F2937"/>
                <w:sz w:val="14"/>
              </w:rPr>
              <w:t>RE-004</w:t>
            </w:r>
          </w:p>
        </w:tc>
        <w:tc>
          <w:tcPr>
            <w:tcW w:type="dxa" w:w="775"/>
            <w:shd w:fill="FFFFFF"/>
          </w:tcPr>
          <w:p>
            <w:pPr>
              <w:jc w:val="left"/>
            </w:pPr>
            <w:r/>
            <w:r>
              <w:rPr>
                <w:rFonts w:ascii="Arial" w:hAnsi="Arial"/>
                <w:b w:val="0"/>
                <w:color w:val="1F2937"/>
                <w:sz w:val="14"/>
              </w:rPr>
              <w:t>Account Activated Without Required Approvals</w:t>
            </w:r>
          </w:p>
        </w:tc>
        <w:tc>
          <w:tcPr>
            <w:tcW w:type="dxa" w:w="775"/>
            <w:shd w:fill="FFFFFF"/>
          </w:tcPr>
          <w:p>
            <w:pPr>
              <w:jc w:val="left"/>
            </w:pPr>
            <w:r/>
            <w:r>
              <w:rPr>
                <w:rFonts w:ascii="Arial" w:hAnsi="Arial"/>
                <w:b w:val="0"/>
                <w:color w:val="1F2937"/>
                <w:sz w:val="14"/>
              </w:rPr>
              <w:t>Client Onboarding - Account Opening</w:t>
            </w:r>
          </w:p>
        </w:tc>
        <w:tc>
          <w:tcPr>
            <w:tcW w:type="dxa" w:w="775"/>
            <w:shd w:fill="FFFFFF"/>
          </w:tcPr>
          <w:p>
            <w:pPr>
              <w:jc w:val="left"/>
            </w:pPr>
            <w:r/>
            <w:r>
              <w:rPr>
                <w:rFonts w:ascii="Arial" w:hAnsi="Arial"/>
                <w:b w:val="0"/>
                <w:color w:val="1F2937"/>
                <w:sz w:val="14"/>
              </w:rPr>
              <w:t>Account activated before supervisory review by Branch Manager and/or AML Officer approval for high-risk accounts.</w:t>
            </w:r>
          </w:p>
        </w:tc>
        <w:tc>
          <w:tcPr>
            <w:tcW w:type="dxa" w:w="775"/>
            <w:shd w:fill="FFFFFF"/>
          </w:tcPr>
          <w:p>
            <w:pPr>
              <w:jc w:val="left"/>
            </w:pPr>
            <w:r/>
            <w:r>
              <w:rPr>
                <w:rFonts w:ascii="Arial" w:hAnsi="Arial"/>
                <w:b w:val="0"/>
                <w:color w:val="1F2937"/>
                <w:sz w:val="14"/>
              </w:rPr>
              <w:t>System allows account activation before approval workflow is complete; CIRO Rule 3400 supervisory timeline ambiguous ('promptly after'); dual-approval requirement for high-risk not enforced.</w:t>
            </w:r>
          </w:p>
        </w:tc>
        <w:tc>
          <w:tcPr>
            <w:tcW w:type="dxa" w:w="775"/>
            <w:shd w:fill="FFFFFF"/>
          </w:tcPr>
          <w:p>
            <w:pPr>
              <w:jc w:val="left"/>
            </w:pPr>
            <w:r/>
            <w:r>
              <w:rPr>
                <w:rFonts w:ascii="Arial" w:hAnsi="Arial"/>
                <w:b w:val="0"/>
                <w:color w:val="1F2937"/>
                <w:sz w:val="14"/>
              </w:rPr>
              <w:t>CIRO Rule 3400 violation; regulatory examination finding; reputational risk; potential trading in unsuitable or non-compliant account.</w:t>
            </w:r>
          </w:p>
        </w:tc>
        <w:tc>
          <w:tcPr>
            <w:tcW w:type="dxa" w:w="775"/>
            <w:shd w:fill="FFFFFF"/>
          </w:tcPr>
          <w:p>
            <w:pPr>
              <w:jc w:val="left"/>
            </w:pPr>
            <w:r/>
            <w:r>
              <w:rPr>
                <w:rFonts w:ascii="Arial" w:hAnsi="Arial"/>
                <w:b w:val="0"/>
                <w:color w:val="1F2937"/>
                <w:sz w:val="14"/>
              </w:rPr>
              <w:t>High</w:t>
            </w:r>
          </w:p>
        </w:tc>
        <w:tc>
          <w:tcPr>
            <w:tcW w:type="dxa" w:w="775"/>
            <w:shd w:fill="FFFFFF"/>
          </w:tcPr>
          <w:p>
            <w:pPr>
              <w:jc w:val="left"/>
            </w:pPr>
            <w:r/>
            <w:r>
              <w:rPr>
                <w:rFonts w:ascii="Arial" w:hAnsi="Arial"/>
                <w:b w:val="0"/>
                <w:color w:val="1F2937"/>
                <w:sz w:val="14"/>
              </w:rPr>
              <w:t>Medium</w:t>
            </w:r>
          </w:p>
        </w:tc>
        <w:tc>
          <w:tcPr>
            <w:tcW w:type="dxa" w:w="775"/>
            <w:shd w:fill="FFFFFF"/>
          </w:tcPr>
          <w:p>
            <w:pPr>
              <w:jc w:val="left"/>
            </w:pPr>
            <w:r/>
            <w:r>
              <w:rPr>
                <w:rFonts w:ascii="Arial" w:hAnsi="Arial"/>
                <w:b w:val="0"/>
                <w:color w:val="1F2937"/>
                <w:sz w:val="14"/>
              </w:rPr>
              <w:t>Supervisory new account approval (C-05); AML Officer approval for high-risk accounts.</w:t>
            </w:r>
          </w:p>
        </w:tc>
        <w:tc>
          <w:tcPr>
            <w:tcW w:type="dxa" w:w="775"/>
            <w:shd w:fill="FFFFFF"/>
          </w:tcPr>
          <w:p>
            <w:pPr>
              <w:jc w:val="left"/>
            </w:pPr>
            <w:r/>
            <w:r>
              <w:rPr>
                <w:rFonts w:ascii="Arial" w:hAnsi="Arial"/>
                <w:b w:val="0"/>
                <w:color w:val="1F2937"/>
                <w:sz w:val="14"/>
              </w:rPr>
              <w:t>C-05</w:t>
            </w:r>
          </w:p>
        </w:tc>
        <w:tc>
          <w:tcPr>
            <w:tcW w:type="dxa" w:w="775"/>
            <w:shd w:fill="FFFFFF"/>
          </w:tcPr>
          <w:p>
            <w:pPr>
              <w:jc w:val="left"/>
            </w:pPr>
            <w:r/>
            <w:r>
              <w:rPr>
                <w:rFonts w:ascii="Arial" w:hAnsi="Arial"/>
                <w:b w:val="0"/>
                <w:color w:val="1F2937"/>
                <w:sz w:val="14"/>
              </w:rPr>
              <w:t>CIRO Rule 3400; NI 31-103. Supervisory failure finding in regulatory examination. Potential fine and terms of registration.</w:t>
            </w:r>
          </w:p>
        </w:tc>
        <w:tc>
          <w:tcPr>
            <w:tcW w:type="dxa" w:w="775"/>
            <w:shd w:fill="FFFFFF"/>
          </w:tcPr>
          <w:p>
            <w:pPr>
              <w:jc w:val="left"/>
            </w:pPr>
            <w:r/>
            <w:r>
              <w:rPr>
                <w:rFonts w:ascii="Arial" w:hAnsi="Arial"/>
                <w:b w:val="0"/>
                <w:color w:val="1F2937"/>
                <w:sz w:val="14"/>
              </w:rPr>
              <w:t>SOP does not define 'promptly after' - no SLA for Branch Manager review. No four-eyes check defined in SOP for account activation. Dual-approval requirement for high-risk not explicit.</w:t>
            </w:r>
          </w:p>
        </w:tc>
        <w:tc>
          <w:tcPr>
            <w:tcW w:type="dxa" w:w="775"/>
            <w:shd w:fill="FFFFFF"/>
          </w:tcPr>
          <w:p>
            <w:pPr>
              <w:jc w:val="left"/>
            </w:pPr>
            <w:r/>
            <w:r>
              <w:rPr>
                <w:rFonts w:ascii="Arial" w:hAnsi="Arial"/>
                <w:b w:val="0"/>
                <w:color w:val="1F2937"/>
                <w:sz w:val="14"/>
              </w:rPr>
              <w:t>2024-05-02</w:t>
            </w:r>
          </w:p>
        </w:tc>
      </w:tr>
      <w:tr>
        <w:tc>
          <w:tcPr>
            <w:tcW w:type="dxa" w:w="775"/>
            <w:shd w:fill="F8FAFC"/>
          </w:tcPr>
          <w:p>
            <w:pPr>
              <w:jc w:val="left"/>
            </w:pPr>
            <w:r/>
            <w:r>
              <w:rPr>
                <w:rFonts w:ascii="Arial" w:hAnsi="Arial"/>
                <w:b w:val="0"/>
                <w:color w:val="1F2937"/>
                <w:sz w:val="14"/>
              </w:rPr>
              <w:t>RE-005</w:t>
            </w:r>
          </w:p>
        </w:tc>
        <w:tc>
          <w:tcPr>
            <w:tcW w:type="dxa" w:w="775"/>
            <w:shd w:fill="F8FAFC"/>
          </w:tcPr>
          <w:p>
            <w:pPr>
              <w:jc w:val="left"/>
            </w:pPr>
            <w:r/>
            <w:r>
              <w:rPr>
                <w:rFonts w:ascii="Arial" w:hAnsi="Arial"/>
                <w:b w:val="0"/>
                <w:color w:val="1F2937"/>
                <w:sz w:val="14"/>
              </w:rPr>
              <w:t>Insufficient EDD for PEP/HIO or High-Risk Client</w:t>
            </w:r>
          </w:p>
        </w:tc>
        <w:tc>
          <w:tcPr>
            <w:tcW w:type="dxa" w:w="775"/>
            <w:shd w:fill="F8FAFC"/>
          </w:tcPr>
          <w:p>
            <w:pPr>
              <w:jc w:val="left"/>
            </w:pPr>
            <w:r/>
            <w:r>
              <w:rPr>
                <w:rFonts w:ascii="Arial" w:hAnsi="Arial"/>
                <w:b w:val="0"/>
                <w:color w:val="1F2937"/>
                <w:sz w:val="14"/>
              </w:rPr>
              <w:t>Client Onboarding - EDD</w:t>
            </w:r>
          </w:p>
        </w:tc>
        <w:tc>
          <w:tcPr>
            <w:tcW w:type="dxa" w:w="775"/>
            <w:shd w:fill="F8FAFC"/>
          </w:tcPr>
          <w:p>
            <w:pPr>
              <w:jc w:val="left"/>
            </w:pPr>
            <w:r/>
            <w:r>
              <w:rPr>
                <w:rFonts w:ascii="Arial" w:hAnsi="Arial"/>
                <w:b w:val="0"/>
                <w:color w:val="1F2937"/>
                <w:sz w:val="14"/>
              </w:rPr>
              <w:t>PEP, HIO, or High-risk client onboarded without completion of Enhanced Due Diligence or without Senior Management approval.</w:t>
            </w:r>
          </w:p>
        </w:tc>
        <w:tc>
          <w:tcPr>
            <w:tcW w:type="dxa" w:w="775"/>
            <w:shd w:fill="F8FAFC"/>
          </w:tcPr>
          <w:p>
            <w:pPr>
              <w:jc w:val="left"/>
            </w:pPr>
            <w:r/>
            <w:r>
              <w:rPr>
                <w:rFonts w:ascii="Arial" w:hAnsi="Arial"/>
                <w:b w:val="0"/>
                <w:color w:val="1F2937"/>
                <w:sz w:val="14"/>
              </w:rPr>
              <w:t>PEP/HIO not identified at screening; EDD checklist not completed; Senior Management approval authority not clearly defined; time pressure.</w:t>
            </w:r>
          </w:p>
        </w:tc>
        <w:tc>
          <w:tcPr>
            <w:tcW w:type="dxa" w:w="775"/>
            <w:shd w:fill="F8FAFC"/>
          </w:tcPr>
          <w:p>
            <w:pPr>
              <w:jc w:val="left"/>
            </w:pPr>
            <w:r/>
            <w:r>
              <w:rPr>
                <w:rFonts w:ascii="Arial" w:hAnsi="Arial"/>
                <w:b w:val="0"/>
                <w:color w:val="1F2937"/>
                <w:sz w:val="14"/>
              </w:rPr>
              <w:t>PCMLTFA s.9.3(3) offence; failure to maintain adequate AML program; FINTRAC AMP; reputational damage; facilitation of money laundering or terrorist financing.</w:t>
            </w:r>
          </w:p>
        </w:tc>
        <w:tc>
          <w:tcPr>
            <w:tcW w:type="dxa" w:w="775"/>
            <w:shd w:fill="F8FAFC"/>
          </w:tcPr>
          <w:p>
            <w:pPr>
              <w:jc w:val="left"/>
            </w:pPr>
            <w:r/>
            <w:r>
              <w:rPr>
                <w:rFonts w:ascii="Arial" w:hAnsi="Arial"/>
                <w:b w:val="0"/>
                <w:color w:val="1F2937"/>
                <w:sz w:val="14"/>
              </w:rPr>
              <w:t>Critical</w:t>
            </w:r>
          </w:p>
        </w:tc>
        <w:tc>
          <w:tcPr>
            <w:tcW w:type="dxa" w:w="775"/>
            <w:shd w:fill="F8FAFC"/>
          </w:tcPr>
          <w:p>
            <w:pPr>
              <w:jc w:val="left"/>
            </w:pPr>
            <w:r/>
            <w:r>
              <w:rPr>
                <w:rFonts w:ascii="Arial" w:hAnsi="Arial"/>
                <w:b w:val="0"/>
                <w:color w:val="1F2937"/>
                <w:sz w:val="14"/>
              </w:rPr>
              <w:t>Low</w:t>
            </w:r>
          </w:p>
        </w:tc>
        <w:tc>
          <w:tcPr>
            <w:tcW w:type="dxa" w:w="775"/>
            <w:shd w:fill="F8FAFC"/>
          </w:tcPr>
          <w:p>
            <w:pPr>
              <w:jc w:val="left"/>
            </w:pPr>
            <w:r/>
            <w:r>
              <w:rPr>
                <w:rFonts w:ascii="Arial" w:hAnsi="Arial"/>
                <w:b w:val="0"/>
                <w:color w:val="1F2937"/>
                <w:sz w:val="14"/>
              </w:rPr>
              <w:t>EDD review and approval by AML Officer (C-06); AML screening (C-03).</w:t>
            </w:r>
          </w:p>
        </w:tc>
        <w:tc>
          <w:tcPr>
            <w:tcW w:type="dxa" w:w="775"/>
            <w:shd w:fill="F8FAFC"/>
          </w:tcPr>
          <w:p>
            <w:pPr>
              <w:jc w:val="left"/>
            </w:pPr>
            <w:r/>
            <w:r>
              <w:rPr>
                <w:rFonts w:ascii="Arial" w:hAnsi="Arial"/>
                <w:b w:val="0"/>
                <w:color w:val="1F2937"/>
                <w:sz w:val="14"/>
              </w:rPr>
              <w:t>C-06, C-03</w:t>
            </w:r>
          </w:p>
        </w:tc>
        <w:tc>
          <w:tcPr>
            <w:tcW w:type="dxa" w:w="775"/>
            <w:shd w:fill="F8FAFC"/>
          </w:tcPr>
          <w:p>
            <w:pPr>
              <w:jc w:val="left"/>
            </w:pPr>
            <w:r/>
            <w:r>
              <w:rPr>
                <w:rFonts w:ascii="Arial" w:hAnsi="Arial"/>
                <w:b w:val="0"/>
                <w:color w:val="1F2937"/>
                <w:sz w:val="14"/>
              </w:rPr>
              <w:t>PCMLTFA s.9.3(3); FINTRAC GL-02. FINTRAC AMP. Potential Direction to Comply. Criminal Code referral if proceeds of crime suspected.</w:t>
            </w:r>
          </w:p>
        </w:tc>
        <w:tc>
          <w:tcPr>
            <w:tcW w:type="dxa" w:w="775"/>
            <w:shd w:fill="F8FAFC"/>
          </w:tcPr>
          <w:p>
            <w:pPr>
              <w:jc w:val="left"/>
            </w:pPr>
            <w:r/>
            <w:r>
              <w:rPr>
                <w:rFonts w:ascii="Arial" w:hAnsi="Arial"/>
                <w:b w:val="0"/>
                <w:color w:val="1F2937"/>
                <w:sz w:val="14"/>
              </w:rPr>
              <w:t>SOP section 6 states 'Senior Management approval' without naming who. Beneficial ownership threshold (25%) not stated in SOP section 5.1. No EDD completion timeline defined.</w:t>
            </w:r>
          </w:p>
        </w:tc>
        <w:tc>
          <w:tcPr>
            <w:tcW w:type="dxa" w:w="775"/>
            <w:shd w:fill="F8FAFC"/>
          </w:tcPr>
          <w:p>
            <w:pPr>
              <w:jc w:val="left"/>
            </w:pPr>
            <w:r/>
            <w:r>
              <w:rPr>
                <w:rFonts w:ascii="Arial" w:hAnsi="Arial"/>
                <w:b w:val="0"/>
                <w:color w:val="1F2937"/>
                <w:sz w:val="14"/>
              </w:rPr>
              <w:t>2024-07-14</w:t>
            </w:r>
          </w:p>
        </w:tc>
      </w:tr>
      <w:tr>
        <w:tc>
          <w:tcPr>
            <w:tcW w:type="dxa" w:w="775"/>
            <w:shd w:fill="FFFFFF"/>
          </w:tcPr>
          <w:p>
            <w:pPr>
              <w:jc w:val="left"/>
            </w:pPr>
            <w:r/>
            <w:r>
              <w:rPr>
                <w:rFonts w:ascii="Arial" w:hAnsi="Arial"/>
                <w:b w:val="0"/>
                <w:color w:val="1F2937"/>
                <w:sz w:val="14"/>
              </w:rPr>
              <w:t>RE-006</w:t>
            </w:r>
          </w:p>
        </w:tc>
        <w:tc>
          <w:tcPr>
            <w:tcW w:type="dxa" w:w="775"/>
            <w:shd w:fill="FFFFFF"/>
          </w:tcPr>
          <w:p>
            <w:pPr>
              <w:jc w:val="left"/>
            </w:pPr>
            <w:r/>
            <w:r>
              <w:rPr>
                <w:rFonts w:ascii="Arial" w:hAnsi="Arial"/>
                <w:b w:val="0"/>
                <w:color w:val="1F2937"/>
                <w:sz w:val="14"/>
              </w:rPr>
              <w:t>IPS Not Completed Before Discretionary Trading Commences</w:t>
            </w:r>
          </w:p>
        </w:tc>
        <w:tc>
          <w:tcPr>
            <w:tcW w:type="dxa" w:w="775"/>
            <w:shd w:fill="FFFFFF"/>
          </w:tcPr>
          <w:p>
            <w:pPr>
              <w:jc w:val="left"/>
            </w:pPr>
            <w:r/>
            <w:r>
              <w:rPr>
                <w:rFonts w:ascii="Arial" w:hAnsi="Arial"/>
                <w:b w:val="0"/>
                <w:color w:val="1F2937"/>
                <w:sz w:val="14"/>
              </w:rPr>
              <w:t>Wealth Operations - IPS / Mandate</w:t>
            </w:r>
          </w:p>
        </w:tc>
        <w:tc>
          <w:tcPr>
            <w:tcW w:type="dxa" w:w="775"/>
            <w:shd w:fill="FFFFFF"/>
          </w:tcPr>
          <w:p>
            <w:pPr>
              <w:jc w:val="left"/>
            </w:pPr>
            <w:r/>
            <w:r>
              <w:rPr>
                <w:rFonts w:ascii="Arial" w:hAnsi="Arial"/>
                <w:b w:val="0"/>
                <w:color w:val="1F2937"/>
                <w:sz w:val="14"/>
              </w:rPr>
              <w:t>Discretionary account activated and trading commenced before the Investment Policy Statement (IPS) is completed and signed.</w:t>
            </w:r>
          </w:p>
        </w:tc>
        <w:tc>
          <w:tcPr>
            <w:tcW w:type="dxa" w:w="775"/>
            <w:shd w:fill="FFFFFF"/>
          </w:tcPr>
          <w:p>
            <w:pPr>
              <w:jc w:val="left"/>
            </w:pPr>
            <w:r/>
            <w:r>
              <w:rPr>
                <w:rFonts w:ascii="Arial" w:hAnsi="Arial"/>
                <w:b w:val="0"/>
                <w:color w:val="1F2937"/>
                <w:sz w:val="14"/>
              </w:rPr>
              <w:t>IPS timeline not defined in SOP; no system block preventing trading before IPS is uploaded; Portfolio Manager commences trading on verbal mandate.</w:t>
            </w:r>
          </w:p>
        </w:tc>
        <w:tc>
          <w:tcPr>
            <w:tcW w:type="dxa" w:w="775"/>
            <w:shd w:fill="FFFFFF"/>
          </w:tcPr>
          <w:p>
            <w:pPr>
              <w:jc w:val="left"/>
            </w:pPr>
            <w:r/>
            <w:r>
              <w:rPr>
                <w:rFonts w:ascii="Arial" w:hAnsi="Arial"/>
                <w:b w:val="0"/>
                <w:color w:val="1F2937"/>
                <w:sz w:val="14"/>
              </w:rPr>
              <w:t>Suitability violation; trading outside mandate; potential client harm; regulatory finding; civil liability.</w:t>
            </w:r>
          </w:p>
        </w:tc>
        <w:tc>
          <w:tcPr>
            <w:tcW w:type="dxa" w:w="775"/>
            <w:shd w:fill="FFFFFF"/>
          </w:tcPr>
          <w:p>
            <w:pPr>
              <w:jc w:val="left"/>
            </w:pPr>
            <w:r/>
            <w:r>
              <w:rPr>
                <w:rFonts w:ascii="Arial" w:hAnsi="Arial"/>
                <w:b w:val="0"/>
                <w:color w:val="1F2937"/>
                <w:sz w:val="14"/>
              </w:rPr>
              <w:t>High</w:t>
            </w:r>
          </w:p>
        </w:tc>
        <w:tc>
          <w:tcPr>
            <w:tcW w:type="dxa" w:w="775"/>
            <w:shd w:fill="FFFFFF"/>
          </w:tcPr>
          <w:p>
            <w:pPr>
              <w:jc w:val="left"/>
            </w:pPr>
            <w:r/>
            <w:r>
              <w:rPr>
                <w:rFonts w:ascii="Arial" w:hAnsi="Arial"/>
                <w:b w:val="0"/>
                <w:color w:val="1F2937"/>
                <w:sz w:val="14"/>
              </w:rPr>
              <w:t>Medium</w:t>
            </w:r>
          </w:p>
        </w:tc>
        <w:tc>
          <w:tcPr>
            <w:tcW w:type="dxa" w:w="775"/>
            <w:shd w:fill="FFFFFF"/>
          </w:tcPr>
          <w:p>
            <w:pPr>
              <w:jc w:val="left"/>
            </w:pPr>
            <w:r/>
            <w:r>
              <w:rPr>
                <w:rFonts w:ascii="Arial" w:hAnsi="Arial"/>
                <w:b w:val="0"/>
                <w:color w:val="1F2937"/>
                <w:sz w:val="14"/>
              </w:rPr>
              <w:t>IPS completeness and mandate setup review (C-08).</w:t>
            </w:r>
          </w:p>
        </w:tc>
        <w:tc>
          <w:tcPr>
            <w:tcW w:type="dxa" w:w="775"/>
            <w:shd w:fill="FFFFFF"/>
          </w:tcPr>
          <w:p>
            <w:pPr>
              <w:jc w:val="left"/>
            </w:pPr>
            <w:r/>
            <w:r>
              <w:rPr>
                <w:rFonts w:ascii="Arial" w:hAnsi="Arial"/>
                <w:b w:val="0"/>
                <w:color w:val="1F2937"/>
                <w:sz w:val="14"/>
              </w:rPr>
              <w:t>C-08</w:t>
            </w:r>
          </w:p>
        </w:tc>
        <w:tc>
          <w:tcPr>
            <w:tcW w:type="dxa" w:w="775"/>
            <w:shd w:fill="FFFFFF"/>
          </w:tcPr>
          <w:p>
            <w:pPr>
              <w:jc w:val="left"/>
            </w:pPr>
            <w:r/>
            <w:r>
              <w:rPr>
                <w:rFonts w:ascii="Arial" w:hAnsi="Arial"/>
                <w:b w:val="0"/>
                <w:color w:val="1F2937"/>
                <w:sz w:val="14"/>
              </w:rPr>
              <w:t>NI 31-103 s.13.3; POL-WM-SUIT-003. CIRO examination finding. Registration conditions possible.</w:t>
            </w:r>
          </w:p>
        </w:tc>
        <w:tc>
          <w:tcPr>
            <w:tcW w:type="dxa" w:w="775"/>
            <w:shd w:fill="FFFFFF"/>
          </w:tcPr>
          <w:p>
            <w:pPr>
              <w:jc w:val="left"/>
            </w:pPr>
            <w:r/>
            <w:r>
              <w:rPr>
                <w:rFonts w:ascii="Arial" w:hAnsi="Arial"/>
                <w:b w:val="0"/>
                <w:color w:val="1F2937"/>
                <w:sz w:val="14"/>
              </w:rPr>
              <w:t>SOP section 5.6 does not specify timeline for IPS completion or link it to an account activation gate. No Operations verification step described in SOP. IPS template ID not referenced.</w:t>
            </w:r>
          </w:p>
        </w:tc>
        <w:tc>
          <w:tcPr>
            <w:tcW w:type="dxa" w:w="775"/>
            <w:shd w:fill="FFFFFF"/>
          </w:tcPr>
          <w:p>
            <w:pPr>
              <w:jc w:val="left"/>
            </w:pPr>
            <w:r/>
            <w:r>
              <w:rPr>
                <w:rFonts w:ascii="Arial" w:hAnsi="Arial"/>
                <w:b w:val="0"/>
                <w:color w:val="1F2937"/>
                <w:sz w:val="14"/>
              </w:rPr>
              <w:t>2024-04-22</w:t>
            </w:r>
          </w:p>
        </w:tc>
      </w:tr>
      <w:tr>
        <w:tc>
          <w:tcPr>
            <w:tcW w:type="dxa" w:w="775"/>
            <w:shd w:fill="F8FAFC"/>
          </w:tcPr>
          <w:p>
            <w:pPr>
              <w:jc w:val="left"/>
            </w:pPr>
            <w:r/>
            <w:r>
              <w:rPr>
                <w:rFonts w:ascii="Arial" w:hAnsi="Arial"/>
                <w:b w:val="0"/>
                <w:color w:val="1F2937"/>
                <w:sz w:val="14"/>
              </w:rPr>
              <w:t>RE-007</w:t>
            </w:r>
          </w:p>
        </w:tc>
        <w:tc>
          <w:tcPr>
            <w:tcW w:type="dxa" w:w="775"/>
            <w:shd w:fill="F8FAFC"/>
          </w:tcPr>
          <w:p>
            <w:pPr>
              <w:jc w:val="left"/>
            </w:pPr>
            <w:r/>
            <w:r>
              <w:rPr>
                <w:rFonts w:ascii="Arial" w:hAnsi="Arial"/>
                <w:b w:val="0"/>
                <w:color w:val="1F2937"/>
                <w:sz w:val="14"/>
              </w:rPr>
              <w:t>Unauthorized Account Access or System Provisioning Error</w:t>
            </w:r>
          </w:p>
        </w:tc>
        <w:tc>
          <w:tcPr>
            <w:tcW w:type="dxa" w:w="775"/>
            <w:shd w:fill="F8FAFC"/>
          </w:tcPr>
          <w:p>
            <w:pPr>
              <w:jc w:val="left"/>
            </w:pPr>
            <w:r/>
            <w:r>
              <w:rPr>
                <w:rFonts w:ascii="Arial" w:hAnsi="Arial"/>
                <w:b w:val="0"/>
                <w:color w:val="1F2937"/>
                <w:sz w:val="14"/>
              </w:rPr>
              <w:t>Wealth Operations - System Access</w:t>
            </w:r>
          </w:p>
        </w:tc>
        <w:tc>
          <w:tcPr>
            <w:tcW w:type="dxa" w:w="775"/>
            <w:shd w:fill="F8FAFC"/>
          </w:tcPr>
          <w:p>
            <w:pPr>
              <w:jc w:val="left"/>
            </w:pPr>
            <w:r/>
            <w:r>
              <w:rPr>
                <w:rFonts w:ascii="Arial" w:hAnsi="Arial"/>
                <w:b w:val="0"/>
                <w:color w:val="1F2937"/>
                <w:sz w:val="14"/>
              </w:rPr>
              <w:t>Wealth management account provisioned in the account management system with incorrect access permissions or parameters, enabling unauthorized transactions or breaching client mandate.</w:t>
            </w:r>
          </w:p>
        </w:tc>
        <w:tc>
          <w:tcPr>
            <w:tcW w:type="dxa" w:w="775"/>
            <w:shd w:fill="F8FAFC"/>
          </w:tcPr>
          <w:p>
            <w:pPr>
              <w:jc w:val="left"/>
            </w:pPr>
            <w:r/>
            <w:r>
              <w:rPr>
                <w:rFonts w:ascii="Arial" w:hAnsi="Arial"/>
                <w:b w:val="0"/>
                <w:color w:val="1F2937"/>
                <w:sz w:val="14"/>
              </w:rPr>
              <w:t>Lack of system access controls; no four-eyes check on account provisioning; mandate parameters not verified against IPS.</w:t>
            </w:r>
          </w:p>
        </w:tc>
        <w:tc>
          <w:tcPr>
            <w:tcW w:type="dxa" w:w="775"/>
            <w:shd w:fill="F8FAFC"/>
          </w:tcPr>
          <w:p>
            <w:pPr>
              <w:jc w:val="left"/>
            </w:pPr>
            <w:r/>
            <w:r>
              <w:rPr>
                <w:rFonts w:ascii="Arial" w:hAnsi="Arial"/>
                <w:b w:val="0"/>
                <w:color w:val="1F2937"/>
                <w:sz w:val="14"/>
              </w:rPr>
              <w:t>Client financial harm; mandate breach; internal control failure; potential regulatory finding.</w:t>
            </w:r>
          </w:p>
        </w:tc>
        <w:tc>
          <w:tcPr>
            <w:tcW w:type="dxa" w:w="775"/>
            <w:shd w:fill="F8FAFC"/>
          </w:tcPr>
          <w:p>
            <w:pPr>
              <w:jc w:val="left"/>
            </w:pPr>
            <w:r/>
            <w:r>
              <w:rPr>
                <w:rFonts w:ascii="Arial" w:hAnsi="Arial"/>
                <w:b w:val="0"/>
                <w:color w:val="1F2937"/>
                <w:sz w:val="14"/>
              </w:rPr>
              <w:t>High</w:t>
            </w:r>
          </w:p>
        </w:tc>
        <w:tc>
          <w:tcPr>
            <w:tcW w:type="dxa" w:w="775"/>
            <w:shd w:fill="F8FAFC"/>
          </w:tcPr>
          <w:p>
            <w:pPr>
              <w:jc w:val="left"/>
            </w:pPr>
            <w:r/>
            <w:r>
              <w:rPr>
                <w:rFonts w:ascii="Arial" w:hAnsi="Arial"/>
                <w:b w:val="0"/>
                <w:color w:val="1F2937"/>
                <w:sz w:val="14"/>
              </w:rPr>
              <w:t>Medium</w:t>
            </w:r>
          </w:p>
        </w:tc>
        <w:tc>
          <w:tcPr>
            <w:tcW w:type="dxa" w:w="775"/>
            <w:shd w:fill="F8FAFC"/>
          </w:tcPr>
          <w:p>
            <w:pPr>
              <w:jc w:val="left"/>
            </w:pPr>
            <w:r/>
            <w:r>
              <w:rPr>
                <w:rFonts w:ascii="Arial" w:hAnsi="Arial"/>
                <w:b w:val="0"/>
                <w:color w:val="1F2937"/>
                <w:sz w:val="14"/>
              </w:rPr>
              <w:t>Supervisory new account approval (C-05); IPS mandate setup review (C-08).</w:t>
            </w:r>
          </w:p>
        </w:tc>
        <w:tc>
          <w:tcPr>
            <w:tcW w:type="dxa" w:w="775"/>
            <w:shd w:fill="F8FAFC"/>
          </w:tcPr>
          <w:p>
            <w:pPr>
              <w:jc w:val="left"/>
            </w:pPr>
            <w:r/>
            <w:r>
              <w:rPr>
                <w:rFonts w:ascii="Arial" w:hAnsi="Arial"/>
                <w:b w:val="0"/>
                <w:color w:val="1F2937"/>
                <w:sz w:val="14"/>
              </w:rPr>
              <w:t>C-05, C-08</w:t>
            </w:r>
          </w:p>
        </w:tc>
        <w:tc>
          <w:tcPr>
            <w:tcW w:type="dxa" w:w="775"/>
            <w:shd w:fill="F8FAFC"/>
          </w:tcPr>
          <w:p>
            <w:pPr>
              <w:jc w:val="left"/>
            </w:pPr>
            <w:r/>
            <w:r>
              <w:rPr>
                <w:rFonts w:ascii="Arial" w:hAnsi="Arial"/>
                <w:b w:val="0"/>
                <w:color w:val="1F2937"/>
                <w:sz w:val="14"/>
              </w:rPr>
              <w:t>NI 31-103; POL-WM-COMPL-002. Internal control deficiency finding. Potential civil liability.</w:t>
            </w:r>
          </w:p>
        </w:tc>
        <w:tc>
          <w:tcPr>
            <w:tcW w:type="dxa" w:w="775"/>
            <w:shd w:fill="F8FAFC"/>
          </w:tcPr>
          <w:p>
            <w:pPr>
              <w:jc w:val="left"/>
            </w:pPr>
            <w:r/>
            <w:r>
              <w:rPr>
                <w:rFonts w:ascii="Arial" w:hAnsi="Arial"/>
                <w:b w:val="0"/>
                <w:color w:val="1F2937"/>
                <w:sz w:val="14"/>
              </w:rPr>
              <w:t>Four-eyes check on account activation not defined in current SOP. No Operations verification step for mandate parameters against IPS explicitly described.</w:t>
            </w:r>
          </w:p>
        </w:tc>
        <w:tc>
          <w:tcPr>
            <w:tcW w:type="dxa" w:w="775"/>
            <w:shd w:fill="F8FAFC"/>
          </w:tcPr>
          <w:p>
            <w:pPr>
              <w:jc w:val="left"/>
            </w:pPr>
            <w:r/>
            <w:r>
              <w:rPr>
                <w:rFonts w:ascii="Arial" w:hAnsi="Arial"/>
                <w:b w:val="0"/>
                <w:color w:val="1F2937"/>
                <w:sz w:val="14"/>
              </w:rPr>
              <w:t>2024-06-30</w:t>
            </w:r>
          </w:p>
        </w:tc>
      </w:tr>
      <w:tr>
        <w:tc>
          <w:tcPr>
            <w:tcW w:type="dxa" w:w="775"/>
            <w:shd w:fill="FFFFFF"/>
          </w:tcPr>
          <w:p>
            <w:pPr>
              <w:jc w:val="left"/>
            </w:pPr>
            <w:r/>
            <w:r>
              <w:rPr>
                <w:rFonts w:ascii="Arial" w:hAnsi="Arial"/>
                <w:b w:val="0"/>
                <w:color w:val="1F2937"/>
                <w:sz w:val="14"/>
              </w:rPr>
              <w:t>RE-008</w:t>
            </w:r>
          </w:p>
        </w:tc>
        <w:tc>
          <w:tcPr>
            <w:tcW w:type="dxa" w:w="775"/>
            <w:shd w:fill="FFFFFF"/>
          </w:tcPr>
          <w:p>
            <w:pPr>
              <w:jc w:val="left"/>
            </w:pPr>
            <w:r/>
            <w:r>
              <w:rPr>
                <w:rFonts w:ascii="Arial" w:hAnsi="Arial"/>
                <w:b w:val="0"/>
                <w:color w:val="1F2937"/>
                <w:sz w:val="14"/>
              </w:rPr>
              <w:t>KYC Refresh Not Performed - Stale Client Profile</w:t>
            </w:r>
          </w:p>
        </w:tc>
        <w:tc>
          <w:tcPr>
            <w:tcW w:type="dxa" w:w="775"/>
            <w:shd w:fill="FFFFFF"/>
          </w:tcPr>
          <w:p>
            <w:pPr>
              <w:jc w:val="left"/>
            </w:pPr>
            <w:r/>
            <w:r>
              <w:rPr>
                <w:rFonts w:ascii="Arial" w:hAnsi="Arial"/>
                <w:b w:val="0"/>
                <w:color w:val="1F2937"/>
                <w:sz w:val="14"/>
              </w:rPr>
              <w:t>Ongoing Client Management</w:t>
            </w:r>
          </w:p>
        </w:tc>
        <w:tc>
          <w:tcPr>
            <w:tcW w:type="dxa" w:w="775"/>
            <w:shd w:fill="FFFFFF"/>
          </w:tcPr>
          <w:p>
            <w:pPr>
              <w:jc w:val="left"/>
            </w:pPr>
            <w:r/>
            <w:r>
              <w:rPr>
                <w:rFonts w:ascii="Arial" w:hAnsi="Arial"/>
                <w:b w:val="0"/>
                <w:color w:val="1F2937"/>
                <w:sz w:val="14"/>
              </w:rPr>
              <w:t>KYC information not refreshed at the required interval or upon material change, resulting in investment recommendations based on a stale or inaccurate client profile.</w:t>
            </w:r>
          </w:p>
        </w:tc>
        <w:tc>
          <w:tcPr>
            <w:tcW w:type="dxa" w:w="775"/>
            <w:shd w:fill="FFFFFF"/>
          </w:tcPr>
          <w:p>
            <w:pPr>
              <w:jc w:val="left"/>
            </w:pPr>
            <w:r/>
            <w:r>
              <w:rPr>
                <w:rFonts w:ascii="Arial" w:hAnsi="Arial"/>
                <w:b w:val="0"/>
                <w:color w:val="1F2937"/>
                <w:sz w:val="14"/>
              </w:rPr>
              <w:t>KYC refresh schedule not differentiated by client risk rating in SOP; no automated system trigger for refresh; IA/RM responsible for initiating without system support.</w:t>
            </w:r>
          </w:p>
        </w:tc>
        <w:tc>
          <w:tcPr>
            <w:tcW w:type="dxa" w:w="775"/>
            <w:shd w:fill="FFFFFF"/>
          </w:tcPr>
          <w:p>
            <w:pPr>
              <w:jc w:val="left"/>
            </w:pPr>
            <w:r/>
            <w:r>
              <w:rPr>
                <w:rFonts w:ascii="Arial" w:hAnsi="Arial"/>
                <w:b w:val="0"/>
                <w:color w:val="1F2937"/>
                <w:sz w:val="14"/>
              </w:rPr>
              <w:t>CIRO Rule 3200 violation; unsuitable recommendations based on stale data; regulatory examination finding.</w:t>
            </w:r>
          </w:p>
        </w:tc>
        <w:tc>
          <w:tcPr>
            <w:tcW w:type="dxa" w:w="775"/>
            <w:shd w:fill="FFFFFF"/>
          </w:tcPr>
          <w:p>
            <w:pPr>
              <w:jc w:val="left"/>
            </w:pPr>
            <w:r/>
            <w:r>
              <w:rPr>
                <w:rFonts w:ascii="Arial" w:hAnsi="Arial"/>
                <w:b w:val="0"/>
                <w:color w:val="1F2937"/>
                <w:sz w:val="14"/>
              </w:rPr>
              <w:t>High</w:t>
            </w:r>
          </w:p>
        </w:tc>
        <w:tc>
          <w:tcPr>
            <w:tcW w:type="dxa" w:w="775"/>
            <w:shd w:fill="FFFFFF"/>
          </w:tcPr>
          <w:p>
            <w:pPr>
              <w:jc w:val="left"/>
            </w:pPr>
            <w:r/>
            <w:r>
              <w:rPr>
                <w:rFonts w:ascii="Arial" w:hAnsi="Arial"/>
                <w:b w:val="0"/>
                <w:color w:val="1F2937"/>
                <w:sz w:val="14"/>
              </w:rPr>
              <w:t>Medium</w:t>
            </w:r>
          </w:p>
        </w:tc>
        <w:tc>
          <w:tcPr>
            <w:tcW w:type="dxa" w:w="775"/>
            <w:shd w:fill="FFFFFF"/>
          </w:tcPr>
          <w:p>
            <w:pPr>
              <w:jc w:val="left"/>
            </w:pPr>
            <w:r/>
            <w:r>
              <w:rPr>
                <w:rFonts w:ascii="Arial" w:hAnsi="Arial"/>
                <w:b w:val="0"/>
                <w:color w:val="1F2937"/>
                <w:sz w:val="14"/>
              </w:rPr>
              <w:t>Periodic KYC refresh control (C-09).</w:t>
            </w:r>
          </w:p>
        </w:tc>
        <w:tc>
          <w:tcPr>
            <w:tcW w:type="dxa" w:w="775"/>
            <w:shd w:fill="FFFFFF"/>
          </w:tcPr>
          <w:p>
            <w:pPr>
              <w:jc w:val="left"/>
            </w:pPr>
            <w:r/>
            <w:r>
              <w:rPr>
                <w:rFonts w:ascii="Arial" w:hAnsi="Arial"/>
                <w:b w:val="0"/>
                <w:color w:val="1F2937"/>
                <w:sz w:val="14"/>
              </w:rPr>
              <w:t>C-09</w:t>
            </w:r>
          </w:p>
        </w:tc>
        <w:tc>
          <w:tcPr>
            <w:tcW w:type="dxa" w:w="775"/>
            <w:shd w:fill="FFFFFF"/>
          </w:tcPr>
          <w:p>
            <w:pPr>
              <w:jc w:val="left"/>
            </w:pPr>
            <w:r/>
            <w:r>
              <w:rPr>
                <w:rFonts w:ascii="Arial" w:hAnsi="Arial"/>
                <w:b w:val="0"/>
                <w:color w:val="1F2937"/>
                <w:sz w:val="14"/>
              </w:rPr>
              <w:t>CIRO Rule 3200; NI 31-103. CIRO examination finding. Registration conditions.</w:t>
            </w:r>
          </w:p>
        </w:tc>
        <w:tc>
          <w:tcPr>
            <w:tcW w:type="dxa" w:w="775"/>
            <w:shd w:fill="FFFFFF"/>
          </w:tcPr>
          <w:p>
            <w:pPr>
              <w:jc w:val="left"/>
            </w:pPr>
            <w:r/>
            <w:r>
              <w:rPr>
                <w:rFonts w:ascii="Arial" w:hAnsi="Arial"/>
                <w:b w:val="0"/>
                <w:color w:val="1F2937"/>
                <w:sz w:val="14"/>
              </w:rPr>
              <w:t>SOP states 'at least annually or as per risk rating' without specifying the frequency by risk rating. Low-risk clients do not require annual refresh - frequency differentiation by rating absent from SOP.</w:t>
            </w:r>
          </w:p>
        </w:tc>
        <w:tc>
          <w:tcPr>
            <w:tcW w:type="dxa" w:w="775"/>
            <w:shd w:fill="FFFFFF"/>
          </w:tcPr>
          <w:p>
            <w:pPr>
              <w:jc w:val="left"/>
            </w:pPr>
            <w:r/>
            <w:r>
              <w:rPr>
                <w:rFonts w:ascii="Arial" w:hAnsi="Arial"/>
                <w:b w:val="0"/>
                <w:color w:val="1F2937"/>
                <w:sz w:val="14"/>
              </w:rPr>
              <w:t>2024-08-12</w:t>
            </w:r>
          </w:p>
        </w:tc>
      </w:tr>
      <w:tr>
        <w:tc>
          <w:tcPr>
            <w:tcW w:type="dxa" w:w="775"/>
            <w:shd w:fill="F8FAFC"/>
          </w:tcPr>
          <w:p>
            <w:pPr>
              <w:jc w:val="left"/>
            </w:pPr>
            <w:r/>
            <w:r>
              <w:rPr>
                <w:rFonts w:ascii="Arial" w:hAnsi="Arial"/>
                <w:b w:val="0"/>
                <w:color w:val="1F2937"/>
                <w:sz w:val="14"/>
              </w:rPr>
              <w:t>RE-009</w:t>
            </w:r>
          </w:p>
        </w:tc>
        <w:tc>
          <w:tcPr>
            <w:tcW w:type="dxa" w:w="775"/>
            <w:shd w:fill="F8FAFC"/>
          </w:tcPr>
          <w:p>
            <w:pPr>
              <w:jc w:val="left"/>
            </w:pPr>
            <w:r/>
            <w:r>
              <w:rPr>
                <w:rFonts w:ascii="Arial" w:hAnsi="Arial"/>
                <w:b w:val="0"/>
                <w:color w:val="1F2937"/>
                <w:sz w:val="14"/>
              </w:rPr>
              <w:t>Evidence Retention Gap - FINTRAC Compliance Risk</w:t>
            </w:r>
          </w:p>
        </w:tc>
        <w:tc>
          <w:tcPr>
            <w:tcW w:type="dxa" w:w="775"/>
            <w:shd w:fill="F8FAFC"/>
          </w:tcPr>
          <w:p>
            <w:pPr>
              <w:jc w:val="left"/>
            </w:pPr>
            <w:r/>
            <w:r>
              <w:rPr>
                <w:rFonts w:ascii="Arial" w:hAnsi="Arial"/>
                <w:b w:val="0"/>
                <w:color w:val="1F2937"/>
                <w:sz w:val="14"/>
              </w:rPr>
              <w:t>Compliance - Record Keeping</w:t>
            </w:r>
          </w:p>
        </w:tc>
        <w:tc>
          <w:tcPr>
            <w:tcW w:type="dxa" w:w="775"/>
            <w:shd w:fill="F8FAFC"/>
          </w:tcPr>
          <w:p>
            <w:pPr>
              <w:jc w:val="left"/>
            </w:pPr>
            <w:r/>
            <w:r>
              <w:rPr>
                <w:rFonts w:ascii="Arial" w:hAnsi="Arial"/>
                <w:b w:val="0"/>
                <w:color w:val="1F2937"/>
                <w:sz w:val="14"/>
              </w:rPr>
              <w:t>Client identification records, KYC documents, or transaction records not retained for the FINTRAC-mandated 7-year period, or not stored in the approved document management system.</w:t>
            </w:r>
          </w:p>
        </w:tc>
        <w:tc>
          <w:tcPr>
            <w:tcW w:type="dxa" w:w="775"/>
            <w:shd w:fill="F8FAFC"/>
          </w:tcPr>
          <w:p>
            <w:pPr>
              <w:jc w:val="left"/>
            </w:pPr>
            <w:r/>
            <w:r>
              <w:rPr>
                <w:rFonts w:ascii="Arial" w:hAnsi="Arial"/>
                <w:b w:val="0"/>
                <w:color w:val="1F2937"/>
                <w:sz w:val="14"/>
              </w:rPr>
              <w:t>No documented upload timeline; ad hoc file storage by IA/RM; 7-year requirement not communicated in operational SOP; document management system not always used.</w:t>
            </w:r>
          </w:p>
        </w:tc>
        <w:tc>
          <w:tcPr>
            <w:tcW w:type="dxa" w:w="775"/>
            <w:shd w:fill="F8FAFC"/>
          </w:tcPr>
          <w:p>
            <w:pPr>
              <w:jc w:val="left"/>
            </w:pPr>
            <w:r/>
            <w:r>
              <w:rPr>
                <w:rFonts w:ascii="Arial" w:hAnsi="Arial"/>
                <w:b w:val="0"/>
                <w:color w:val="1F2937"/>
                <w:sz w:val="14"/>
              </w:rPr>
              <w:t>PCMLTFA s.6 offence; FINTRAC AMP; inability to respond to FINTRAC examination requests; reputational damage.</w:t>
            </w:r>
          </w:p>
        </w:tc>
        <w:tc>
          <w:tcPr>
            <w:tcW w:type="dxa" w:w="775"/>
            <w:shd w:fill="F8FAFC"/>
          </w:tcPr>
          <w:p>
            <w:pPr>
              <w:jc w:val="left"/>
            </w:pPr>
            <w:r/>
            <w:r>
              <w:rPr>
                <w:rFonts w:ascii="Arial" w:hAnsi="Arial"/>
                <w:b w:val="0"/>
                <w:color w:val="1F2937"/>
                <w:sz w:val="14"/>
              </w:rPr>
              <w:t>Critical</w:t>
            </w:r>
          </w:p>
        </w:tc>
        <w:tc>
          <w:tcPr>
            <w:tcW w:type="dxa" w:w="775"/>
            <w:shd w:fill="F8FAFC"/>
          </w:tcPr>
          <w:p>
            <w:pPr>
              <w:jc w:val="left"/>
            </w:pPr>
            <w:r/>
            <w:r>
              <w:rPr>
                <w:rFonts w:ascii="Arial" w:hAnsi="Arial"/>
                <w:b w:val="0"/>
                <w:color w:val="1F2937"/>
                <w:sz w:val="14"/>
              </w:rPr>
              <w:t>Medium</w:t>
            </w:r>
          </w:p>
        </w:tc>
        <w:tc>
          <w:tcPr>
            <w:tcW w:type="dxa" w:w="775"/>
            <w:shd w:fill="F8FAFC"/>
          </w:tcPr>
          <w:p>
            <w:pPr>
              <w:jc w:val="left"/>
            </w:pPr>
            <w:r/>
            <w:r>
              <w:rPr>
                <w:rFonts w:ascii="Arial" w:hAnsi="Arial"/>
                <w:b w:val="0"/>
                <w:color w:val="1F2937"/>
                <w:sz w:val="14"/>
              </w:rPr>
              <w:t>Client record retention control (C-11).</w:t>
            </w:r>
          </w:p>
        </w:tc>
        <w:tc>
          <w:tcPr>
            <w:tcW w:type="dxa" w:w="775"/>
            <w:shd w:fill="F8FAFC"/>
          </w:tcPr>
          <w:p>
            <w:pPr>
              <w:jc w:val="left"/>
            </w:pPr>
            <w:r/>
            <w:r>
              <w:rPr>
                <w:rFonts w:ascii="Arial" w:hAnsi="Arial"/>
                <w:b w:val="0"/>
                <w:color w:val="1F2937"/>
                <w:sz w:val="14"/>
              </w:rPr>
              <w:t>C-11</w:t>
            </w:r>
          </w:p>
        </w:tc>
        <w:tc>
          <w:tcPr>
            <w:tcW w:type="dxa" w:w="775"/>
            <w:shd w:fill="F8FAFC"/>
          </w:tcPr>
          <w:p>
            <w:pPr>
              <w:jc w:val="left"/>
            </w:pPr>
            <w:r/>
            <w:r>
              <w:rPr>
                <w:rFonts w:ascii="Arial" w:hAnsi="Arial"/>
                <w:b w:val="0"/>
                <w:color w:val="1F2937"/>
                <w:sz w:val="14"/>
              </w:rPr>
              <w:t>PCMLTFA s.6; FINTRAC GL-06E. FINTRAC AMP up to $500K per violation. Potential Direction to Comply. Regulatory examination failure.</w:t>
            </w:r>
          </w:p>
        </w:tc>
        <w:tc>
          <w:tcPr>
            <w:tcW w:type="dxa" w:w="775"/>
            <w:shd w:fill="F8FAFC"/>
          </w:tcPr>
          <w:p>
            <w:pPr>
              <w:jc w:val="left"/>
            </w:pPr>
            <w:r/>
            <w:r>
              <w:rPr>
                <w:rFonts w:ascii="Arial" w:hAnsi="Arial"/>
                <w:b w:val="0"/>
                <w:color w:val="1F2937"/>
                <w:sz w:val="14"/>
              </w:rPr>
              <w:t>FY2024 FINTRAC examination flagged record retention gaps. SOP does not state 7-year retention requirement. No 5-business-day upload deadline in current SOP. Open remediation item - due 30 Jun 2025.</w:t>
            </w:r>
          </w:p>
        </w:tc>
        <w:tc>
          <w:tcPr>
            <w:tcW w:type="dxa" w:w="775"/>
            <w:shd w:fill="F8FAFC"/>
          </w:tcPr>
          <w:p>
            <w:pPr>
              <w:jc w:val="left"/>
            </w:pPr>
            <w:r/>
            <w:r>
              <w:rPr>
                <w:rFonts w:ascii="Arial" w:hAnsi="Arial"/>
                <w:b w:val="0"/>
                <w:color w:val="1F2937"/>
                <w:sz w:val="14"/>
              </w:rPr>
              <w:t>2024-09-05</w:t>
            </w:r>
          </w:p>
        </w:tc>
      </w:tr>
      <w:tr>
        <w:tc>
          <w:tcPr>
            <w:tcW w:type="dxa" w:w="775"/>
            <w:shd w:fill="FFFFFF"/>
          </w:tcPr>
          <w:p>
            <w:pPr>
              <w:jc w:val="left"/>
            </w:pPr>
            <w:r/>
            <w:r>
              <w:rPr>
                <w:rFonts w:ascii="Arial" w:hAnsi="Arial"/>
                <w:b w:val="0"/>
                <w:color w:val="1F2937"/>
                <w:sz w:val="14"/>
              </w:rPr>
              <w:t>RE-010</w:t>
            </w:r>
          </w:p>
        </w:tc>
        <w:tc>
          <w:tcPr>
            <w:tcW w:type="dxa" w:w="775"/>
            <w:shd w:fill="FFFFFF"/>
          </w:tcPr>
          <w:p>
            <w:pPr>
              <w:jc w:val="left"/>
            </w:pPr>
            <w:r/>
            <w:r>
              <w:rPr>
                <w:rFonts w:ascii="Arial" w:hAnsi="Arial"/>
                <w:b w:val="0"/>
                <w:color w:val="1F2937"/>
                <w:sz w:val="14"/>
              </w:rPr>
              <w:t>STR Not Filed or Filed Late</w:t>
            </w:r>
          </w:p>
        </w:tc>
        <w:tc>
          <w:tcPr>
            <w:tcW w:type="dxa" w:w="775"/>
            <w:shd w:fill="FFFFFF"/>
          </w:tcPr>
          <w:p>
            <w:pPr>
              <w:jc w:val="left"/>
            </w:pPr>
            <w:r/>
            <w:r>
              <w:rPr>
                <w:rFonts w:ascii="Arial" w:hAnsi="Arial"/>
                <w:b w:val="0"/>
                <w:color w:val="1F2937"/>
                <w:sz w:val="14"/>
              </w:rPr>
              <w:t>AML / Regulatory Reporting</w:t>
            </w:r>
          </w:p>
        </w:tc>
        <w:tc>
          <w:tcPr>
            <w:tcW w:type="dxa" w:w="775"/>
            <w:shd w:fill="FFFFFF"/>
          </w:tcPr>
          <w:p>
            <w:pPr>
              <w:jc w:val="left"/>
            </w:pPr>
            <w:r/>
            <w:r>
              <w:rPr>
                <w:rFonts w:ascii="Arial" w:hAnsi="Arial"/>
                <w:b w:val="0"/>
                <w:color w:val="1F2937"/>
                <w:sz w:val="14"/>
              </w:rPr>
              <w:t>Suspicious Transaction Report (STR) not filed with FINTRAC, filed late, or filed without required details after reasonable grounds are established.</w:t>
            </w:r>
          </w:p>
        </w:tc>
        <w:tc>
          <w:tcPr>
            <w:tcW w:type="dxa" w:w="775"/>
            <w:shd w:fill="FFFFFF"/>
          </w:tcPr>
          <w:p>
            <w:pPr>
              <w:jc w:val="left"/>
            </w:pPr>
            <w:r/>
            <w:r>
              <w:rPr>
                <w:rFonts w:ascii="Arial" w:hAnsi="Arial"/>
                <w:b w:val="0"/>
                <w:color w:val="1F2937"/>
                <w:sz w:val="14"/>
              </w:rPr>
              <w:t>IA/RM does not escalate suspicious activity; AML Officer does not file promptly; reasonable grounds threshold not clearly defined; no maximum filing timeline in SOP.</w:t>
            </w:r>
          </w:p>
        </w:tc>
        <w:tc>
          <w:tcPr>
            <w:tcW w:type="dxa" w:w="775"/>
            <w:shd w:fill="FFFFFF"/>
          </w:tcPr>
          <w:p>
            <w:pPr>
              <w:jc w:val="left"/>
            </w:pPr>
            <w:r/>
            <w:r>
              <w:rPr>
                <w:rFonts w:ascii="Arial" w:hAnsi="Arial"/>
                <w:b w:val="0"/>
                <w:color w:val="1F2937"/>
                <w:sz w:val="14"/>
              </w:rPr>
              <w:t>PCMLTFA s.7 offence; FINTRAC AMP; facilitation of money laundering or terrorist financing; regulatory sanctions.</w:t>
            </w:r>
          </w:p>
        </w:tc>
        <w:tc>
          <w:tcPr>
            <w:tcW w:type="dxa" w:w="775"/>
            <w:shd w:fill="FFFFFF"/>
          </w:tcPr>
          <w:p>
            <w:pPr>
              <w:jc w:val="left"/>
            </w:pPr>
            <w:r/>
            <w:r>
              <w:rPr>
                <w:rFonts w:ascii="Arial" w:hAnsi="Arial"/>
                <w:b w:val="0"/>
                <w:color w:val="1F2937"/>
                <w:sz w:val="14"/>
              </w:rPr>
              <w:t>Critical</w:t>
            </w:r>
          </w:p>
        </w:tc>
        <w:tc>
          <w:tcPr>
            <w:tcW w:type="dxa" w:w="775"/>
            <w:shd w:fill="FFFFFF"/>
          </w:tcPr>
          <w:p>
            <w:pPr>
              <w:jc w:val="left"/>
            </w:pPr>
            <w:r/>
            <w:r>
              <w:rPr>
                <w:rFonts w:ascii="Arial" w:hAnsi="Arial"/>
                <w:b w:val="0"/>
                <w:color w:val="1F2937"/>
                <w:sz w:val="14"/>
              </w:rPr>
              <w:t>Low</w:t>
            </w:r>
          </w:p>
        </w:tc>
        <w:tc>
          <w:tcPr>
            <w:tcW w:type="dxa" w:w="775"/>
            <w:shd w:fill="FFFFFF"/>
          </w:tcPr>
          <w:p>
            <w:pPr>
              <w:jc w:val="left"/>
            </w:pPr>
            <w:r/>
            <w:r>
              <w:rPr>
                <w:rFonts w:ascii="Arial" w:hAnsi="Arial"/>
                <w:b w:val="0"/>
                <w:color w:val="1F2937"/>
                <w:sz w:val="14"/>
              </w:rPr>
              <w:t>STR escalation and reporting control (C-10).</w:t>
            </w:r>
          </w:p>
        </w:tc>
        <w:tc>
          <w:tcPr>
            <w:tcW w:type="dxa" w:w="775"/>
            <w:shd w:fill="FFFFFF"/>
          </w:tcPr>
          <w:p>
            <w:pPr>
              <w:jc w:val="left"/>
            </w:pPr>
            <w:r/>
            <w:r>
              <w:rPr>
                <w:rFonts w:ascii="Arial" w:hAnsi="Arial"/>
                <w:b w:val="0"/>
                <w:color w:val="1F2937"/>
                <w:sz w:val="14"/>
              </w:rPr>
              <w:t>C-10</w:t>
            </w:r>
          </w:p>
        </w:tc>
        <w:tc>
          <w:tcPr>
            <w:tcW w:type="dxa" w:w="775"/>
            <w:shd w:fill="FFFFFF"/>
          </w:tcPr>
          <w:p>
            <w:pPr>
              <w:jc w:val="left"/>
            </w:pPr>
            <w:r/>
            <w:r>
              <w:rPr>
                <w:rFonts w:ascii="Arial" w:hAnsi="Arial"/>
                <w:b w:val="0"/>
                <w:color w:val="1F2937"/>
                <w:sz w:val="14"/>
              </w:rPr>
              <w:t>PCMLTFA s.7. FINTRAC AMP. Potential criminal referral to RCMP under PCMLTFA. Direction to Comply.</w:t>
            </w:r>
          </w:p>
        </w:tc>
        <w:tc>
          <w:tcPr>
            <w:tcW w:type="dxa" w:w="775"/>
            <w:shd w:fill="FFFFFF"/>
          </w:tcPr>
          <w:p>
            <w:pPr>
              <w:jc w:val="left"/>
            </w:pPr>
            <w:r/>
            <w:r>
              <w:rPr>
                <w:rFonts w:ascii="Arial" w:hAnsi="Arial"/>
                <w:b w:val="0"/>
                <w:color w:val="1F2937"/>
                <w:sz w:val="14"/>
              </w:rPr>
              <w:t>SOP section 7 says 'as soon as practicable' - no maximum timeline stated. FINTRAC guidance recommends within 30 days of establishing reasonable grounds. Specific timeline must be added to SOP.</w:t>
            </w:r>
          </w:p>
        </w:tc>
        <w:tc>
          <w:tcPr>
            <w:tcW w:type="dxa" w:w="775"/>
            <w:shd w:fill="FFFFFF"/>
          </w:tcPr>
          <w:p>
            <w:pPr>
              <w:jc w:val="left"/>
            </w:pPr>
            <w:r/>
            <w:r>
              <w:rPr>
                <w:rFonts w:ascii="Arial" w:hAnsi="Arial"/>
                <w:b w:val="0"/>
                <w:color w:val="1F2937"/>
                <w:sz w:val="14"/>
              </w:rPr>
              <w:t>2024-10-20</w:t>
            </w:r>
          </w:p>
        </w:tc>
      </w:tr>
    </w:tbl>
    <w:p/>
    <w:p>
      <w:pPr>
        <w:pStyle w:val="Heading2"/>
      </w:pPr>
      <w:r>
        <w:t>Risk Heat Map</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fill="00338D"/>
          </w:tcPr>
          <w:p>
            <w:pPr>
              <w:jc w:val="left"/>
            </w:pPr>
            <w:r/>
            <w:r>
              <w:rPr>
                <w:rFonts w:ascii="Arial" w:hAnsi="Arial"/>
                <w:b/>
                <w:color w:val="FFFFFF"/>
                <w:sz w:val="16"/>
              </w:rPr>
              <w:t>Risk Heat Map - Wealth Client Onboarding &amp; KYC</w:t>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r>
      <w:tr>
        <w:tc>
          <w:tcPr>
            <w:tcW w:type="dxa" w:w="1680"/>
            <w:shd w:fill="FFFFFF"/>
          </w:tcPr>
          <w:p>
            <w:pPr>
              <w:jc w:val="left"/>
            </w:pPr>
            <w:r/>
            <w:r>
              <w:rPr>
                <w:rFonts w:ascii="Arial" w:hAnsi="Arial"/>
                <w:b w:val="0"/>
                <w:color w:val="1F2937"/>
                <w:sz w:val="16"/>
              </w:rPr>
              <w:t>Risk ID</w:t>
            </w:r>
          </w:p>
        </w:tc>
        <w:tc>
          <w:tcPr>
            <w:tcW w:type="dxa" w:w="1680"/>
            <w:shd w:fill="FFFFFF"/>
          </w:tcPr>
          <w:p>
            <w:pPr>
              <w:jc w:val="left"/>
            </w:pPr>
            <w:r/>
            <w:r>
              <w:rPr>
                <w:rFonts w:ascii="Arial" w:hAnsi="Arial"/>
                <w:b w:val="0"/>
                <w:color w:val="1F2937"/>
                <w:sz w:val="16"/>
              </w:rPr>
              <w:t>Risk Title</w:t>
            </w:r>
          </w:p>
        </w:tc>
        <w:tc>
          <w:tcPr>
            <w:tcW w:type="dxa" w:w="1680"/>
            <w:shd w:fill="FFFFFF"/>
          </w:tcPr>
          <w:p>
            <w:pPr>
              <w:jc w:val="left"/>
            </w:pPr>
            <w:r/>
            <w:r>
              <w:rPr>
                <w:rFonts w:ascii="Arial" w:hAnsi="Arial"/>
                <w:b w:val="0"/>
                <w:color w:val="1F2937"/>
                <w:sz w:val="16"/>
              </w:rPr>
              <w:t>Severity</w:t>
            </w:r>
          </w:p>
        </w:tc>
        <w:tc>
          <w:tcPr>
            <w:tcW w:type="dxa" w:w="1680"/>
            <w:shd w:fill="FFFFFF"/>
          </w:tcPr>
          <w:p>
            <w:pPr>
              <w:jc w:val="left"/>
            </w:pPr>
            <w:r/>
            <w:r>
              <w:rPr>
                <w:rFonts w:ascii="Arial" w:hAnsi="Arial"/>
                <w:b w:val="0"/>
                <w:color w:val="1F2937"/>
                <w:sz w:val="16"/>
              </w:rPr>
              <w:t>Likelihood</w:t>
            </w:r>
          </w:p>
        </w:tc>
        <w:tc>
          <w:tcPr>
            <w:tcW w:type="dxa" w:w="1680"/>
            <w:shd w:fill="FFFFFF"/>
          </w:tcPr>
          <w:p>
            <w:pPr>
              <w:jc w:val="left"/>
            </w:pPr>
            <w:r/>
            <w:r>
              <w:rPr>
                <w:rFonts w:ascii="Arial" w:hAnsi="Arial"/>
                <w:b w:val="0"/>
                <w:color w:val="1F2937"/>
                <w:sz w:val="16"/>
              </w:rPr>
              <w:t>Linked Controls</w:t>
            </w:r>
          </w:p>
        </w:tc>
        <w:tc>
          <w:tcPr>
            <w:tcW w:type="dxa" w:w="1680"/>
            <w:shd w:fill="FFFFFF"/>
          </w:tcPr>
          <w:p>
            <w:pPr>
              <w:jc w:val="left"/>
            </w:pPr>
            <w:r/>
            <w:r>
              <w:rPr>
                <w:rFonts w:ascii="Arial" w:hAnsi="Arial"/>
                <w:b w:val="0"/>
                <w:color w:val="1F2937"/>
                <w:sz w:val="16"/>
              </w:rPr>
              <w:t>Residual After Controls</w:t>
            </w:r>
          </w:p>
        </w:tc>
      </w:tr>
      <w:tr>
        <w:tc>
          <w:tcPr>
            <w:tcW w:type="dxa" w:w="1680"/>
            <w:shd w:fill="F8FAFC"/>
          </w:tcPr>
          <w:p>
            <w:pPr>
              <w:jc w:val="left"/>
            </w:pPr>
            <w:r/>
            <w:r>
              <w:rPr>
                <w:rFonts w:ascii="Arial" w:hAnsi="Arial"/>
                <w:b w:val="0"/>
                <w:color w:val="1F2937"/>
                <w:sz w:val="16"/>
              </w:rPr>
              <w:t>RE-001</w:t>
            </w:r>
          </w:p>
        </w:tc>
        <w:tc>
          <w:tcPr>
            <w:tcW w:type="dxa" w:w="1680"/>
            <w:shd w:fill="F8FAFC"/>
          </w:tcPr>
          <w:p>
            <w:pPr>
              <w:jc w:val="left"/>
            </w:pPr>
            <w:r/>
            <w:r>
              <w:rPr>
                <w:rFonts w:ascii="Arial" w:hAnsi="Arial"/>
                <w:b w:val="0"/>
                <w:color w:val="1F2937"/>
                <w:sz w:val="16"/>
              </w:rPr>
              <w:t>Incomplete KYC / Missing Client Information</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Medium</w:t>
            </w:r>
          </w:p>
        </w:tc>
        <w:tc>
          <w:tcPr>
            <w:tcW w:type="dxa" w:w="1680"/>
            <w:shd w:fill="F8FAFC"/>
          </w:tcPr>
          <w:p>
            <w:pPr>
              <w:jc w:val="left"/>
            </w:pPr>
            <w:r/>
            <w:r>
              <w:rPr>
                <w:rFonts w:ascii="Arial" w:hAnsi="Arial"/>
                <w:b w:val="0"/>
                <w:color w:val="1F2937"/>
                <w:sz w:val="16"/>
              </w:rPr>
              <w:t>C-01, C-02, C-05</w:t>
            </w:r>
          </w:p>
        </w:tc>
        <w:tc>
          <w:tcPr>
            <w:tcW w:type="dxa" w:w="1680"/>
            <w:shd w:fill="F8FAFC"/>
          </w:tcPr>
          <w:p>
            <w:pPr>
              <w:jc w:val="left"/>
            </w:pPr>
            <w:r/>
            <w:r>
              <w:rPr>
                <w:rFonts w:ascii="Arial" w:hAnsi="Arial"/>
                <w:b w:val="0"/>
                <w:color w:val="1F2937"/>
                <w:sz w:val="16"/>
              </w:rPr>
              <w:t>Medium</w:t>
            </w:r>
          </w:p>
        </w:tc>
      </w:tr>
      <w:tr>
        <w:tc>
          <w:tcPr>
            <w:tcW w:type="dxa" w:w="1680"/>
            <w:shd w:fill="FFFFFF"/>
          </w:tcPr>
          <w:p>
            <w:pPr>
              <w:jc w:val="left"/>
            </w:pPr>
            <w:r/>
            <w:r>
              <w:rPr>
                <w:rFonts w:ascii="Arial" w:hAnsi="Arial"/>
                <w:b w:val="0"/>
                <w:color w:val="1F2937"/>
                <w:sz w:val="16"/>
              </w:rPr>
              <w:t>RE-002</w:t>
            </w:r>
          </w:p>
        </w:tc>
        <w:tc>
          <w:tcPr>
            <w:tcW w:type="dxa" w:w="1680"/>
            <w:shd w:fill="FFFFFF"/>
          </w:tcPr>
          <w:p>
            <w:pPr>
              <w:jc w:val="left"/>
            </w:pPr>
            <w:r/>
            <w:r>
              <w:rPr>
                <w:rFonts w:ascii="Arial" w:hAnsi="Arial"/>
                <w:b w:val="0"/>
                <w:color w:val="1F2937"/>
                <w:sz w:val="16"/>
              </w:rPr>
              <w:t>Unidentified PEP, HIO, or Sanctioned Client</w:t>
            </w:r>
          </w:p>
        </w:tc>
        <w:tc>
          <w:tcPr>
            <w:tcW w:type="dxa" w:w="1680"/>
            <w:shd w:fill="FFFFFF"/>
          </w:tcPr>
          <w:p>
            <w:pPr>
              <w:jc w:val="left"/>
            </w:pPr>
            <w:r/>
            <w:r>
              <w:rPr>
                <w:rFonts w:ascii="Arial" w:hAnsi="Arial"/>
                <w:b w:val="0"/>
                <w:color w:val="1F2937"/>
                <w:sz w:val="16"/>
              </w:rPr>
              <w:t>Critical</w:t>
            </w:r>
          </w:p>
        </w:tc>
        <w:tc>
          <w:tcPr>
            <w:tcW w:type="dxa" w:w="1680"/>
            <w:shd w:fill="FFFFFF"/>
          </w:tcPr>
          <w:p>
            <w:pPr>
              <w:jc w:val="left"/>
            </w:pPr>
            <w:r/>
            <w:r>
              <w:rPr>
                <w:rFonts w:ascii="Arial" w:hAnsi="Arial"/>
                <w:b w:val="0"/>
                <w:color w:val="1F2937"/>
                <w:sz w:val="16"/>
              </w:rPr>
              <w:t>Low</w:t>
            </w:r>
          </w:p>
        </w:tc>
        <w:tc>
          <w:tcPr>
            <w:tcW w:type="dxa" w:w="1680"/>
            <w:shd w:fill="FFFFFF"/>
          </w:tcPr>
          <w:p>
            <w:pPr>
              <w:jc w:val="left"/>
            </w:pPr>
            <w:r/>
            <w:r>
              <w:rPr>
                <w:rFonts w:ascii="Arial" w:hAnsi="Arial"/>
                <w:b w:val="0"/>
                <w:color w:val="1F2937"/>
                <w:sz w:val="16"/>
              </w:rPr>
              <w:t>C-03, C-12</w:t>
            </w:r>
          </w:p>
        </w:tc>
        <w:tc>
          <w:tcPr>
            <w:tcW w:type="dxa" w:w="1680"/>
            <w:shd w:fill="FFFFFF"/>
          </w:tcPr>
          <w:p>
            <w:pPr>
              <w:jc w:val="left"/>
            </w:pPr>
            <w:r/>
            <w:r>
              <w:rPr>
                <w:rFonts w:ascii="Arial" w:hAnsi="Arial"/>
                <w:b w:val="0"/>
                <w:color w:val="1F2937"/>
                <w:sz w:val="16"/>
              </w:rPr>
              <w:t>Low</w:t>
            </w:r>
          </w:p>
        </w:tc>
      </w:tr>
      <w:tr>
        <w:tc>
          <w:tcPr>
            <w:tcW w:type="dxa" w:w="1680"/>
            <w:shd w:fill="F8FAFC"/>
          </w:tcPr>
          <w:p>
            <w:pPr>
              <w:jc w:val="left"/>
            </w:pPr>
            <w:r/>
            <w:r>
              <w:rPr>
                <w:rFonts w:ascii="Arial" w:hAnsi="Arial"/>
                <w:b w:val="0"/>
                <w:color w:val="1F2937"/>
                <w:sz w:val="16"/>
              </w:rPr>
              <w:t>RE-003</w:t>
            </w:r>
          </w:p>
        </w:tc>
        <w:tc>
          <w:tcPr>
            <w:tcW w:type="dxa" w:w="1680"/>
            <w:shd w:fill="F8FAFC"/>
          </w:tcPr>
          <w:p>
            <w:pPr>
              <w:jc w:val="left"/>
            </w:pPr>
            <w:r/>
            <w:r>
              <w:rPr>
                <w:rFonts w:ascii="Arial" w:hAnsi="Arial"/>
                <w:b w:val="0"/>
                <w:color w:val="1F2937"/>
                <w:sz w:val="16"/>
              </w:rPr>
              <w:t>Unsuitable Investment Recommendation</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Medium</w:t>
            </w:r>
          </w:p>
        </w:tc>
        <w:tc>
          <w:tcPr>
            <w:tcW w:type="dxa" w:w="1680"/>
            <w:shd w:fill="F8FAFC"/>
          </w:tcPr>
          <w:p>
            <w:pPr>
              <w:jc w:val="left"/>
            </w:pPr>
            <w:r/>
            <w:r>
              <w:rPr>
                <w:rFonts w:ascii="Arial" w:hAnsi="Arial"/>
                <w:b w:val="0"/>
                <w:color w:val="1F2937"/>
                <w:sz w:val="16"/>
              </w:rPr>
              <w:t>C-04, C-05</w:t>
            </w:r>
          </w:p>
        </w:tc>
        <w:tc>
          <w:tcPr>
            <w:tcW w:type="dxa" w:w="1680"/>
            <w:shd w:fill="F8FAFC"/>
          </w:tcPr>
          <w:p>
            <w:pPr>
              <w:jc w:val="left"/>
            </w:pPr>
            <w:r/>
            <w:r>
              <w:rPr>
                <w:rFonts w:ascii="Arial" w:hAnsi="Arial"/>
                <w:b w:val="0"/>
                <w:color w:val="1F2937"/>
                <w:sz w:val="16"/>
              </w:rPr>
              <w:t>Medium</w:t>
            </w:r>
          </w:p>
        </w:tc>
      </w:tr>
      <w:tr>
        <w:tc>
          <w:tcPr>
            <w:tcW w:type="dxa" w:w="1680"/>
            <w:shd w:fill="FFFFFF"/>
          </w:tcPr>
          <w:p>
            <w:pPr>
              <w:jc w:val="left"/>
            </w:pPr>
            <w:r/>
            <w:r>
              <w:rPr>
                <w:rFonts w:ascii="Arial" w:hAnsi="Arial"/>
                <w:b w:val="0"/>
                <w:color w:val="1F2937"/>
                <w:sz w:val="16"/>
              </w:rPr>
              <w:t>RE-004</w:t>
            </w:r>
          </w:p>
        </w:tc>
        <w:tc>
          <w:tcPr>
            <w:tcW w:type="dxa" w:w="1680"/>
            <w:shd w:fill="FFFFFF"/>
          </w:tcPr>
          <w:p>
            <w:pPr>
              <w:jc w:val="left"/>
            </w:pPr>
            <w:r/>
            <w:r>
              <w:rPr>
                <w:rFonts w:ascii="Arial" w:hAnsi="Arial"/>
                <w:b w:val="0"/>
                <w:color w:val="1F2937"/>
                <w:sz w:val="16"/>
              </w:rPr>
              <w:t>Account Activated Without Required Approvals</w:t>
            </w:r>
          </w:p>
        </w:tc>
        <w:tc>
          <w:tcPr>
            <w:tcW w:type="dxa" w:w="1680"/>
            <w:shd w:fill="FFFFFF"/>
          </w:tcPr>
          <w:p>
            <w:pPr>
              <w:jc w:val="left"/>
            </w:pPr>
            <w:r/>
            <w:r>
              <w:rPr>
                <w:rFonts w:ascii="Arial" w:hAnsi="Arial"/>
                <w:b w:val="0"/>
                <w:color w:val="1F2937"/>
                <w:sz w:val="16"/>
              </w:rPr>
              <w:t>High</w:t>
            </w:r>
          </w:p>
        </w:tc>
        <w:tc>
          <w:tcPr>
            <w:tcW w:type="dxa" w:w="1680"/>
            <w:shd w:fill="FFFFFF"/>
          </w:tcPr>
          <w:p>
            <w:pPr>
              <w:jc w:val="left"/>
            </w:pPr>
            <w:r/>
            <w:r>
              <w:rPr>
                <w:rFonts w:ascii="Arial" w:hAnsi="Arial"/>
                <w:b w:val="0"/>
                <w:color w:val="1F2937"/>
                <w:sz w:val="16"/>
              </w:rPr>
              <w:t>Medium</w:t>
            </w:r>
          </w:p>
        </w:tc>
        <w:tc>
          <w:tcPr>
            <w:tcW w:type="dxa" w:w="1680"/>
            <w:shd w:fill="FFFFFF"/>
          </w:tcPr>
          <w:p>
            <w:pPr>
              <w:jc w:val="left"/>
            </w:pPr>
            <w:r/>
            <w:r>
              <w:rPr>
                <w:rFonts w:ascii="Arial" w:hAnsi="Arial"/>
                <w:b w:val="0"/>
                <w:color w:val="1F2937"/>
                <w:sz w:val="16"/>
              </w:rPr>
              <w:t>C-05</w:t>
            </w:r>
          </w:p>
        </w:tc>
        <w:tc>
          <w:tcPr>
            <w:tcW w:type="dxa" w:w="1680"/>
            <w:shd w:fill="FFFFFF"/>
          </w:tcPr>
          <w:p>
            <w:pPr>
              <w:jc w:val="left"/>
            </w:pPr>
            <w:r/>
            <w:r>
              <w:rPr>
                <w:rFonts w:ascii="Arial" w:hAnsi="Arial"/>
                <w:b w:val="0"/>
                <w:color w:val="1F2937"/>
                <w:sz w:val="16"/>
              </w:rPr>
              <w:t>Medium</w:t>
            </w:r>
          </w:p>
        </w:tc>
      </w:tr>
      <w:tr>
        <w:tc>
          <w:tcPr>
            <w:tcW w:type="dxa" w:w="1680"/>
            <w:shd w:fill="F8FAFC"/>
          </w:tcPr>
          <w:p>
            <w:pPr>
              <w:jc w:val="left"/>
            </w:pPr>
            <w:r/>
            <w:r>
              <w:rPr>
                <w:rFonts w:ascii="Arial" w:hAnsi="Arial"/>
                <w:b w:val="0"/>
                <w:color w:val="1F2937"/>
                <w:sz w:val="16"/>
              </w:rPr>
              <w:t>RE-005</w:t>
            </w:r>
          </w:p>
        </w:tc>
        <w:tc>
          <w:tcPr>
            <w:tcW w:type="dxa" w:w="1680"/>
            <w:shd w:fill="F8FAFC"/>
          </w:tcPr>
          <w:p>
            <w:pPr>
              <w:jc w:val="left"/>
            </w:pPr>
            <w:r/>
            <w:r>
              <w:rPr>
                <w:rFonts w:ascii="Arial" w:hAnsi="Arial"/>
                <w:b w:val="0"/>
                <w:color w:val="1F2937"/>
                <w:sz w:val="16"/>
              </w:rPr>
              <w:t>Insufficient EDD for PEP/HIO or High-Risk Client</w:t>
            </w:r>
          </w:p>
        </w:tc>
        <w:tc>
          <w:tcPr>
            <w:tcW w:type="dxa" w:w="1680"/>
            <w:shd w:fill="F8FAFC"/>
          </w:tcPr>
          <w:p>
            <w:pPr>
              <w:jc w:val="left"/>
            </w:pPr>
            <w:r/>
            <w:r>
              <w:rPr>
                <w:rFonts w:ascii="Arial" w:hAnsi="Arial"/>
                <w:b w:val="0"/>
                <w:color w:val="1F2937"/>
                <w:sz w:val="16"/>
              </w:rPr>
              <w:t>Critical</w:t>
            </w:r>
          </w:p>
        </w:tc>
        <w:tc>
          <w:tcPr>
            <w:tcW w:type="dxa" w:w="1680"/>
            <w:shd w:fill="F8FAFC"/>
          </w:tcPr>
          <w:p>
            <w:pPr>
              <w:jc w:val="left"/>
            </w:pPr>
            <w:r/>
            <w:r>
              <w:rPr>
                <w:rFonts w:ascii="Arial" w:hAnsi="Arial"/>
                <w:b w:val="0"/>
                <w:color w:val="1F2937"/>
                <w:sz w:val="16"/>
              </w:rPr>
              <w:t>Low</w:t>
            </w:r>
          </w:p>
        </w:tc>
        <w:tc>
          <w:tcPr>
            <w:tcW w:type="dxa" w:w="1680"/>
            <w:shd w:fill="F8FAFC"/>
          </w:tcPr>
          <w:p>
            <w:pPr>
              <w:jc w:val="left"/>
            </w:pPr>
            <w:r/>
            <w:r>
              <w:rPr>
                <w:rFonts w:ascii="Arial" w:hAnsi="Arial"/>
                <w:b w:val="0"/>
                <w:color w:val="1F2937"/>
                <w:sz w:val="16"/>
              </w:rPr>
              <w:t>C-06, C-03</w:t>
            </w:r>
          </w:p>
        </w:tc>
        <w:tc>
          <w:tcPr>
            <w:tcW w:type="dxa" w:w="1680"/>
            <w:shd w:fill="F8FAFC"/>
          </w:tcPr>
          <w:p>
            <w:pPr>
              <w:jc w:val="left"/>
            </w:pPr>
            <w:r/>
            <w:r>
              <w:rPr>
                <w:rFonts w:ascii="Arial" w:hAnsi="Arial"/>
                <w:b w:val="0"/>
                <w:color w:val="1F2937"/>
                <w:sz w:val="16"/>
              </w:rPr>
              <w:t>Low</w:t>
            </w:r>
          </w:p>
        </w:tc>
      </w:tr>
      <w:tr>
        <w:tc>
          <w:tcPr>
            <w:tcW w:type="dxa" w:w="1680"/>
            <w:shd w:fill="FFFFFF"/>
          </w:tcPr>
          <w:p>
            <w:pPr>
              <w:jc w:val="left"/>
            </w:pPr>
            <w:r/>
            <w:r>
              <w:rPr>
                <w:rFonts w:ascii="Arial" w:hAnsi="Arial"/>
                <w:b w:val="0"/>
                <w:color w:val="1F2937"/>
                <w:sz w:val="16"/>
              </w:rPr>
              <w:t>RE-006</w:t>
            </w:r>
          </w:p>
        </w:tc>
        <w:tc>
          <w:tcPr>
            <w:tcW w:type="dxa" w:w="1680"/>
            <w:shd w:fill="FFFFFF"/>
          </w:tcPr>
          <w:p>
            <w:pPr>
              <w:jc w:val="left"/>
            </w:pPr>
            <w:r/>
            <w:r>
              <w:rPr>
                <w:rFonts w:ascii="Arial" w:hAnsi="Arial"/>
                <w:b w:val="0"/>
                <w:color w:val="1F2937"/>
                <w:sz w:val="16"/>
              </w:rPr>
              <w:t>IPS Not Completed Before Discretionary Trading</w:t>
            </w:r>
          </w:p>
        </w:tc>
        <w:tc>
          <w:tcPr>
            <w:tcW w:type="dxa" w:w="1680"/>
            <w:shd w:fill="FFFFFF"/>
          </w:tcPr>
          <w:p>
            <w:pPr>
              <w:jc w:val="left"/>
            </w:pPr>
            <w:r/>
            <w:r>
              <w:rPr>
                <w:rFonts w:ascii="Arial" w:hAnsi="Arial"/>
                <w:b w:val="0"/>
                <w:color w:val="1F2937"/>
                <w:sz w:val="16"/>
              </w:rPr>
              <w:t>High</w:t>
            </w:r>
          </w:p>
        </w:tc>
        <w:tc>
          <w:tcPr>
            <w:tcW w:type="dxa" w:w="1680"/>
            <w:shd w:fill="FFFFFF"/>
          </w:tcPr>
          <w:p>
            <w:pPr>
              <w:jc w:val="left"/>
            </w:pPr>
            <w:r/>
            <w:r>
              <w:rPr>
                <w:rFonts w:ascii="Arial" w:hAnsi="Arial"/>
                <w:b w:val="0"/>
                <w:color w:val="1F2937"/>
                <w:sz w:val="16"/>
              </w:rPr>
              <w:t>Medium</w:t>
            </w:r>
          </w:p>
        </w:tc>
        <w:tc>
          <w:tcPr>
            <w:tcW w:type="dxa" w:w="1680"/>
            <w:shd w:fill="FFFFFF"/>
          </w:tcPr>
          <w:p>
            <w:pPr>
              <w:jc w:val="left"/>
            </w:pPr>
            <w:r/>
            <w:r>
              <w:rPr>
                <w:rFonts w:ascii="Arial" w:hAnsi="Arial"/>
                <w:b w:val="0"/>
                <w:color w:val="1F2937"/>
                <w:sz w:val="16"/>
              </w:rPr>
              <w:t>C-08</w:t>
            </w:r>
          </w:p>
        </w:tc>
        <w:tc>
          <w:tcPr>
            <w:tcW w:type="dxa" w:w="1680"/>
            <w:shd w:fill="FFFFFF"/>
          </w:tcPr>
          <w:p>
            <w:pPr>
              <w:jc w:val="left"/>
            </w:pPr>
            <w:r/>
            <w:r>
              <w:rPr>
                <w:rFonts w:ascii="Arial" w:hAnsi="Arial"/>
                <w:b w:val="0"/>
                <w:color w:val="1F2937"/>
                <w:sz w:val="16"/>
              </w:rPr>
              <w:t>Medium</w:t>
            </w:r>
          </w:p>
        </w:tc>
      </w:tr>
      <w:tr>
        <w:tc>
          <w:tcPr>
            <w:tcW w:type="dxa" w:w="1680"/>
            <w:shd w:fill="F8FAFC"/>
          </w:tcPr>
          <w:p>
            <w:pPr>
              <w:jc w:val="left"/>
            </w:pPr>
            <w:r/>
            <w:r>
              <w:rPr>
                <w:rFonts w:ascii="Arial" w:hAnsi="Arial"/>
                <w:b w:val="0"/>
                <w:color w:val="1F2937"/>
                <w:sz w:val="16"/>
              </w:rPr>
              <w:t>RE-007</w:t>
            </w:r>
          </w:p>
        </w:tc>
        <w:tc>
          <w:tcPr>
            <w:tcW w:type="dxa" w:w="1680"/>
            <w:shd w:fill="F8FAFC"/>
          </w:tcPr>
          <w:p>
            <w:pPr>
              <w:jc w:val="left"/>
            </w:pPr>
            <w:r/>
            <w:r>
              <w:rPr>
                <w:rFonts w:ascii="Arial" w:hAnsi="Arial"/>
                <w:b w:val="0"/>
                <w:color w:val="1F2937"/>
                <w:sz w:val="16"/>
              </w:rPr>
              <w:t>Unauthorized Account Access / Provisioning Error</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Medium</w:t>
            </w:r>
          </w:p>
        </w:tc>
        <w:tc>
          <w:tcPr>
            <w:tcW w:type="dxa" w:w="1680"/>
            <w:shd w:fill="F8FAFC"/>
          </w:tcPr>
          <w:p>
            <w:pPr>
              <w:jc w:val="left"/>
            </w:pPr>
            <w:r/>
            <w:r>
              <w:rPr>
                <w:rFonts w:ascii="Arial" w:hAnsi="Arial"/>
                <w:b w:val="0"/>
                <w:color w:val="1F2937"/>
                <w:sz w:val="16"/>
              </w:rPr>
              <w:t>C-05, C-08</w:t>
            </w:r>
          </w:p>
        </w:tc>
        <w:tc>
          <w:tcPr>
            <w:tcW w:type="dxa" w:w="1680"/>
            <w:shd w:fill="F8FAFC"/>
          </w:tcPr>
          <w:p>
            <w:pPr>
              <w:jc w:val="left"/>
            </w:pPr>
            <w:r/>
            <w:r>
              <w:rPr>
                <w:rFonts w:ascii="Arial" w:hAnsi="Arial"/>
                <w:b w:val="0"/>
                <w:color w:val="1F2937"/>
                <w:sz w:val="16"/>
              </w:rPr>
              <w:t>Medium</w:t>
            </w:r>
          </w:p>
        </w:tc>
      </w:tr>
      <w:tr>
        <w:tc>
          <w:tcPr>
            <w:tcW w:type="dxa" w:w="1680"/>
            <w:shd w:fill="FFFFFF"/>
          </w:tcPr>
          <w:p>
            <w:pPr>
              <w:jc w:val="left"/>
            </w:pPr>
            <w:r/>
            <w:r>
              <w:rPr>
                <w:rFonts w:ascii="Arial" w:hAnsi="Arial"/>
                <w:b w:val="0"/>
                <w:color w:val="1F2937"/>
                <w:sz w:val="16"/>
              </w:rPr>
              <w:t>RE-008</w:t>
            </w:r>
          </w:p>
        </w:tc>
        <w:tc>
          <w:tcPr>
            <w:tcW w:type="dxa" w:w="1680"/>
            <w:shd w:fill="FFFFFF"/>
          </w:tcPr>
          <w:p>
            <w:pPr>
              <w:jc w:val="left"/>
            </w:pPr>
            <w:r/>
            <w:r>
              <w:rPr>
                <w:rFonts w:ascii="Arial" w:hAnsi="Arial"/>
                <w:b w:val="0"/>
                <w:color w:val="1F2937"/>
                <w:sz w:val="16"/>
              </w:rPr>
              <w:t>KYC Refresh Not Performed - Stale Client Profile</w:t>
            </w:r>
          </w:p>
        </w:tc>
        <w:tc>
          <w:tcPr>
            <w:tcW w:type="dxa" w:w="1680"/>
            <w:shd w:fill="FFFFFF"/>
          </w:tcPr>
          <w:p>
            <w:pPr>
              <w:jc w:val="left"/>
            </w:pPr>
            <w:r/>
            <w:r>
              <w:rPr>
                <w:rFonts w:ascii="Arial" w:hAnsi="Arial"/>
                <w:b w:val="0"/>
                <w:color w:val="1F2937"/>
                <w:sz w:val="16"/>
              </w:rPr>
              <w:t>High</w:t>
            </w:r>
          </w:p>
        </w:tc>
        <w:tc>
          <w:tcPr>
            <w:tcW w:type="dxa" w:w="1680"/>
            <w:shd w:fill="FFFFFF"/>
          </w:tcPr>
          <w:p>
            <w:pPr>
              <w:jc w:val="left"/>
            </w:pPr>
            <w:r/>
            <w:r>
              <w:rPr>
                <w:rFonts w:ascii="Arial" w:hAnsi="Arial"/>
                <w:b w:val="0"/>
                <w:color w:val="1F2937"/>
                <w:sz w:val="16"/>
              </w:rPr>
              <w:t>Medium</w:t>
            </w:r>
          </w:p>
        </w:tc>
        <w:tc>
          <w:tcPr>
            <w:tcW w:type="dxa" w:w="1680"/>
            <w:shd w:fill="FFFFFF"/>
          </w:tcPr>
          <w:p>
            <w:pPr>
              <w:jc w:val="left"/>
            </w:pPr>
            <w:r/>
            <w:r>
              <w:rPr>
                <w:rFonts w:ascii="Arial" w:hAnsi="Arial"/>
                <w:b w:val="0"/>
                <w:color w:val="1F2937"/>
                <w:sz w:val="16"/>
              </w:rPr>
              <w:t>C-09</w:t>
            </w:r>
          </w:p>
        </w:tc>
        <w:tc>
          <w:tcPr>
            <w:tcW w:type="dxa" w:w="1680"/>
            <w:shd w:fill="FFFFFF"/>
          </w:tcPr>
          <w:p>
            <w:pPr>
              <w:jc w:val="left"/>
            </w:pPr>
            <w:r/>
            <w:r>
              <w:rPr>
                <w:rFonts w:ascii="Arial" w:hAnsi="Arial"/>
                <w:b w:val="0"/>
                <w:color w:val="1F2937"/>
                <w:sz w:val="16"/>
              </w:rPr>
              <w:t>Medium</w:t>
            </w:r>
          </w:p>
        </w:tc>
      </w:tr>
      <w:tr>
        <w:tc>
          <w:tcPr>
            <w:tcW w:type="dxa" w:w="1680"/>
            <w:shd w:fill="F8FAFC"/>
          </w:tcPr>
          <w:p>
            <w:pPr>
              <w:jc w:val="left"/>
            </w:pPr>
            <w:r/>
            <w:r>
              <w:rPr>
                <w:rFonts w:ascii="Arial" w:hAnsi="Arial"/>
                <w:b w:val="0"/>
                <w:color w:val="1F2937"/>
                <w:sz w:val="16"/>
              </w:rPr>
              <w:t>RE-009</w:t>
            </w:r>
          </w:p>
        </w:tc>
        <w:tc>
          <w:tcPr>
            <w:tcW w:type="dxa" w:w="1680"/>
            <w:shd w:fill="F8FAFC"/>
          </w:tcPr>
          <w:p>
            <w:pPr>
              <w:jc w:val="left"/>
            </w:pPr>
            <w:r/>
            <w:r>
              <w:rPr>
                <w:rFonts w:ascii="Arial" w:hAnsi="Arial"/>
                <w:b w:val="0"/>
                <w:color w:val="1F2937"/>
                <w:sz w:val="16"/>
              </w:rPr>
              <w:t>Evidence Retention Gap - FINTRAC Risk</w:t>
            </w:r>
          </w:p>
        </w:tc>
        <w:tc>
          <w:tcPr>
            <w:tcW w:type="dxa" w:w="1680"/>
            <w:shd w:fill="F8FAFC"/>
          </w:tcPr>
          <w:p>
            <w:pPr>
              <w:jc w:val="left"/>
            </w:pPr>
            <w:r/>
            <w:r>
              <w:rPr>
                <w:rFonts w:ascii="Arial" w:hAnsi="Arial"/>
                <w:b w:val="0"/>
                <w:color w:val="1F2937"/>
                <w:sz w:val="16"/>
              </w:rPr>
              <w:t>Critical</w:t>
            </w:r>
          </w:p>
        </w:tc>
        <w:tc>
          <w:tcPr>
            <w:tcW w:type="dxa" w:w="1680"/>
            <w:shd w:fill="F8FAFC"/>
          </w:tcPr>
          <w:p>
            <w:pPr>
              <w:jc w:val="left"/>
            </w:pPr>
            <w:r/>
            <w:r>
              <w:rPr>
                <w:rFonts w:ascii="Arial" w:hAnsi="Arial"/>
                <w:b w:val="0"/>
                <w:color w:val="1F2937"/>
                <w:sz w:val="16"/>
              </w:rPr>
              <w:t>Medium</w:t>
            </w:r>
          </w:p>
        </w:tc>
        <w:tc>
          <w:tcPr>
            <w:tcW w:type="dxa" w:w="1680"/>
            <w:shd w:fill="F8FAFC"/>
          </w:tcPr>
          <w:p>
            <w:pPr>
              <w:jc w:val="left"/>
            </w:pPr>
            <w:r/>
            <w:r>
              <w:rPr>
                <w:rFonts w:ascii="Arial" w:hAnsi="Arial"/>
                <w:b w:val="0"/>
                <w:color w:val="1F2937"/>
                <w:sz w:val="16"/>
              </w:rPr>
              <w:t>C-11</w:t>
            </w:r>
          </w:p>
        </w:tc>
        <w:tc>
          <w:tcPr>
            <w:tcW w:type="dxa" w:w="1680"/>
            <w:shd w:fill="F8FAFC"/>
          </w:tcPr>
          <w:p>
            <w:pPr>
              <w:jc w:val="left"/>
            </w:pPr>
            <w:r/>
            <w:r>
              <w:rPr>
                <w:rFonts w:ascii="Arial" w:hAnsi="Arial"/>
                <w:b w:val="0"/>
                <w:color w:val="1F2937"/>
                <w:sz w:val="16"/>
              </w:rPr>
              <w:t>Low</w:t>
            </w:r>
          </w:p>
        </w:tc>
      </w:tr>
      <w:tr>
        <w:tc>
          <w:tcPr>
            <w:tcW w:type="dxa" w:w="1680"/>
            <w:shd w:fill="FFFFFF"/>
          </w:tcPr>
          <w:p>
            <w:pPr>
              <w:jc w:val="left"/>
            </w:pPr>
            <w:r/>
            <w:r>
              <w:rPr>
                <w:rFonts w:ascii="Arial" w:hAnsi="Arial"/>
                <w:b w:val="0"/>
                <w:color w:val="1F2937"/>
                <w:sz w:val="16"/>
              </w:rPr>
              <w:t>RE-010</w:t>
            </w:r>
          </w:p>
        </w:tc>
        <w:tc>
          <w:tcPr>
            <w:tcW w:type="dxa" w:w="1680"/>
            <w:shd w:fill="FFFFFF"/>
          </w:tcPr>
          <w:p>
            <w:pPr>
              <w:jc w:val="left"/>
            </w:pPr>
            <w:r/>
            <w:r>
              <w:rPr>
                <w:rFonts w:ascii="Arial" w:hAnsi="Arial"/>
                <w:b w:val="0"/>
                <w:color w:val="1F2937"/>
                <w:sz w:val="16"/>
              </w:rPr>
              <w:t>STR Not Filed or Filed Late</w:t>
            </w:r>
          </w:p>
        </w:tc>
        <w:tc>
          <w:tcPr>
            <w:tcW w:type="dxa" w:w="1680"/>
            <w:shd w:fill="FFFFFF"/>
          </w:tcPr>
          <w:p>
            <w:pPr>
              <w:jc w:val="left"/>
            </w:pPr>
            <w:r/>
            <w:r>
              <w:rPr>
                <w:rFonts w:ascii="Arial" w:hAnsi="Arial"/>
                <w:b w:val="0"/>
                <w:color w:val="1F2937"/>
                <w:sz w:val="16"/>
              </w:rPr>
              <w:t>Critical</w:t>
            </w:r>
          </w:p>
        </w:tc>
        <w:tc>
          <w:tcPr>
            <w:tcW w:type="dxa" w:w="1680"/>
            <w:shd w:fill="FFFFFF"/>
          </w:tcPr>
          <w:p>
            <w:pPr>
              <w:jc w:val="left"/>
            </w:pPr>
            <w:r/>
            <w:r>
              <w:rPr>
                <w:rFonts w:ascii="Arial" w:hAnsi="Arial"/>
                <w:b w:val="0"/>
                <w:color w:val="1F2937"/>
                <w:sz w:val="16"/>
              </w:rPr>
              <w:t>Low</w:t>
            </w:r>
          </w:p>
        </w:tc>
        <w:tc>
          <w:tcPr>
            <w:tcW w:type="dxa" w:w="1680"/>
            <w:shd w:fill="FFFFFF"/>
          </w:tcPr>
          <w:p>
            <w:pPr>
              <w:jc w:val="left"/>
            </w:pPr>
            <w:r/>
            <w:r>
              <w:rPr>
                <w:rFonts w:ascii="Arial" w:hAnsi="Arial"/>
                <w:b w:val="0"/>
                <w:color w:val="1F2937"/>
                <w:sz w:val="16"/>
              </w:rPr>
              <w:t>C-10</w:t>
            </w:r>
          </w:p>
        </w:tc>
        <w:tc>
          <w:tcPr>
            <w:tcW w:type="dxa" w:w="1680"/>
            <w:shd w:fill="FFFFFF"/>
          </w:tcPr>
          <w:p>
            <w:pPr>
              <w:jc w:val="left"/>
            </w:pPr>
            <w:r/>
            <w:r>
              <w:rPr>
                <w:rFonts w:ascii="Arial" w:hAnsi="Arial"/>
                <w:b w:val="0"/>
                <w:color w:val="1F2937"/>
                <w:sz w:val="16"/>
              </w:rPr>
              <w:t>Low</w:t>
            </w:r>
          </w:p>
        </w:tc>
      </w:tr>
    </w:tbl>
    <w:p/>
    <w:p>
      <w:pPr>
        <w:pStyle w:val="Heading1"/>
      </w:pPr>
      <w:r>
        <w:t>Document Overview</w:t>
      </w:r>
    </w:p>
    <w:p>
      <w:r>
        <w:t>CONTROL TEST EVIDENCE</w:t>
      </w:r>
    </w:p>
    <w:p>
      <w:r>
        <w:t>Wealth Client Onboarding and KYC - Q1 2025</w:t>
      </w:r>
    </w:p>
    <w:p>
      <w:r>
        <w:t>Wealth Management &amp; Private Banking</w:t>
      </w:r>
    </w:p>
    <w:p>
      <w:r>
        <w:t>DRAFT NOTICE: This document is draft control test evidence. Results have not been formally accepted by Compliance or Branch Management. Do not distribute, cite in regulatory submissions, or share with external parties prior to sign-off.</w:t>
      </w:r>
    </w:p>
    <w:p>
      <w:pPr>
        <w:pStyle w:val="Heading1"/>
      </w:pPr>
      <w:r>
        <w:t>1. Testing Objective</w:t>
      </w:r>
    </w:p>
    <w:p>
      <w:r>
        <w:t>This document records the Q1 2025 control testing results for five key controls in the Wealth Client Onboarding and KYC process at the Wealth Management and Private Banking division. Testing was performed to assess control design adequacy and operating effectiveness for the period January to March 2025.</w:t>
      </w:r>
    </w:p>
    <w:p>
      <w:r>
        <w:t>Controls selected for testing were prioritised based on:</w:t>
      </w:r>
    </w:p>
    <w:p>
      <w:r>
        <w:t>Regulatory exposure - controls linked to PCMLTFA, FINTRAC, CIRO Rule 3200/3400, and NI 31-103 obligations</w:t>
      </w:r>
    </w:p>
    <w:p>
      <w:r>
        <w:t>FY2024 FINTRAC examination - record retention and AML screening gaps identified during the Q3 2024 examination</w:t>
      </w:r>
    </w:p>
    <w:p>
      <w:r>
        <w:t>Internal risk register - open items on RE-001, RE-003, RE-008, and RE-009</w:t>
      </w:r>
    </w:p>
    <w:p>
      <w:r>
        <w:t>Prior testing findings - suitability assessment and exception logging controls had no prior testing record</w:t>
      </w:r>
    </w:p>
    <w:p>
      <w:pPr>
        <w:pStyle w:val="Heading1"/>
      </w:pPr>
      <w:r>
        <w:t>2. Population and Sample</w:t>
      </w:r>
    </w:p>
    <w:p>
      <w:r>
        <w:t>Testing was based on the population of new wealth management account openings in Q1 2025 (158 accounts) and the full population of exceptions recorded in the Compliance Exception Log during the same period (6 exceptions). For C-09 (KYC Refresh), the population was 342 active accounts with a KYC refresh due date falling in Q1 2025.</w:t>
      </w:r>
    </w:p>
    <w:p>
      <w:pPr>
        <w:pStyle w:val="Heading1"/>
      </w:pPr>
      <w:r>
        <w:t>3. Detailed Test Results</w:t>
      </w:r>
    </w:p>
    <w:p>
      <w:pPr>
        <w:pStyle w:val="Heading2"/>
      </w:pPr>
      <w:r>
        <w:t>3.1 C-01 NAAF Completeness Review</w:t>
      </w:r>
    </w:p>
    <w:p>
      <w:r>
        <w:t>Control description:</w:t>
      </w:r>
    </w:p>
    <w:p>
      <w:r>
        <w:t>Branch Operations reviews the NAAF for completeness against the required field checklist before account activation. NAAFs not meeting the completeness standard are returned to the IA/RM. Supervisor override requires Branch Manager approval.</w:t>
      </w:r>
    </w:p>
    <w:p>
      <w:r>
        <w:t>Testing approach:</w:t>
      </w:r>
    </w:p>
    <w:p>
      <w:r>
        <w:t>Inspected NAAF records for 15 randomly selected new accounts. Verified completeness of all required CIRO Rule 3200 fields. Where override was used, verified Branch Manager approval.</w:t>
      </w:r>
    </w:p>
    <w:p>
      <w:r>
        <w:t>Result: EXCEPTIONS IDENTIFIED - 3 of 15 samples</w:t>
      </w:r>
    </w:p>
    <w:p>
      <w:r>
        <w:t>Exceptions:</w:t>
      </w:r>
    </w:p>
    <w:p>
      <w:r>
        <w:t>3 of 15 NAAFs: Account activated with at least one mandatory field incomplete. In 2 cases, source of funds was missing. In 1 case, the PEP/HIO self-declaration field was left blank.</w:t>
      </w:r>
    </w:p>
    <w:p>
      <w:r>
        <w:t>In 2 of the 3 exceptions, the IA/RM completeness certification was present but the NAAF was nonetheless routed without the missing field - indicating the certification was applied without complete review.</w:t>
      </w:r>
    </w:p>
    <w:p>
      <w:r>
        <w:t>In 1 exception, the Branch Operations completeness override was triggered but no Branch Manager approval record was found in the system.</w:t>
      </w:r>
    </w:p>
    <w:p>
      <w:r>
        <w:t>Findings and observations:</w:t>
      </w:r>
    </w:p>
    <w:p>
      <w:r>
        <w:t>The completeness check is operating with exceptions. The missing PEP/HIO declaration in one sample creates a direct PCMLTFA compliance risk - if the client is a PEP or HIO, EDD obligations were not triggered. The SOP (section 5.2) does not reference the completeness check control or the override approval requirement, making it difficult to enforce consistently.</w:t>
      </w:r>
    </w:p>
    <w:p>
      <w:r>
        <w:t>Recommendation:</w:t>
      </w:r>
    </w:p>
    <w:p>
      <w:r>
        <w:t>Enforce mandatory Branch Manager approval in the account management system before completeness override is accepted. Update SOP section 5.2 to explicitly reference the NAAF completeness check and the override approval requirement. Ensure PEP/HIO declaration is a hard-required field in the system that cannot be bypassed.</w:t>
      </w:r>
    </w:p>
    <w:p>
      <w:r>
        <w:t>Severity: Medium | Open / Remediation Required | Owner: Branch Operations + Compliance</w:t>
        <w:br/>
        <w:t>Regulatory Reference: CIRO Rule 3200; NI 31-103 s.13.2</w:t>
      </w:r>
    </w:p>
    <w:p>
      <w:pPr>
        <w:pStyle w:val="Heading2"/>
      </w:pPr>
      <w:r>
        <w:t>3.2 C-03 AML and Sanctions Screening</w:t>
      </w:r>
    </w:p>
    <w:p>
      <w:r>
        <w:t>Control description:</w:t>
      </w:r>
    </w:p>
    <w:p>
      <w:r>
        <w:t>The AML/ATF Officer screens all new clients against Canadian sanctions (SEMA, Criminal Code, PCMLTFA), OFAC, UN Consolidated List, PEP/HIO databases, and adverse media using the approved screening platform before account opening. Results are documented with platform name, date, and outcome.</w:t>
      </w:r>
    </w:p>
    <w:p>
      <w:r>
        <w:t>Result: EFFECTIVE - NO EXCEPTIONS - 0 of 15 samples</w:t>
      </w:r>
    </w:p>
    <w:p>
      <w:r>
        <w:t>All 15 sampled accounts had a completed AML screening record with platform name, date, list version, and outcome documented. No exceptions identified.</w:t>
      </w:r>
    </w:p>
    <w:p>
      <w:r>
        <w:t>Observations:</w:t>
      </w:r>
    </w:p>
    <w:p>
      <w:r>
        <w:t>The approved screening platform was consistently identified in records, but the SOP (section 5.3) does not name the platform - creating a risk that a different or non-approved tool could be used if the platform name is not known to all users.</w:t>
      </w:r>
    </w:p>
    <w:p>
      <w:r>
        <w:t>SOP section 5.3 does not specify the disposition process for accounts with a positive match under review. In 2 cases reviewed, accounts were placed on a manual hold, but this step was not documented in SOP procedure.</w:t>
      </w:r>
    </w:p>
    <w:p>
      <w:r>
        <w:t>Annual re-screening of the existing client population (C-12) was out of scope for this test cycle. Recommend including in Q2 2025 testing.</w:t>
      </w:r>
    </w:p>
    <w:p>
      <w:r>
        <w:t>Severity: N/A | Effective - Monitoring Recommendations Only | Owner: Compliance - AML/ATF Officer</w:t>
        <w:br/>
        <w:t>Regulatory Reference: PCMLTFA s.9.3; FINTRAC GL-01</w:t>
      </w:r>
    </w:p>
    <w:p>
      <w:pPr>
        <w:pStyle w:val="Heading2"/>
      </w:pPr>
      <w:r>
        <w:t>3.3 C-04 Suitability Assessment - New Account</w:t>
      </w:r>
    </w:p>
    <w:p>
      <w:r>
        <w:t>Control description:</w:t>
      </w:r>
    </w:p>
    <w:p>
      <w:r>
        <w:t>The IA/RM completes a documented suitability assessment before making any investment recommendation or accepting account instructions. The assessment confirms strategy alignment with the client's risk tolerance, objectives, time horizon, financial situation, and investment knowledge.</w:t>
      </w:r>
    </w:p>
    <w:p>
      <w:r>
        <w:t>Result: EXCEPTIONS IDENTIFIED - 2 of 15 samples</w:t>
      </w:r>
    </w:p>
    <w:p>
      <w:r>
        <w:t>Exceptions:</w:t>
      </w:r>
    </w:p>
    <w:p>
      <w:r>
        <w:t>2 of 15 accounts: No suitability assessment documentation found in the client file. The NAAF was complete, but no separate suitability assessment record existed. In both cases, trading had commenced on the account.</w:t>
      </w:r>
    </w:p>
    <w:p>
      <w:r>
        <w:t>In 1 of the 2 exceptions, the IA/RM indicated (upon inquiry) that the suitability assessment was discussed verbally with the client but not documented. Verbal assessments are not compliant with NI 31-103 s.13.3 documentation requirements.</w:t>
      </w:r>
    </w:p>
    <w:p>
      <w:r>
        <w:t>Findings and observations:</w:t>
      </w:r>
    </w:p>
    <w:p>
      <w:r>
        <w:t>The suitability assessment is not consistently documented at account opening. The current SOP (section 5.4) does not reference CIRO Rule 3200 or NI 31-103, which are the specific regulatory requirements mandating the assessment and its documentation. Without these references, IA/RMs may not understand the regulatory basis or the documentation requirement. Trading on accounts without a documented suitability assessment constitutes a NI 31-103 violation.</w:t>
      </w:r>
    </w:p>
    <w:p>
      <w:r>
        <w:t>Recommendation:</w:t>
      </w:r>
    </w:p>
    <w:p>
      <w:r>
        <w:t>Update SOP section 5.4 to explicitly reference CIRO Rule 3200 and NI 31-103 s.13.3-13.4 as the regulatory basis for suitability assessment. Add a requirement that a documented suitability assessment must be on file before any trading commences. Consider a system gate that blocks account activation until a suitability assessment is uploaded.</w:t>
      </w:r>
    </w:p>
    <w:p>
      <w:r>
        <w:t>Severity: High | Open / Immediate Remediation Required | Owner: IA/RM + Compliance - Suitability Review</w:t>
        <w:br/>
        <w:t>Regulatory Reference: CIRO Rule 3200; NI 31-103 s.13.3-13.4</w:t>
      </w:r>
    </w:p>
    <w:p>
      <w:pPr>
        <w:pStyle w:val="Heading2"/>
      </w:pPr>
      <w:r>
        <w:t>3.4 C-07 Exception Approval and Logging</w:t>
      </w:r>
    </w:p>
    <w:p>
      <w:r>
        <w:t>Control description:</w:t>
      </w:r>
    </w:p>
    <w:p>
      <w:r>
        <w:t>Exceptions to standard onboarding requirements are submitted to Compliance for review and approval. All exceptions are recorded in the Compliance Exception Log and reviewed at the quarterly Compliance Management Committee.</w:t>
      </w:r>
    </w:p>
    <w:p>
      <w:r>
        <w:t>Population: 6 exceptions recorded in the Compliance Exception Log during Q1 2025 - full population tested (100% census).</w:t>
      </w:r>
    </w:p>
    <w:p>
      <w:r>
        <w:t>Result: EXCEPTIONS IDENTIFIED - 2 of 6 records + 1 EDD gap</w:t>
      </w:r>
    </w:p>
    <w:p>
      <w:r>
        <w:t>Exceptions:</w:t>
      </w:r>
    </w:p>
    <w:p>
      <w:r>
        <w:t>2 of 6 exception records: Exception logged in the system but written Compliance approval was absent. In 1 case, a verbal approval was referenced in notes; in the other, no approval reference was present.</w:t>
      </w:r>
    </w:p>
    <w:p>
      <w:r>
        <w:t>1 of 6 exceptions (EDD gap): The exception related to a high-risk client where AML Officer review was required. The exception was approved by a Suitability Compliance officer rather than the AML/ATF Officer. The SOP does not differentiate between Compliance - Suitability and Compliance - AML/ATF for exception approval, creating an approval authority ambiguity.</w:t>
      </w:r>
    </w:p>
    <w:p>
      <w:r>
        <w:t>0 of 6 exceptions had a documented quarterly Compliance Management Committee review item tracing back to the specific exception. Committee minutes were not cross-referenced to exception log entries.</w:t>
      </w:r>
    </w:p>
    <w:p>
      <w:r>
        <w:t>Findings and observations:</w:t>
      </w:r>
    </w:p>
    <w:p>
      <w:r>
        <w:t>The exception approval process lacks specificity in the current SOP. Section 8 does not differentiate between who reviews non-regulatory exceptions versus regulatory exceptions, nor does it name the specific Compliance role (AML/ATF Officer vs. Suitability Compliance) responsible for different exception types. The quarterly Committee review is described in the SOP but the linkage between exception log entries and Committee minutes is not enforced.</w:t>
      </w:r>
    </w:p>
    <w:p>
      <w:r>
        <w:t>Recommendation:</w:t>
      </w:r>
    </w:p>
    <w:p>
      <w:r>
        <w:t>Update SOP section 8 to: (a) specify Compliance - AML/ATF Officer as the approver for exceptions involving PCMLTFA, FINTRAC, or AML/ATF requirements; (b) specify Compliance - Suitability Review as the approver for suitability-related exceptions; (c) require written approval in the Compliance Exception Log for all exceptions; (d) require exception log entries to be cross-referenced in quarterly Committee minutes.</w:t>
      </w:r>
    </w:p>
    <w:p>
      <w:r>
        <w:t>Severity: High | Open / Immediate Remediation Required | Owner: Compliance - AML/ATF Officer + Suitability Review</w:t>
        <w:br/>
        <w:t>Regulatory Reference: PCMLTFA; CIRO Rule 3400; POL-WM-COMPL-002</w:t>
      </w:r>
    </w:p>
    <w:p>
      <w:pPr>
        <w:pStyle w:val="Heading2"/>
      </w:pPr>
      <w:r>
        <w:t>3.5 C-09 Periodic KYC Refresh</w:t>
      </w:r>
    </w:p>
    <w:p>
      <w:r>
        <w:t>Control description:</w:t>
      </w:r>
    </w:p>
    <w:p>
      <w:r>
        <w:t>KYC information is reviewed and updated on a risk-rated frequency: Low - every 3 years; Medium - annually; High - semi-annually. Refresh is also triggered by material change in client circumstances.</w:t>
      </w:r>
    </w:p>
    <w:p>
      <w:r>
        <w:t>Population: 342 active client accounts with a KYC refresh due date in Q1 2025. Risk-stratified sample of 20 accounts (8 High, 8 Medium, 4 Low).</w:t>
      </w:r>
    </w:p>
    <w:p>
      <w:r>
        <w:t>Result: EXCEPTIONS IDENTIFIED - 4 of 20 samples</w:t>
      </w:r>
    </w:p>
    <w:p>
      <w:r>
        <w:t>Exceptions:</w:t>
      </w:r>
    </w:p>
    <w:p>
      <w:r>
        <w:t>4 of 20 accounts: KYC refresh past due at the time of testing. In 3 cases, High-risk client accounts were overdue by more than 90 days beyond the semi-annual requirement. In 1 case, a Medium-risk account was overdue by more than 6 months beyond the annual requirement.</w:t>
      </w:r>
    </w:p>
    <w:p>
      <w:r>
        <w:t>In 2 of the 4 exceptions, there was no record of any communication or outreach to the client to initiate the KYC refresh.</w:t>
      </w:r>
    </w:p>
    <w:p>
      <w:r>
        <w:t>In all 4 exceptions, the IA/RM was responsible for initiating the KYC refresh. There is no system-generated reminder or automated alert in the account management platform for approaching refresh dates.</w:t>
      </w:r>
    </w:p>
    <w:p>
      <w:r>
        <w:t>Findings and observations:</w:t>
      </w:r>
    </w:p>
    <w:p>
      <w:r>
        <w:t>The KYC refresh control is operating with exceptions, particularly for High-risk accounts where regulatory expectations are highest. The current SOP (section 5.7) states that KYC is refreshed 'at least annually or as per the risk rating' without specifying the frequency by risk rating level. This means IA/RMs cannot determine the correct refresh cycle from the SOP alone. There is no system-generated alert or workflow trigger to support the refresh requirement, placing the entire burden on the IA/RM to self-manage compliance.</w:t>
      </w:r>
    </w:p>
    <w:p>
      <w:r>
        <w:t>Recommendation:</w:t>
      </w:r>
    </w:p>
    <w:p>
      <w:r>
        <w:t>Update SOP section 5.7 to specify KYC refresh frequency by risk rating: Low - every 3 years; Medium - annually; High - semi-annually. Request Technology to implement automated refresh due-date alerts in the account management system. For High-risk accounts, consider requiring Compliance sign-off on overdue KYC refresh remediation.</w:t>
      </w:r>
    </w:p>
    <w:p>
      <w:r>
        <w:t>Severity: High | Open / Immediate Remediation Required | Owner: Investment Advisors / RM + Compliance - Suitability</w:t>
        <w:br/>
        <w:t>Regulatory Reference: CIRO Rule 3200; NI 31-103; POL-WM-COMPL-002</w:t>
      </w:r>
    </w:p>
    <w:p>
      <w:pPr>
        <w:pStyle w:val="Heading1"/>
      </w:pPr>
      <w:r>
        <w:t>5. Required Follow-up Actions</w:t>
      </w:r>
    </w:p>
    <w:p>
      <w:r>
        <w:t>The following remediation actions are required and must be tracked in the Issues Action Log:</w:t>
      </w:r>
    </w:p>
    <w:p>
      <w:r>
        <w:t>C-01: Branch Operations to enforce mandatory Branch Manager approval for NAAF completeness override in account management system. PEP/HIO declaration to be a mandatory system-enforced field. SOP section 5.2 to be updated.</w:t>
      </w:r>
    </w:p>
    <w:p>
      <w:r>
        <w:t>C-04: Compliance - Suitability Review to issue guidance to all IA/RMs on documented suitability assessment requirements. Consider system gate. SOP section 5.4 to reference CIRO Rule 3200 and NI 31-103 s.13.3-13.4.</w:t>
      </w:r>
    </w:p>
    <w:p>
      <w:r>
        <w:t>C-07: Compliance to update exception approval process to differentiate AML/ATF Officer and Suitability Review approval authorities. Written approval to be mandatory in Exception Log. SOP section 8 to be updated.</w:t>
      </w:r>
    </w:p>
    <w:p>
      <w:r>
        <w:t>C-09: SOP section 5.7 to specify KYC refresh frequency by risk rating. Technology to implement automated refresh alerts. IA/RM management to address the 4 overdue accounts identified in testing immediately.</w:t>
      </w:r>
    </w:p>
    <w:p>
      <w:r>
        <w:t>All findings to be presented at the next Compliance Management Committee meeting. Remediation confirmed before Q2 2025 control testing cycle commences.</w:t>
      </w:r>
    </w:p>
    <w:p>
      <w:r>
        <w:t>REGULATORY NOTICE: Findings related to C-04 (suitability) and C-09 (KYC refresh) constitute potential CIRO Rule 3200 violations. Compliance must assess whether regulatory self-disclosure is required and consult with Legal before the next regulatory reporting deadline.</w:t>
      </w:r>
    </w:p>
    <w:p>
      <w:r>
        <w:t>This document is CONFIDENTIAL. It is draft evidence and must not be distributed externally or cited in regulatory submissions prior to formal sign-off by Compliance.</w:t>
      </w:r>
    </w:p>
    <w:tbl>
      <w:tblPr>
        <w:tblStyle w:val="TableGrid"/>
        <w:tblW w:type="auto" w:w="0"/>
        <w:tblLayout w:type="autofit"/>
        <w:tblLook w:firstColumn="1" w:firstRow="1" w:lastColumn="0" w:lastRow="0" w:noHBand="0" w:noVBand="1" w:val="04A0"/>
      </w:tblPr>
      <w:tblGrid>
        <w:gridCol w:w="5040"/>
        <w:gridCol w:w="5040"/>
      </w:tblGrid>
      <w:tr>
        <w:tc>
          <w:tcPr>
            <w:tcW w:type="dxa" w:w="5040"/>
            <w:shd w:fill="00338D"/>
          </w:tcPr>
          <w:p>
            <w:pPr>
              <w:jc w:val="left"/>
            </w:pPr>
            <w:r/>
            <w:r>
              <w:rPr>
                <w:rFonts w:ascii="Arial" w:hAnsi="Arial"/>
                <w:b/>
                <w:color w:val="FFFFFF"/>
                <w:sz w:val="16"/>
              </w:rPr>
              <w:t>Document Reference:</w:t>
            </w:r>
          </w:p>
        </w:tc>
        <w:tc>
          <w:tcPr>
            <w:tcW w:type="dxa" w:w="5040"/>
            <w:shd w:fill="00338D"/>
          </w:tcPr>
          <w:p>
            <w:pPr>
              <w:jc w:val="left"/>
            </w:pPr>
            <w:r/>
            <w:r>
              <w:rPr>
                <w:rFonts w:ascii="Arial" w:hAnsi="Arial"/>
                <w:b/>
                <w:color w:val="FFFFFF"/>
                <w:sz w:val="16"/>
              </w:rPr>
              <w:t>CTEST-WM-KYC-Q1-2025</w:t>
            </w:r>
          </w:p>
        </w:tc>
      </w:tr>
      <w:tr>
        <w:tc>
          <w:tcPr>
            <w:tcW w:type="dxa" w:w="5040"/>
            <w:shd w:fill="FFFFFF"/>
          </w:tcPr>
          <w:p>
            <w:pPr>
              <w:jc w:val="left"/>
            </w:pPr>
            <w:r/>
            <w:r>
              <w:rPr>
                <w:rFonts w:ascii="Arial" w:hAnsi="Arial"/>
                <w:b w:val="0"/>
                <w:color w:val="1F2937"/>
                <w:sz w:val="16"/>
              </w:rPr>
              <w:t>Testing Period:</w:t>
            </w:r>
          </w:p>
        </w:tc>
        <w:tc>
          <w:tcPr>
            <w:tcW w:type="dxa" w:w="5040"/>
            <w:shd w:fill="FFFFFF"/>
          </w:tcPr>
          <w:p>
            <w:pPr>
              <w:jc w:val="left"/>
            </w:pPr>
            <w:r/>
            <w:r>
              <w:rPr>
                <w:rFonts w:ascii="Arial" w:hAnsi="Arial"/>
                <w:b w:val="0"/>
                <w:color w:val="1F2937"/>
                <w:sz w:val="16"/>
              </w:rPr>
              <w:t>January 2025 - March 2025</w:t>
            </w:r>
          </w:p>
        </w:tc>
      </w:tr>
      <w:tr>
        <w:tc>
          <w:tcPr>
            <w:tcW w:type="dxa" w:w="5040"/>
            <w:shd w:fill="F8FAFC"/>
          </w:tcPr>
          <w:p>
            <w:pPr>
              <w:jc w:val="left"/>
            </w:pPr>
            <w:r/>
            <w:r>
              <w:rPr>
                <w:rFonts w:ascii="Arial" w:hAnsi="Arial"/>
                <w:b w:val="0"/>
                <w:color w:val="1F2937"/>
                <w:sz w:val="16"/>
              </w:rPr>
              <w:t>Prepared By:</w:t>
            </w:r>
          </w:p>
        </w:tc>
        <w:tc>
          <w:tcPr>
            <w:tcW w:type="dxa" w:w="5040"/>
            <w:shd w:fill="F8FAFC"/>
          </w:tcPr>
          <w:p>
            <w:pPr>
              <w:jc w:val="left"/>
            </w:pPr>
            <w:r/>
            <w:r>
              <w:rPr>
                <w:rFonts w:ascii="Arial" w:hAnsi="Arial"/>
                <w:b w:val="0"/>
                <w:color w:val="1F2937"/>
                <w:sz w:val="16"/>
              </w:rPr>
              <w:t>Control Testing</w:t>
            </w:r>
          </w:p>
        </w:tc>
      </w:tr>
      <w:tr>
        <w:tc>
          <w:tcPr>
            <w:tcW w:type="dxa" w:w="5040"/>
            <w:shd w:fill="FFFFFF"/>
          </w:tcPr>
          <w:p>
            <w:pPr>
              <w:jc w:val="left"/>
            </w:pPr>
            <w:r/>
            <w:r>
              <w:rPr>
                <w:rFonts w:ascii="Arial" w:hAnsi="Arial"/>
                <w:b w:val="0"/>
                <w:color w:val="1F2937"/>
                <w:sz w:val="16"/>
              </w:rPr>
              <w:t>Reviewed By:</w:t>
            </w:r>
          </w:p>
        </w:tc>
        <w:tc>
          <w:tcPr>
            <w:tcW w:type="dxa" w:w="5040"/>
            <w:shd w:fill="FFFFFF"/>
          </w:tcPr>
          <w:p>
            <w:pPr>
              <w:jc w:val="left"/>
            </w:pPr>
            <w:r/>
            <w:r>
              <w:rPr>
                <w:rFonts w:ascii="Arial" w:hAnsi="Arial"/>
                <w:b w:val="0"/>
                <w:color w:val="1F2937"/>
                <w:sz w:val="16"/>
              </w:rPr>
              <w:t>PENDING - Compliance Sign-off Required</w:t>
            </w:r>
          </w:p>
        </w:tc>
      </w:tr>
      <w:tr>
        <w:tc>
          <w:tcPr>
            <w:tcW w:type="dxa" w:w="5040"/>
            <w:shd w:fill="F8FAFC"/>
          </w:tcPr>
          <w:p>
            <w:pPr>
              <w:jc w:val="left"/>
            </w:pPr>
            <w:r/>
            <w:r>
              <w:rPr>
                <w:rFonts w:ascii="Arial" w:hAnsi="Arial"/>
                <w:b w:val="0"/>
                <w:color w:val="1F2937"/>
                <w:sz w:val="16"/>
              </w:rPr>
              <w:t>Related SOP:</w:t>
            </w:r>
          </w:p>
        </w:tc>
        <w:tc>
          <w:tcPr>
            <w:tcW w:type="dxa" w:w="5040"/>
            <w:shd w:fill="F8FAFC"/>
          </w:tcPr>
          <w:p>
            <w:pPr>
              <w:jc w:val="left"/>
            </w:pPr>
            <w:r/>
            <w:r>
              <w:rPr>
                <w:rFonts w:ascii="Arial" w:hAnsi="Arial"/>
                <w:b w:val="0"/>
                <w:color w:val="1F2937"/>
                <w:sz w:val="16"/>
              </w:rPr>
              <w:t>SOP-WM-KYC-ONBOARD-003 v3.1</w:t>
            </w:r>
          </w:p>
        </w:tc>
      </w:tr>
      <w:tr>
        <w:tc>
          <w:tcPr>
            <w:tcW w:type="dxa" w:w="5040"/>
            <w:shd w:fill="FFFFFF"/>
          </w:tcPr>
          <w:p>
            <w:pPr>
              <w:jc w:val="left"/>
            </w:pPr>
            <w:r/>
            <w:r>
              <w:rPr>
                <w:rFonts w:ascii="Arial" w:hAnsi="Arial"/>
                <w:b w:val="0"/>
                <w:color w:val="1F2937"/>
                <w:sz w:val="16"/>
              </w:rPr>
              <w:t>Related RCM:</w:t>
            </w:r>
          </w:p>
        </w:tc>
        <w:tc>
          <w:tcPr>
            <w:tcW w:type="dxa" w:w="5040"/>
            <w:shd w:fill="FFFFFF"/>
          </w:tcPr>
          <w:p>
            <w:pPr>
              <w:jc w:val="left"/>
            </w:pPr>
            <w:r/>
            <w:r>
              <w:rPr>
                <w:rFonts w:ascii="Arial" w:hAnsi="Arial"/>
                <w:b w:val="0"/>
                <w:color w:val="1F2937"/>
                <w:sz w:val="16"/>
              </w:rPr>
              <w:t>RCM-WM-KYC-001</w:t>
            </w:r>
          </w:p>
        </w:tc>
      </w:tr>
      <w:tr>
        <w:tc>
          <w:tcPr>
            <w:tcW w:type="dxa" w:w="5040"/>
            <w:shd w:fill="F8FAFC"/>
          </w:tcPr>
          <w:p>
            <w:pPr>
              <w:jc w:val="left"/>
            </w:pPr>
            <w:r/>
            <w:r>
              <w:rPr>
                <w:rFonts w:ascii="Arial" w:hAnsi="Arial"/>
                <w:b w:val="0"/>
                <w:color w:val="1F2937"/>
                <w:sz w:val="16"/>
              </w:rPr>
              <w:t>Regulatory Framework:</w:t>
            </w:r>
          </w:p>
        </w:tc>
        <w:tc>
          <w:tcPr>
            <w:tcW w:type="dxa" w:w="5040"/>
            <w:shd w:fill="F8FAFC"/>
          </w:tcPr>
          <w:p>
            <w:pPr>
              <w:jc w:val="left"/>
            </w:pPr>
            <w:r/>
            <w:r>
              <w:rPr>
                <w:rFonts w:ascii="Arial" w:hAnsi="Arial"/>
                <w:b w:val="0"/>
                <w:color w:val="1F2937"/>
                <w:sz w:val="16"/>
              </w:rPr>
              <w:t>PCMLTFA / FINTRAC / CIRO Rules 3200 &amp; 3400 / NI 31-103</w:t>
            </w:r>
          </w:p>
        </w:tc>
      </w:tr>
    </w:tbl>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shd w:fill="00338D"/>
          </w:tcPr>
          <w:p>
            <w:pPr>
              <w:jc w:val="left"/>
            </w:pPr>
            <w:r/>
            <w:r>
              <w:rPr>
                <w:rFonts w:ascii="Arial" w:hAnsi="Arial"/>
                <w:b/>
                <w:color w:val="FFFFFF"/>
                <w:sz w:val="16"/>
              </w:rPr>
              <w:t>Control Tested</w:t>
            </w:r>
          </w:p>
        </w:tc>
        <w:tc>
          <w:tcPr>
            <w:tcW w:type="dxa" w:w="2016"/>
            <w:shd w:fill="00338D"/>
          </w:tcPr>
          <w:p>
            <w:pPr>
              <w:jc w:val="left"/>
            </w:pPr>
            <w:r/>
            <w:r>
              <w:rPr>
                <w:rFonts w:ascii="Arial" w:hAnsi="Arial"/>
                <w:b/>
                <w:color w:val="FFFFFF"/>
                <w:sz w:val="16"/>
              </w:rPr>
              <w:t>Population</w:t>
            </w:r>
          </w:p>
        </w:tc>
        <w:tc>
          <w:tcPr>
            <w:tcW w:type="dxa" w:w="2016"/>
            <w:shd w:fill="00338D"/>
          </w:tcPr>
          <w:p>
            <w:pPr>
              <w:jc w:val="left"/>
            </w:pPr>
            <w:r/>
            <w:r>
              <w:rPr>
                <w:rFonts w:ascii="Arial" w:hAnsi="Arial"/>
                <w:b/>
                <w:color w:val="FFFFFF"/>
                <w:sz w:val="16"/>
              </w:rPr>
              <w:t>Sample Size</w:t>
            </w:r>
          </w:p>
        </w:tc>
        <w:tc>
          <w:tcPr>
            <w:tcW w:type="dxa" w:w="2016"/>
            <w:shd w:fill="00338D"/>
          </w:tcPr>
          <w:p>
            <w:pPr>
              <w:jc w:val="left"/>
            </w:pPr>
            <w:r/>
            <w:r>
              <w:rPr>
                <w:rFonts w:ascii="Arial" w:hAnsi="Arial"/>
                <w:b/>
                <w:color w:val="FFFFFF"/>
                <w:sz w:val="16"/>
              </w:rPr>
              <w:t>Sampling Method</w:t>
            </w:r>
          </w:p>
        </w:tc>
        <w:tc>
          <w:tcPr>
            <w:tcW w:type="dxa" w:w="2016"/>
            <w:shd w:fill="00338D"/>
          </w:tcPr>
          <w:p>
            <w:pPr>
              <w:jc w:val="left"/>
            </w:pPr>
            <w:r/>
            <w:r>
              <w:rPr>
                <w:rFonts w:ascii="Arial" w:hAnsi="Arial"/>
                <w:b/>
                <w:color w:val="FFFFFF"/>
                <w:sz w:val="16"/>
              </w:rPr>
              <w:t>Period</w:t>
            </w:r>
          </w:p>
        </w:tc>
      </w:tr>
      <w:tr>
        <w:tc>
          <w:tcPr>
            <w:tcW w:type="dxa" w:w="2016"/>
            <w:shd w:fill="FFFFFF"/>
          </w:tcPr>
          <w:p>
            <w:pPr>
              <w:jc w:val="left"/>
            </w:pPr>
            <w:r/>
            <w:r>
              <w:rPr>
                <w:rFonts w:ascii="Arial" w:hAnsi="Arial"/>
                <w:b w:val="0"/>
                <w:color w:val="1F2937"/>
                <w:sz w:val="16"/>
              </w:rPr>
              <w:t>C-01 NAAF Completeness Review</w:t>
            </w:r>
          </w:p>
        </w:tc>
        <w:tc>
          <w:tcPr>
            <w:tcW w:type="dxa" w:w="2016"/>
            <w:shd w:fill="FFFFFF"/>
          </w:tcPr>
          <w:p>
            <w:pPr>
              <w:jc w:val="left"/>
            </w:pPr>
            <w:r/>
            <w:r>
              <w:rPr>
                <w:rFonts w:ascii="Arial" w:hAnsi="Arial"/>
                <w:b w:val="0"/>
                <w:color w:val="1F2937"/>
                <w:sz w:val="16"/>
              </w:rPr>
              <w:t>158 new accounts</w:t>
            </w:r>
          </w:p>
        </w:tc>
        <w:tc>
          <w:tcPr>
            <w:tcW w:type="dxa" w:w="2016"/>
            <w:shd w:fill="FFFFFF"/>
          </w:tcPr>
          <w:p>
            <w:pPr>
              <w:jc w:val="left"/>
            </w:pPr>
            <w:r/>
            <w:r>
              <w:rPr>
                <w:rFonts w:ascii="Arial" w:hAnsi="Arial"/>
                <w:b w:val="0"/>
                <w:color w:val="1F2937"/>
                <w:sz w:val="16"/>
              </w:rPr>
              <w:t>15</w:t>
            </w:r>
          </w:p>
        </w:tc>
        <w:tc>
          <w:tcPr>
            <w:tcW w:type="dxa" w:w="2016"/>
            <w:shd w:fill="FFFFFF"/>
          </w:tcPr>
          <w:p>
            <w:pPr>
              <w:jc w:val="left"/>
            </w:pPr>
            <w:r/>
            <w:r>
              <w:rPr>
                <w:rFonts w:ascii="Arial" w:hAnsi="Arial"/>
                <w:b w:val="0"/>
                <w:color w:val="1F2937"/>
                <w:sz w:val="16"/>
              </w:rPr>
              <w:t>Random</w:t>
            </w:r>
          </w:p>
        </w:tc>
        <w:tc>
          <w:tcPr>
            <w:tcW w:type="dxa" w:w="2016"/>
            <w:shd w:fill="FFFFFF"/>
          </w:tcPr>
          <w:p>
            <w:pPr>
              <w:jc w:val="left"/>
            </w:pPr>
            <w:r/>
            <w:r>
              <w:rPr>
                <w:rFonts w:ascii="Arial" w:hAnsi="Arial"/>
                <w:b w:val="0"/>
                <w:color w:val="1F2937"/>
                <w:sz w:val="16"/>
              </w:rPr>
              <w:t>Q1 2025</w:t>
            </w:r>
          </w:p>
        </w:tc>
      </w:tr>
      <w:tr>
        <w:tc>
          <w:tcPr>
            <w:tcW w:type="dxa" w:w="2016"/>
            <w:shd w:fill="F8FAFC"/>
          </w:tcPr>
          <w:p>
            <w:pPr>
              <w:jc w:val="left"/>
            </w:pPr>
            <w:r/>
            <w:r>
              <w:rPr>
                <w:rFonts w:ascii="Arial" w:hAnsi="Arial"/>
                <w:b w:val="0"/>
                <w:color w:val="1F2937"/>
                <w:sz w:val="16"/>
              </w:rPr>
              <w:t>C-03 AML &amp; Sanctions Screening</w:t>
            </w:r>
          </w:p>
        </w:tc>
        <w:tc>
          <w:tcPr>
            <w:tcW w:type="dxa" w:w="2016"/>
            <w:shd w:fill="F8FAFC"/>
          </w:tcPr>
          <w:p>
            <w:pPr>
              <w:jc w:val="left"/>
            </w:pPr>
            <w:r/>
            <w:r>
              <w:rPr>
                <w:rFonts w:ascii="Arial" w:hAnsi="Arial"/>
                <w:b w:val="0"/>
                <w:color w:val="1F2937"/>
                <w:sz w:val="16"/>
              </w:rPr>
              <w:t>158 new accounts</w:t>
            </w:r>
          </w:p>
        </w:tc>
        <w:tc>
          <w:tcPr>
            <w:tcW w:type="dxa" w:w="2016"/>
            <w:shd w:fill="F8FAFC"/>
          </w:tcPr>
          <w:p>
            <w:pPr>
              <w:jc w:val="left"/>
            </w:pPr>
            <w:r/>
            <w:r>
              <w:rPr>
                <w:rFonts w:ascii="Arial" w:hAnsi="Arial"/>
                <w:b w:val="0"/>
                <w:color w:val="1F2937"/>
                <w:sz w:val="16"/>
              </w:rPr>
              <w:t>15</w:t>
            </w:r>
          </w:p>
        </w:tc>
        <w:tc>
          <w:tcPr>
            <w:tcW w:type="dxa" w:w="2016"/>
            <w:shd w:fill="F8FAFC"/>
          </w:tcPr>
          <w:p>
            <w:pPr>
              <w:jc w:val="left"/>
            </w:pPr>
            <w:r/>
            <w:r>
              <w:rPr>
                <w:rFonts w:ascii="Arial" w:hAnsi="Arial"/>
                <w:b w:val="0"/>
                <w:color w:val="1F2937"/>
                <w:sz w:val="16"/>
              </w:rPr>
              <w:t>Random</w:t>
            </w:r>
          </w:p>
        </w:tc>
        <w:tc>
          <w:tcPr>
            <w:tcW w:type="dxa" w:w="2016"/>
            <w:shd w:fill="F8FAFC"/>
          </w:tcPr>
          <w:p>
            <w:pPr>
              <w:jc w:val="left"/>
            </w:pPr>
            <w:r/>
            <w:r>
              <w:rPr>
                <w:rFonts w:ascii="Arial" w:hAnsi="Arial"/>
                <w:b w:val="0"/>
                <w:color w:val="1F2937"/>
                <w:sz w:val="16"/>
              </w:rPr>
              <w:t>Q1 2025</w:t>
            </w:r>
          </w:p>
        </w:tc>
      </w:tr>
      <w:tr>
        <w:tc>
          <w:tcPr>
            <w:tcW w:type="dxa" w:w="2016"/>
            <w:shd w:fill="FFFFFF"/>
          </w:tcPr>
          <w:p>
            <w:pPr>
              <w:jc w:val="left"/>
            </w:pPr>
            <w:r/>
            <w:r>
              <w:rPr>
                <w:rFonts w:ascii="Arial" w:hAnsi="Arial"/>
                <w:b w:val="0"/>
                <w:color w:val="1F2937"/>
                <w:sz w:val="16"/>
              </w:rPr>
              <w:t>C-04 Suitability Assessment</w:t>
            </w:r>
          </w:p>
        </w:tc>
        <w:tc>
          <w:tcPr>
            <w:tcW w:type="dxa" w:w="2016"/>
            <w:shd w:fill="FFFFFF"/>
          </w:tcPr>
          <w:p>
            <w:pPr>
              <w:jc w:val="left"/>
            </w:pPr>
            <w:r/>
            <w:r>
              <w:rPr>
                <w:rFonts w:ascii="Arial" w:hAnsi="Arial"/>
                <w:b w:val="0"/>
                <w:color w:val="1F2937"/>
                <w:sz w:val="16"/>
              </w:rPr>
              <w:t>158 new accounts</w:t>
            </w:r>
          </w:p>
        </w:tc>
        <w:tc>
          <w:tcPr>
            <w:tcW w:type="dxa" w:w="2016"/>
            <w:shd w:fill="FFFFFF"/>
          </w:tcPr>
          <w:p>
            <w:pPr>
              <w:jc w:val="left"/>
            </w:pPr>
            <w:r/>
            <w:r>
              <w:rPr>
                <w:rFonts w:ascii="Arial" w:hAnsi="Arial"/>
                <w:b w:val="0"/>
                <w:color w:val="1F2937"/>
                <w:sz w:val="16"/>
              </w:rPr>
              <w:t>15</w:t>
            </w:r>
          </w:p>
        </w:tc>
        <w:tc>
          <w:tcPr>
            <w:tcW w:type="dxa" w:w="2016"/>
            <w:shd w:fill="FFFFFF"/>
          </w:tcPr>
          <w:p>
            <w:pPr>
              <w:jc w:val="left"/>
            </w:pPr>
            <w:r/>
            <w:r>
              <w:rPr>
                <w:rFonts w:ascii="Arial" w:hAnsi="Arial"/>
                <w:b w:val="0"/>
                <w:color w:val="1F2937"/>
                <w:sz w:val="16"/>
              </w:rPr>
              <w:t>Haphazard</w:t>
            </w:r>
          </w:p>
        </w:tc>
        <w:tc>
          <w:tcPr>
            <w:tcW w:type="dxa" w:w="2016"/>
            <w:shd w:fill="FFFFFF"/>
          </w:tcPr>
          <w:p>
            <w:pPr>
              <w:jc w:val="left"/>
            </w:pPr>
            <w:r/>
            <w:r>
              <w:rPr>
                <w:rFonts w:ascii="Arial" w:hAnsi="Arial"/>
                <w:b w:val="0"/>
                <w:color w:val="1F2937"/>
                <w:sz w:val="16"/>
              </w:rPr>
              <w:t>Q1 2025</w:t>
            </w:r>
          </w:p>
        </w:tc>
      </w:tr>
      <w:tr>
        <w:tc>
          <w:tcPr>
            <w:tcW w:type="dxa" w:w="2016"/>
            <w:shd w:fill="F8FAFC"/>
          </w:tcPr>
          <w:p>
            <w:pPr>
              <w:jc w:val="left"/>
            </w:pPr>
            <w:r/>
            <w:r>
              <w:rPr>
                <w:rFonts w:ascii="Arial" w:hAnsi="Arial"/>
                <w:b w:val="0"/>
                <w:color w:val="1F2937"/>
                <w:sz w:val="16"/>
              </w:rPr>
              <w:t>C-07 Exception Approval &amp; Log</w:t>
            </w:r>
          </w:p>
        </w:tc>
        <w:tc>
          <w:tcPr>
            <w:tcW w:type="dxa" w:w="2016"/>
            <w:shd w:fill="F8FAFC"/>
          </w:tcPr>
          <w:p>
            <w:pPr>
              <w:jc w:val="left"/>
            </w:pPr>
            <w:r/>
            <w:r>
              <w:rPr>
                <w:rFonts w:ascii="Arial" w:hAnsi="Arial"/>
                <w:b w:val="0"/>
                <w:color w:val="1F2937"/>
                <w:sz w:val="16"/>
              </w:rPr>
              <w:t>6 exceptions (full population)</w:t>
            </w:r>
          </w:p>
        </w:tc>
        <w:tc>
          <w:tcPr>
            <w:tcW w:type="dxa" w:w="2016"/>
            <w:shd w:fill="F8FAFC"/>
          </w:tcPr>
          <w:p>
            <w:pPr>
              <w:jc w:val="left"/>
            </w:pPr>
            <w:r/>
            <w:r>
              <w:rPr>
                <w:rFonts w:ascii="Arial" w:hAnsi="Arial"/>
                <w:b w:val="0"/>
                <w:color w:val="1F2937"/>
                <w:sz w:val="16"/>
              </w:rPr>
              <w:t>6</w:t>
            </w:r>
          </w:p>
        </w:tc>
        <w:tc>
          <w:tcPr>
            <w:tcW w:type="dxa" w:w="2016"/>
            <w:shd w:fill="F8FAFC"/>
          </w:tcPr>
          <w:p>
            <w:pPr>
              <w:jc w:val="left"/>
            </w:pPr>
            <w:r/>
            <w:r>
              <w:rPr>
                <w:rFonts w:ascii="Arial" w:hAnsi="Arial"/>
                <w:b w:val="0"/>
                <w:color w:val="1F2937"/>
                <w:sz w:val="16"/>
              </w:rPr>
              <w:t>100% census</w:t>
            </w:r>
          </w:p>
        </w:tc>
        <w:tc>
          <w:tcPr>
            <w:tcW w:type="dxa" w:w="2016"/>
            <w:shd w:fill="F8FAFC"/>
          </w:tcPr>
          <w:p>
            <w:pPr>
              <w:jc w:val="left"/>
            </w:pPr>
            <w:r/>
            <w:r>
              <w:rPr>
                <w:rFonts w:ascii="Arial" w:hAnsi="Arial"/>
                <w:b w:val="0"/>
                <w:color w:val="1F2937"/>
                <w:sz w:val="16"/>
              </w:rPr>
              <w:t>Q1 2025</w:t>
            </w:r>
          </w:p>
        </w:tc>
      </w:tr>
      <w:tr>
        <w:tc>
          <w:tcPr>
            <w:tcW w:type="dxa" w:w="2016"/>
            <w:shd w:fill="FFFFFF"/>
          </w:tcPr>
          <w:p>
            <w:pPr>
              <w:jc w:val="left"/>
            </w:pPr>
            <w:r/>
            <w:r>
              <w:rPr>
                <w:rFonts w:ascii="Arial" w:hAnsi="Arial"/>
                <w:b w:val="0"/>
                <w:color w:val="1F2937"/>
                <w:sz w:val="16"/>
              </w:rPr>
              <w:t>C-09 Periodic KYC Refresh</w:t>
            </w:r>
          </w:p>
        </w:tc>
        <w:tc>
          <w:tcPr>
            <w:tcW w:type="dxa" w:w="2016"/>
            <w:shd w:fill="FFFFFF"/>
          </w:tcPr>
          <w:p>
            <w:pPr>
              <w:jc w:val="left"/>
            </w:pPr>
            <w:r/>
            <w:r>
              <w:rPr>
                <w:rFonts w:ascii="Arial" w:hAnsi="Arial"/>
                <w:b w:val="0"/>
                <w:color w:val="1F2937"/>
                <w:sz w:val="16"/>
              </w:rPr>
              <w:t>342 active accounts (refresh due)</w:t>
            </w:r>
          </w:p>
        </w:tc>
        <w:tc>
          <w:tcPr>
            <w:tcW w:type="dxa" w:w="2016"/>
            <w:shd w:fill="FFFFFF"/>
          </w:tcPr>
          <w:p>
            <w:pPr>
              <w:jc w:val="left"/>
            </w:pPr>
            <w:r/>
            <w:r>
              <w:rPr>
                <w:rFonts w:ascii="Arial" w:hAnsi="Arial"/>
                <w:b w:val="0"/>
                <w:color w:val="1F2937"/>
                <w:sz w:val="16"/>
              </w:rPr>
              <w:t>20</w:t>
            </w:r>
          </w:p>
        </w:tc>
        <w:tc>
          <w:tcPr>
            <w:tcW w:type="dxa" w:w="2016"/>
            <w:shd w:fill="FFFFFF"/>
          </w:tcPr>
          <w:p>
            <w:pPr>
              <w:jc w:val="left"/>
            </w:pPr>
            <w:r/>
            <w:r>
              <w:rPr>
                <w:rFonts w:ascii="Arial" w:hAnsi="Arial"/>
                <w:b w:val="0"/>
                <w:color w:val="1F2937"/>
                <w:sz w:val="16"/>
              </w:rPr>
              <w:t>Risk-stratified</w:t>
            </w:r>
          </w:p>
        </w:tc>
        <w:tc>
          <w:tcPr>
            <w:tcW w:type="dxa" w:w="2016"/>
            <w:shd w:fill="FFFFFF"/>
          </w:tcPr>
          <w:p>
            <w:pPr>
              <w:jc w:val="left"/>
            </w:pPr>
            <w:r/>
            <w:r>
              <w:rPr>
                <w:rFonts w:ascii="Arial" w:hAnsi="Arial"/>
                <w:b w:val="0"/>
                <w:color w:val="1F2937"/>
                <w:sz w:val="16"/>
              </w:rPr>
              <w:t>Q1 2025</w:t>
            </w:r>
          </w:p>
        </w:tc>
      </w:tr>
    </w:tbl>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shd w:fill="00338D"/>
          </w:tcPr>
          <w:p>
            <w:pPr>
              <w:jc w:val="left"/>
            </w:pPr>
            <w:r/>
            <w:r>
              <w:rPr>
                <w:rFonts w:ascii="Arial" w:hAnsi="Arial"/>
                <w:b/>
                <w:color w:val="FFFFFF"/>
                <w:sz w:val="16"/>
              </w:rPr>
              <w:t>Control</w:t>
            </w:r>
          </w:p>
        </w:tc>
        <w:tc>
          <w:tcPr>
            <w:tcW w:type="dxa" w:w="2016"/>
            <w:shd w:fill="00338D"/>
          </w:tcPr>
          <w:p>
            <w:pPr>
              <w:jc w:val="left"/>
            </w:pPr>
            <w:r/>
            <w:r>
              <w:rPr>
                <w:rFonts w:ascii="Arial" w:hAnsi="Arial"/>
                <w:b/>
                <w:color w:val="FFFFFF"/>
                <w:sz w:val="16"/>
              </w:rPr>
              <w:t>Result</w:t>
            </w:r>
          </w:p>
        </w:tc>
        <w:tc>
          <w:tcPr>
            <w:tcW w:type="dxa" w:w="2016"/>
            <w:shd w:fill="00338D"/>
          </w:tcPr>
          <w:p>
            <w:pPr>
              <w:jc w:val="left"/>
            </w:pPr>
            <w:r/>
            <w:r>
              <w:rPr>
                <w:rFonts w:ascii="Arial" w:hAnsi="Arial"/>
                <w:b/>
                <w:color w:val="FFFFFF"/>
                <w:sz w:val="16"/>
              </w:rPr>
              <w:t>Exceptions</w:t>
            </w:r>
          </w:p>
        </w:tc>
        <w:tc>
          <w:tcPr>
            <w:tcW w:type="dxa" w:w="2016"/>
            <w:shd w:fill="00338D"/>
          </w:tcPr>
          <w:p>
            <w:pPr>
              <w:jc w:val="left"/>
            </w:pPr>
            <w:r/>
            <w:r>
              <w:rPr>
                <w:rFonts w:ascii="Arial" w:hAnsi="Arial"/>
                <w:b/>
                <w:color w:val="FFFFFF"/>
                <w:sz w:val="16"/>
              </w:rPr>
              <w:t>Sample</w:t>
            </w:r>
          </w:p>
        </w:tc>
        <w:tc>
          <w:tcPr>
            <w:tcW w:type="dxa" w:w="2016"/>
            <w:shd w:fill="00338D"/>
          </w:tcPr>
          <w:p>
            <w:pPr>
              <w:jc w:val="left"/>
            </w:pPr>
            <w:r/>
            <w:r>
              <w:rPr>
                <w:rFonts w:ascii="Arial" w:hAnsi="Arial"/>
                <w:b/>
                <w:color w:val="FFFFFF"/>
                <w:sz w:val="16"/>
              </w:rPr>
              <w:t>Severity</w:t>
            </w:r>
          </w:p>
        </w:tc>
      </w:tr>
      <w:tr>
        <w:tc>
          <w:tcPr>
            <w:tcW w:type="dxa" w:w="2016"/>
            <w:shd w:fill="FFFFFF"/>
          </w:tcPr>
          <w:p>
            <w:pPr>
              <w:jc w:val="left"/>
            </w:pPr>
            <w:r/>
            <w:r>
              <w:rPr>
                <w:rFonts w:ascii="Arial" w:hAnsi="Arial"/>
                <w:b w:val="0"/>
                <w:color w:val="1F2937"/>
                <w:sz w:val="16"/>
              </w:rPr>
              <w:t>C-01 NAAF Completeness Review</w:t>
            </w:r>
          </w:p>
        </w:tc>
        <w:tc>
          <w:tcPr>
            <w:tcW w:type="dxa" w:w="2016"/>
            <w:shd w:fill="FFFFFF"/>
          </w:tcPr>
          <w:p>
            <w:pPr>
              <w:jc w:val="left"/>
            </w:pPr>
            <w:r/>
            <w:r>
              <w:rPr>
                <w:rFonts w:ascii="Arial" w:hAnsi="Arial"/>
                <w:b w:val="0"/>
                <w:color w:val="1F2937"/>
                <w:sz w:val="16"/>
              </w:rPr>
              <w:t>Exceptions Identified</w:t>
            </w:r>
          </w:p>
        </w:tc>
        <w:tc>
          <w:tcPr>
            <w:tcW w:type="dxa" w:w="2016"/>
            <w:shd w:fill="FFFFFF"/>
          </w:tcPr>
          <w:p>
            <w:pPr>
              <w:jc w:val="left"/>
            </w:pPr>
            <w:r/>
            <w:r>
              <w:rPr>
                <w:rFonts w:ascii="Arial" w:hAnsi="Arial"/>
                <w:b w:val="0"/>
                <w:color w:val="1F2937"/>
                <w:sz w:val="16"/>
              </w:rPr>
              <w:t>3 of 15</w:t>
            </w:r>
          </w:p>
        </w:tc>
        <w:tc>
          <w:tcPr>
            <w:tcW w:type="dxa" w:w="2016"/>
            <w:shd w:fill="FFFFFF"/>
          </w:tcPr>
          <w:p>
            <w:pPr>
              <w:jc w:val="left"/>
            </w:pPr>
            <w:r/>
            <w:r>
              <w:rPr>
                <w:rFonts w:ascii="Arial" w:hAnsi="Arial"/>
                <w:b w:val="0"/>
                <w:color w:val="1F2937"/>
                <w:sz w:val="16"/>
              </w:rPr>
              <w:t>15</w:t>
            </w:r>
          </w:p>
        </w:tc>
        <w:tc>
          <w:tcPr>
            <w:tcW w:type="dxa" w:w="2016"/>
            <w:shd w:fill="FFFFFF"/>
          </w:tcPr>
          <w:p>
            <w:pPr>
              <w:jc w:val="left"/>
            </w:pPr>
            <w:r/>
            <w:r>
              <w:rPr>
                <w:rFonts w:ascii="Arial" w:hAnsi="Arial"/>
                <w:b w:val="0"/>
                <w:color w:val="1F2937"/>
                <w:sz w:val="16"/>
              </w:rPr>
              <w:t>Medium</w:t>
            </w:r>
          </w:p>
        </w:tc>
      </w:tr>
      <w:tr>
        <w:tc>
          <w:tcPr>
            <w:tcW w:type="dxa" w:w="2016"/>
            <w:shd w:fill="F8FAFC"/>
          </w:tcPr>
          <w:p>
            <w:pPr>
              <w:jc w:val="left"/>
            </w:pPr>
            <w:r/>
            <w:r>
              <w:rPr>
                <w:rFonts w:ascii="Arial" w:hAnsi="Arial"/>
                <w:b w:val="0"/>
                <w:color w:val="1F2937"/>
                <w:sz w:val="16"/>
              </w:rPr>
              <w:t>C-03 AML &amp; Sanctions Screening</w:t>
            </w:r>
          </w:p>
        </w:tc>
        <w:tc>
          <w:tcPr>
            <w:tcW w:type="dxa" w:w="2016"/>
            <w:shd w:fill="F8FAFC"/>
          </w:tcPr>
          <w:p>
            <w:pPr>
              <w:jc w:val="left"/>
            </w:pPr>
            <w:r/>
            <w:r>
              <w:rPr>
                <w:rFonts w:ascii="Arial" w:hAnsi="Arial"/>
                <w:b w:val="0"/>
                <w:color w:val="1F2937"/>
                <w:sz w:val="16"/>
              </w:rPr>
              <w:t>Effective - No Exceptions</w:t>
            </w:r>
          </w:p>
        </w:tc>
        <w:tc>
          <w:tcPr>
            <w:tcW w:type="dxa" w:w="2016"/>
            <w:shd w:fill="F8FAFC"/>
          </w:tcPr>
          <w:p>
            <w:pPr>
              <w:jc w:val="left"/>
            </w:pPr>
            <w:r/>
            <w:r>
              <w:rPr>
                <w:rFonts w:ascii="Arial" w:hAnsi="Arial"/>
                <w:b w:val="0"/>
                <w:color w:val="1F2937"/>
                <w:sz w:val="16"/>
              </w:rPr>
              <w:t>0 of 15</w:t>
            </w:r>
          </w:p>
        </w:tc>
        <w:tc>
          <w:tcPr>
            <w:tcW w:type="dxa" w:w="2016"/>
            <w:shd w:fill="F8FAFC"/>
          </w:tcPr>
          <w:p>
            <w:pPr>
              <w:jc w:val="left"/>
            </w:pPr>
            <w:r/>
            <w:r>
              <w:rPr>
                <w:rFonts w:ascii="Arial" w:hAnsi="Arial"/>
                <w:b w:val="0"/>
                <w:color w:val="1F2937"/>
                <w:sz w:val="16"/>
              </w:rPr>
              <w:t>15</w:t>
            </w:r>
          </w:p>
        </w:tc>
        <w:tc>
          <w:tcPr>
            <w:tcW w:type="dxa" w:w="2016"/>
            <w:shd w:fill="F8FAFC"/>
          </w:tcPr>
          <w:p>
            <w:pPr>
              <w:jc w:val="left"/>
            </w:pPr>
            <w:r/>
            <w:r>
              <w:rPr>
                <w:rFonts w:ascii="Arial" w:hAnsi="Arial"/>
                <w:b w:val="0"/>
                <w:color w:val="1F2937"/>
                <w:sz w:val="16"/>
              </w:rPr>
              <w:t>-</w:t>
            </w:r>
          </w:p>
        </w:tc>
      </w:tr>
      <w:tr>
        <w:tc>
          <w:tcPr>
            <w:tcW w:type="dxa" w:w="2016"/>
            <w:shd w:fill="FFFFFF"/>
          </w:tcPr>
          <w:p>
            <w:pPr>
              <w:jc w:val="left"/>
            </w:pPr>
            <w:r/>
            <w:r>
              <w:rPr>
                <w:rFonts w:ascii="Arial" w:hAnsi="Arial"/>
                <w:b w:val="0"/>
                <w:color w:val="1F2937"/>
                <w:sz w:val="16"/>
              </w:rPr>
              <w:t>C-04 Suitability Assessment</w:t>
            </w:r>
          </w:p>
        </w:tc>
        <w:tc>
          <w:tcPr>
            <w:tcW w:type="dxa" w:w="2016"/>
            <w:shd w:fill="FFFFFF"/>
          </w:tcPr>
          <w:p>
            <w:pPr>
              <w:jc w:val="left"/>
            </w:pPr>
            <w:r/>
            <w:r>
              <w:rPr>
                <w:rFonts w:ascii="Arial" w:hAnsi="Arial"/>
                <w:b w:val="0"/>
                <w:color w:val="1F2937"/>
                <w:sz w:val="16"/>
              </w:rPr>
              <w:t>Exceptions Identified</w:t>
            </w:r>
          </w:p>
        </w:tc>
        <w:tc>
          <w:tcPr>
            <w:tcW w:type="dxa" w:w="2016"/>
            <w:shd w:fill="FFFFFF"/>
          </w:tcPr>
          <w:p>
            <w:pPr>
              <w:jc w:val="left"/>
            </w:pPr>
            <w:r/>
            <w:r>
              <w:rPr>
                <w:rFonts w:ascii="Arial" w:hAnsi="Arial"/>
                <w:b w:val="0"/>
                <w:color w:val="1F2937"/>
                <w:sz w:val="16"/>
              </w:rPr>
              <w:t>2 of 15</w:t>
            </w:r>
          </w:p>
        </w:tc>
        <w:tc>
          <w:tcPr>
            <w:tcW w:type="dxa" w:w="2016"/>
            <w:shd w:fill="FFFFFF"/>
          </w:tcPr>
          <w:p>
            <w:pPr>
              <w:jc w:val="left"/>
            </w:pPr>
            <w:r/>
            <w:r>
              <w:rPr>
                <w:rFonts w:ascii="Arial" w:hAnsi="Arial"/>
                <w:b w:val="0"/>
                <w:color w:val="1F2937"/>
                <w:sz w:val="16"/>
              </w:rPr>
              <w:t>15</w:t>
            </w:r>
          </w:p>
        </w:tc>
        <w:tc>
          <w:tcPr>
            <w:tcW w:type="dxa" w:w="2016"/>
            <w:shd w:fill="FFFFFF"/>
          </w:tcPr>
          <w:p>
            <w:pPr>
              <w:jc w:val="left"/>
            </w:pPr>
            <w:r/>
            <w:r>
              <w:rPr>
                <w:rFonts w:ascii="Arial" w:hAnsi="Arial"/>
                <w:b w:val="0"/>
                <w:color w:val="1F2937"/>
                <w:sz w:val="16"/>
              </w:rPr>
              <w:t>High</w:t>
            </w:r>
          </w:p>
        </w:tc>
      </w:tr>
      <w:tr>
        <w:tc>
          <w:tcPr>
            <w:tcW w:type="dxa" w:w="2016"/>
            <w:shd w:fill="F8FAFC"/>
          </w:tcPr>
          <w:p>
            <w:pPr>
              <w:jc w:val="left"/>
            </w:pPr>
            <w:r/>
            <w:r>
              <w:rPr>
                <w:rFonts w:ascii="Arial" w:hAnsi="Arial"/>
                <w:b w:val="0"/>
                <w:color w:val="1F2937"/>
                <w:sz w:val="16"/>
              </w:rPr>
              <w:t>C-07 Exception Approval &amp; Log</w:t>
            </w:r>
          </w:p>
        </w:tc>
        <w:tc>
          <w:tcPr>
            <w:tcW w:type="dxa" w:w="2016"/>
            <w:shd w:fill="F8FAFC"/>
          </w:tcPr>
          <w:p>
            <w:pPr>
              <w:jc w:val="left"/>
            </w:pPr>
            <w:r/>
            <w:r>
              <w:rPr>
                <w:rFonts w:ascii="Arial" w:hAnsi="Arial"/>
                <w:b w:val="0"/>
                <w:color w:val="1F2937"/>
                <w:sz w:val="16"/>
              </w:rPr>
              <w:t>Exceptions Identified</w:t>
            </w:r>
          </w:p>
        </w:tc>
        <w:tc>
          <w:tcPr>
            <w:tcW w:type="dxa" w:w="2016"/>
            <w:shd w:fill="F8FAFC"/>
          </w:tcPr>
          <w:p>
            <w:pPr>
              <w:jc w:val="left"/>
            </w:pPr>
            <w:r/>
            <w:r>
              <w:rPr>
                <w:rFonts w:ascii="Arial" w:hAnsi="Arial"/>
                <w:b w:val="0"/>
                <w:color w:val="1F2937"/>
                <w:sz w:val="16"/>
              </w:rPr>
              <w:t>2 of 6 (+ 1 EDD gap)</w:t>
            </w:r>
          </w:p>
        </w:tc>
        <w:tc>
          <w:tcPr>
            <w:tcW w:type="dxa" w:w="2016"/>
            <w:shd w:fill="F8FAFC"/>
          </w:tcPr>
          <w:p>
            <w:pPr>
              <w:jc w:val="left"/>
            </w:pPr>
            <w:r/>
            <w:r>
              <w:rPr>
                <w:rFonts w:ascii="Arial" w:hAnsi="Arial"/>
                <w:b w:val="0"/>
                <w:color w:val="1F2937"/>
                <w:sz w:val="16"/>
              </w:rPr>
              <w:t>6 (census)</w:t>
            </w:r>
          </w:p>
        </w:tc>
        <w:tc>
          <w:tcPr>
            <w:tcW w:type="dxa" w:w="2016"/>
            <w:shd w:fill="F8FAFC"/>
          </w:tcPr>
          <w:p>
            <w:pPr>
              <w:jc w:val="left"/>
            </w:pPr>
            <w:r/>
            <w:r>
              <w:rPr>
                <w:rFonts w:ascii="Arial" w:hAnsi="Arial"/>
                <w:b w:val="0"/>
                <w:color w:val="1F2937"/>
                <w:sz w:val="16"/>
              </w:rPr>
              <w:t>High</w:t>
            </w:r>
          </w:p>
        </w:tc>
      </w:tr>
      <w:tr>
        <w:tc>
          <w:tcPr>
            <w:tcW w:type="dxa" w:w="2016"/>
            <w:shd w:fill="FFFFFF"/>
          </w:tcPr>
          <w:p>
            <w:pPr>
              <w:jc w:val="left"/>
            </w:pPr>
            <w:r/>
            <w:r>
              <w:rPr>
                <w:rFonts w:ascii="Arial" w:hAnsi="Arial"/>
                <w:b w:val="0"/>
                <w:color w:val="1F2937"/>
                <w:sz w:val="16"/>
              </w:rPr>
              <w:t>C-09 Periodic KYC Refresh</w:t>
            </w:r>
          </w:p>
        </w:tc>
        <w:tc>
          <w:tcPr>
            <w:tcW w:type="dxa" w:w="2016"/>
            <w:shd w:fill="FFFFFF"/>
          </w:tcPr>
          <w:p>
            <w:pPr>
              <w:jc w:val="left"/>
            </w:pPr>
            <w:r/>
            <w:r>
              <w:rPr>
                <w:rFonts w:ascii="Arial" w:hAnsi="Arial"/>
                <w:b w:val="0"/>
                <w:color w:val="1F2937"/>
                <w:sz w:val="16"/>
              </w:rPr>
              <w:t>Exceptions Identified</w:t>
            </w:r>
          </w:p>
        </w:tc>
        <w:tc>
          <w:tcPr>
            <w:tcW w:type="dxa" w:w="2016"/>
            <w:shd w:fill="FFFFFF"/>
          </w:tcPr>
          <w:p>
            <w:pPr>
              <w:jc w:val="left"/>
            </w:pPr>
            <w:r/>
            <w:r>
              <w:rPr>
                <w:rFonts w:ascii="Arial" w:hAnsi="Arial"/>
                <w:b w:val="0"/>
                <w:color w:val="1F2937"/>
                <w:sz w:val="16"/>
              </w:rPr>
              <w:t>4 of 20</w:t>
            </w:r>
          </w:p>
        </w:tc>
        <w:tc>
          <w:tcPr>
            <w:tcW w:type="dxa" w:w="2016"/>
            <w:shd w:fill="FFFFFF"/>
          </w:tcPr>
          <w:p>
            <w:pPr>
              <w:jc w:val="left"/>
            </w:pPr>
            <w:r/>
            <w:r>
              <w:rPr>
                <w:rFonts w:ascii="Arial" w:hAnsi="Arial"/>
                <w:b w:val="0"/>
                <w:color w:val="1F2937"/>
                <w:sz w:val="16"/>
              </w:rPr>
              <w:t>20</w:t>
            </w:r>
          </w:p>
        </w:tc>
        <w:tc>
          <w:tcPr>
            <w:tcW w:type="dxa" w:w="2016"/>
            <w:shd w:fill="FFFFFF"/>
          </w:tcPr>
          <w:p>
            <w:pPr>
              <w:jc w:val="left"/>
            </w:pPr>
            <w:r/>
            <w:r>
              <w:rPr>
                <w:rFonts w:ascii="Arial" w:hAnsi="Arial"/>
                <w:b w:val="0"/>
                <w:color w:val="1F2937"/>
                <w:sz w:val="16"/>
              </w:rPr>
              <w:t>High</w:t>
            </w:r>
          </w:p>
        </w:tc>
      </w:tr>
    </w:tbl>
    <w:p/>
    <w:p>
      <w:pPr>
        <w:pStyle w:val="Heading1"/>
      </w:pPr>
      <w:r>
        <w:t>Cover</w:t>
      </w:r>
    </w:p>
    <w:tbl>
      <w:tblPr>
        <w:tblStyle w:val="TableGrid"/>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t>WEALTH MANAGEMENT RISK AND CONTROLS MATRIX</w:t>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c>
          <w:tcPr>
            <w:tcW w:type="dxa" w:w="1260"/>
            <w:shd w:fill="00338D"/>
          </w:tcPr>
          <w:p>
            <w:pPr>
              <w:jc w:val="left"/>
            </w:pPr>
            <w:r/>
            <w:r>
              <w:rPr>
                <w:rFonts w:ascii="Arial" w:hAnsi="Arial"/>
                <w:b/>
                <w:color w:val="FFFFFF"/>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Wealth Client Onboarding &amp; KYC Process</w:t>
            </w:r>
          </w:p>
        </w:tc>
        <w:tc>
          <w:tcPr>
            <w:tcW w:type="dxa" w:w="1260"/>
            <w:shd w:fill="FFFFFF"/>
          </w:tcPr>
          <w:p>
            <w:pPr>
              <w:jc w:val="left"/>
            </w:pPr>
            <w:r/>
            <w:r>
              <w:rPr>
                <w:rFonts w:ascii="Arial" w:hAnsi="Arial"/>
                <w:b w:val="0"/>
                <w:color w:val="1F2937"/>
                <w:sz w:val="14"/>
              </w:rPr>
              <w:t>Wealth Management &amp; Private Banking</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Document Reference:</w:t>
            </w:r>
          </w:p>
        </w:tc>
        <w:tc>
          <w:tcPr>
            <w:tcW w:type="dxa" w:w="1260"/>
            <w:shd w:fill="F8FAFC"/>
          </w:tcPr>
          <w:p>
            <w:pPr>
              <w:jc w:val="left"/>
            </w:pPr>
            <w:r/>
            <w:r>
              <w:rPr>
                <w:rFonts w:ascii="Arial" w:hAnsi="Arial"/>
                <w:b w:val="0"/>
                <w:color w:val="1F2937"/>
                <w:sz w:val="14"/>
              </w:rPr>
              <w:t>RCM-WM-KYC-001</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Process:</w:t>
            </w:r>
          </w:p>
        </w:tc>
        <w:tc>
          <w:tcPr>
            <w:tcW w:type="dxa" w:w="1260"/>
            <w:shd w:fill="FFFFFF"/>
          </w:tcPr>
          <w:p>
            <w:pPr>
              <w:jc w:val="left"/>
            </w:pPr>
            <w:r/>
            <w:r>
              <w:rPr>
                <w:rFonts w:ascii="Arial" w:hAnsi="Arial"/>
                <w:b w:val="0"/>
                <w:color w:val="1F2937"/>
                <w:sz w:val="14"/>
              </w:rPr>
              <w:t>Wealth Client Onboarding and KYC</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Business Line:</w:t>
            </w:r>
          </w:p>
        </w:tc>
        <w:tc>
          <w:tcPr>
            <w:tcW w:type="dxa" w:w="1260"/>
            <w:shd w:fill="F8FAFC"/>
          </w:tcPr>
          <w:p>
            <w:pPr>
              <w:jc w:val="left"/>
            </w:pPr>
            <w:r/>
            <w:r>
              <w:rPr>
                <w:rFonts w:ascii="Arial" w:hAnsi="Arial"/>
                <w:b w:val="0"/>
                <w:color w:val="1F2937"/>
                <w:sz w:val="14"/>
              </w:rPr>
              <w:t>Wealth Management &amp; Private Banking</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Regulatory Framework:</w:t>
            </w:r>
          </w:p>
        </w:tc>
        <w:tc>
          <w:tcPr>
            <w:tcW w:type="dxa" w:w="1260"/>
            <w:shd w:fill="FFFFFF"/>
          </w:tcPr>
          <w:p>
            <w:pPr>
              <w:jc w:val="left"/>
            </w:pPr>
            <w:r/>
            <w:r>
              <w:rPr>
                <w:rFonts w:ascii="Arial" w:hAnsi="Arial"/>
                <w:b w:val="0"/>
                <w:color w:val="1F2937"/>
                <w:sz w:val="14"/>
              </w:rPr>
              <w:t>PCMLTFA / FINTRAC / CIRO Rules 3200 &amp; 3400 / NI 31-103</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Version:</w:t>
            </w:r>
          </w:p>
        </w:tc>
        <w:tc>
          <w:tcPr>
            <w:tcW w:type="dxa" w:w="1260"/>
            <w:shd w:fill="F8FAFC"/>
          </w:tcPr>
          <w:p>
            <w:pPr>
              <w:jc w:val="left"/>
            </w:pPr>
            <w:r/>
            <w:r>
              <w:rPr>
                <w:rFonts w:ascii="Arial" w:hAnsi="Arial"/>
                <w:b w:val="0"/>
                <w:color w:val="1F2937"/>
                <w:sz w:val="14"/>
              </w:rPr>
              <w:t>2.0</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Effective Date:</w:t>
            </w:r>
          </w:p>
        </w:tc>
        <w:tc>
          <w:tcPr>
            <w:tcW w:type="dxa" w:w="1260"/>
            <w:shd w:fill="FFFFFF"/>
          </w:tcPr>
          <w:p>
            <w:pPr>
              <w:jc w:val="left"/>
            </w:pPr>
            <w:r/>
            <w:r>
              <w:rPr>
                <w:rFonts w:ascii="Arial" w:hAnsi="Arial"/>
                <w:b w:val="0"/>
                <w:color w:val="1F2937"/>
                <w:sz w:val="14"/>
              </w:rPr>
              <w:t>01 February 2025</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r>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t>Owner:</w:t>
            </w:r>
          </w:p>
        </w:tc>
        <w:tc>
          <w:tcPr>
            <w:tcW w:type="dxa" w:w="1260"/>
            <w:shd w:fill="F8FAFC"/>
          </w:tcPr>
          <w:p>
            <w:pPr>
              <w:jc w:val="left"/>
            </w:pPr>
            <w:r/>
            <w:r>
              <w:rPr>
                <w:rFonts w:ascii="Arial" w:hAnsi="Arial"/>
                <w:b w:val="0"/>
                <w:color w:val="1F2937"/>
                <w:sz w:val="14"/>
              </w:rPr>
              <w:t>Compliance - AML/ATF &amp; Suitability Review</w:t>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c>
          <w:tcPr>
            <w:tcW w:type="dxa" w:w="1260"/>
            <w:shd w:fill="F8FAFC"/>
          </w:tcPr>
          <w:p>
            <w:pPr>
              <w:jc w:val="left"/>
            </w:pPr>
            <w:r/>
            <w:r>
              <w:rPr>
                <w:rFonts w:ascii="Arial" w:hAnsi="Arial"/>
                <w:b w:val="0"/>
                <w:color w:val="1F2937"/>
                <w:sz w:val="14"/>
              </w:rPr>
            </w:r>
          </w:p>
        </w:tc>
      </w:tr>
      <w:tr>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t>Status:</w:t>
            </w:r>
          </w:p>
        </w:tc>
        <w:tc>
          <w:tcPr>
            <w:tcW w:type="dxa" w:w="1260"/>
            <w:shd w:fill="FFFFFF"/>
          </w:tcPr>
          <w:p>
            <w:pPr>
              <w:jc w:val="left"/>
            </w:pPr>
            <w:r/>
            <w:r>
              <w:rPr>
                <w:rFonts w:ascii="Arial" w:hAnsi="Arial"/>
                <w:b w:val="0"/>
                <w:color w:val="1F2937"/>
                <w:sz w:val="14"/>
              </w:rPr>
              <w:t>Active - Current Version</w:t>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c>
          <w:tcPr>
            <w:tcW w:type="dxa" w:w="1260"/>
            <w:shd w:fill="FFFFFF"/>
          </w:tcPr>
          <w:p>
            <w:pPr>
              <w:jc w:val="left"/>
            </w:pPr>
            <w:r/>
            <w:r>
              <w:rPr>
                <w:rFonts w:ascii="Arial" w:hAnsi="Arial"/>
                <w:b w:val="0"/>
                <w:color w:val="1F2937"/>
                <w:sz w:val="14"/>
              </w:rPr>
            </w:r>
          </w:p>
        </w:tc>
      </w:tr>
    </w:tbl>
    <w:p/>
    <w:p>
      <w:pPr>
        <w:pStyle w:val="Heading2"/>
      </w:pPr>
      <w:r>
        <w:t>Risk Control Matrix</w:t>
      </w:r>
    </w:p>
    <w:tbl>
      <w:tblPr>
        <w:tblStyle w:val="TableGrid"/>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00338D"/>
          </w:tcPr>
          <w:p>
            <w:pPr>
              <w:jc w:val="left"/>
            </w:pPr>
            <w:r/>
            <w:r>
              <w:rPr>
                <w:rFonts w:ascii="Arial" w:hAnsi="Arial"/>
                <w:b/>
                <w:color w:val="FFFFFF"/>
                <w:sz w:val="14"/>
              </w:rPr>
              <w:t>Wealth Management Risk &amp; Controls Matrix (RCM-WM-KYC-001) - Client Onboarding &amp; KYC</w:t>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c>
          <w:tcPr>
            <w:tcW w:type="dxa" w:w="720"/>
            <w:shd w:fill="00338D"/>
          </w:tcPr>
          <w:p>
            <w:pPr>
              <w:jc w:val="left"/>
            </w:pPr>
            <w:r/>
            <w:r>
              <w:rPr>
                <w:rFonts w:ascii="Arial" w:hAnsi="Arial"/>
                <w:b/>
                <w:color w:val="FFFFFF"/>
                <w:sz w:val="14"/>
              </w:rPr>
            </w:r>
          </w:p>
        </w:tc>
      </w:tr>
      <w:tr>
        <w:tc>
          <w:tcPr>
            <w:tcW w:type="dxa" w:w="720"/>
            <w:shd w:fill="FFFFFF"/>
          </w:tcPr>
          <w:p>
            <w:pPr>
              <w:jc w:val="left"/>
            </w:pPr>
            <w:r/>
            <w:r>
              <w:rPr>
                <w:rFonts w:ascii="Arial" w:hAnsi="Arial"/>
                <w:b w:val="0"/>
                <w:color w:val="1F2937"/>
                <w:sz w:val="14"/>
              </w:rPr>
              <w:t>Control ID</w:t>
            </w:r>
          </w:p>
        </w:tc>
        <w:tc>
          <w:tcPr>
            <w:tcW w:type="dxa" w:w="720"/>
            <w:shd w:fill="FFFFFF"/>
          </w:tcPr>
          <w:p>
            <w:pPr>
              <w:jc w:val="left"/>
            </w:pPr>
            <w:r/>
            <w:r>
              <w:rPr>
                <w:rFonts w:ascii="Arial" w:hAnsi="Arial"/>
                <w:b w:val="0"/>
                <w:color w:val="1F2937"/>
                <w:sz w:val="14"/>
              </w:rPr>
              <w:t>Risk ID</w:t>
            </w:r>
          </w:p>
        </w:tc>
        <w:tc>
          <w:tcPr>
            <w:tcW w:type="dxa" w:w="720"/>
            <w:shd w:fill="FFFFFF"/>
          </w:tcPr>
          <w:p>
            <w:pPr>
              <w:jc w:val="left"/>
            </w:pPr>
            <w:r/>
            <w:r>
              <w:rPr>
                <w:rFonts w:ascii="Arial" w:hAnsi="Arial"/>
                <w:b w:val="0"/>
                <w:color w:val="1F2937"/>
                <w:sz w:val="14"/>
              </w:rPr>
              <w:t>Risk Title</w:t>
            </w:r>
          </w:p>
        </w:tc>
        <w:tc>
          <w:tcPr>
            <w:tcW w:type="dxa" w:w="720"/>
            <w:shd w:fill="FFFFFF"/>
          </w:tcPr>
          <w:p>
            <w:pPr>
              <w:jc w:val="left"/>
            </w:pPr>
            <w:r/>
            <w:r>
              <w:rPr>
                <w:rFonts w:ascii="Arial" w:hAnsi="Arial"/>
                <w:b w:val="0"/>
                <w:color w:val="1F2937"/>
                <w:sz w:val="14"/>
              </w:rPr>
              <w:t>Risk Category</w:t>
            </w:r>
          </w:p>
        </w:tc>
        <w:tc>
          <w:tcPr>
            <w:tcW w:type="dxa" w:w="720"/>
            <w:shd w:fill="FFFFFF"/>
          </w:tcPr>
          <w:p>
            <w:pPr>
              <w:jc w:val="left"/>
            </w:pPr>
            <w:r/>
            <w:r>
              <w:rPr>
                <w:rFonts w:ascii="Arial" w:hAnsi="Arial"/>
                <w:b w:val="0"/>
                <w:color w:val="1F2937"/>
                <w:sz w:val="14"/>
              </w:rPr>
              <w:t>Inherent Rating</w:t>
            </w:r>
          </w:p>
        </w:tc>
        <w:tc>
          <w:tcPr>
            <w:tcW w:type="dxa" w:w="720"/>
            <w:shd w:fill="FFFFFF"/>
          </w:tcPr>
          <w:p>
            <w:pPr>
              <w:jc w:val="left"/>
            </w:pPr>
            <w:r/>
            <w:r>
              <w:rPr>
                <w:rFonts w:ascii="Arial" w:hAnsi="Arial"/>
                <w:b w:val="0"/>
                <w:color w:val="1F2937"/>
                <w:sz w:val="14"/>
              </w:rPr>
              <w:t>Control Name</w:t>
            </w:r>
          </w:p>
        </w:tc>
        <w:tc>
          <w:tcPr>
            <w:tcW w:type="dxa" w:w="720"/>
            <w:shd w:fill="FFFFFF"/>
          </w:tcPr>
          <w:p>
            <w:pPr>
              <w:jc w:val="left"/>
            </w:pPr>
            <w:r/>
            <w:r>
              <w:rPr>
                <w:rFonts w:ascii="Arial" w:hAnsi="Arial"/>
                <w:b w:val="0"/>
                <w:color w:val="1F2937"/>
                <w:sz w:val="14"/>
              </w:rPr>
              <w:t>Control Description</w:t>
            </w:r>
          </w:p>
        </w:tc>
        <w:tc>
          <w:tcPr>
            <w:tcW w:type="dxa" w:w="720"/>
            <w:shd w:fill="FFFFFF"/>
          </w:tcPr>
          <w:p>
            <w:pPr>
              <w:jc w:val="left"/>
            </w:pPr>
            <w:r/>
            <w:r>
              <w:rPr>
                <w:rFonts w:ascii="Arial" w:hAnsi="Arial"/>
                <w:b w:val="0"/>
                <w:color w:val="1F2937"/>
                <w:sz w:val="14"/>
              </w:rPr>
              <w:t>Control Type</w:t>
            </w:r>
          </w:p>
        </w:tc>
        <w:tc>
          <w:tcPr>
            <w:tcW w:type="dxa" w:w="720"/>
            <w:shd w:fill="FFFFFF"/>
          </w:tcPr>
          <w:p>
            <w:pPr>
              <w:jc w:val="left"/>
            </w:pPr>
            <w:r/>
            <w:r>
              <w:rPr>
                <w:rFonts w:ascii="Arial" w:hAnsi="Arial"/>
                <w:b w:val="0"/>
                <w:color w:val="1F2937"/>
                <w:sz w:val="14"/>
              </w:rPr>
              <w:t>Owner</w:t>
            </w:r>
          </w:p>
        </w:tc>
        <w:tc>
          <w:tcPr>
            <w:tcW w:type="dxa" w:w="720"/>
            <w:shd w:fill="FFFFFF"/>
          </w:tcPr>
          <w:p>
            <w:pPr>
              <w:jc w:val="left"/>
            </w:pPr>
            <w:r/>
            <w:r>
              <w:rPr>
                <w:rFonts w:ascii="Arial" w:hAnsi="Arial"/>
                <w:b w:val="0"/>
                <w:color w:val="1F2937"/>
                <w:sz w:val="14"/>
              </w:rPr>
              <w:t>Frequency</w:t>
            </w:r>
          </w:p>
        </w:tc>
        <w:tc>
          <w:tcPr>
            <w:tcW w:type="dxa" w:w="720"/>
            <w:shd w:fill="FFFFFF"/>
          </w:tcPr>
          <w:p>
            <w:pPr>
              <w:jc w:val="left"/>
            </w:pPr>
            <w:r/>
            <w:r>
              <w:rPr>
                <w:rFonts w:ascii="Arial" w:hAnsi="Arial"/>
                <w:b w:val="0"/>
                <w:color w:val="1F2937"/>
                <w:sz w:val="14"/>
              </w:rPr>
              <w:t>Evidence Expected</w:t>
            </w:r>
          </w:p>
        </w:tc>
        <w:tc>
          <w:tcPr>
            <w:tcW w:type="dxa" w:w="720"/>
            <w:shd w:fill="FFFFFF"/>
          </w:tcPr>
          <w:p>
            <w:pPr>
              <w:jc w:val="left"/>
            </w:pPr>
            <w:r/>
            <w:r>
              <w:rPr>
                <w:rFonts w:ascii="Arial" w:hAnsi="Arial"/>
                <w:b w:val="0"/>
                <w:color w:val="1F2937"/>
                <w:sz w:val="14"/>
              </w:rPr>
              <w:t>Regulatory Basis</w:t>
            </w:r>
          </w:p>
        </w:tc>
        <w:tc>
          <w:tcPr>
            <w:tcW w:type="dxa" w:w="720"/>
            <w:shd w:fill="FFFFFF"/>
          </w:tcPr>
          <w:p>
            <w:pPr>
              <w:jc w:val="left"/>
            </w:pPr>
            <w:r/>
            <w:r>
              <w:rPr>
                <w:rFonts w:ascii="Arial" w:hAnsi="Arial"/>
                <w:b w:val="0"/>
                <w:color w:val="1F2937"/>
                <w:sz w:val="14"/>
              </w:rPr>
              <w:t>Residual Rating</w:t>
            </w:r>
          </w:p>
        </w:tc>
        <w:tc>
          <w:tcPr>
            <w:tcW w:type="dxa" w:w="720"/>
            <w:shd w:fill="FFFFFF"/>
          </w:tcPr>
          <w:p>
            <w:pPr>
              <w:jc w:val="left"/>
            </w:pPr>
            <w:r/>
            <w:r>
              <w:rPr>
                <w:rFonts w:ascii="Arial" w:hAnsi="Arial"/>
                <w:b w:val="0"/>
                <w:color w:val="1F2937"/>
                <w:sz w:val="14"/>
              </w:rPr>
              <w:t>SOP Gap / Notes</w:t>
            </w:r>
          </w:p>
        </w:tc>
      </w:tr>
      <w:tr>
        <w:tc>
          <w:tcPr>
            <w:tcW w:type="dxa" w:w="720"/>
            <w:shd w:fill="F8FAFC"/>
          </w:tcPr>
          <w:p>
            <w:pPr>
              <w:jc w:val="left"/>
            </w:pPr>
            <w:r/>
            <w:r>
              <w:rPr>
                <w:rFonts w:ascii="Arial" w:hAnsi="Arial"/>
                <w:b w:val="0"/>
                <w:color w:val="1F2937"/>
                <w:sz w:val="14"/>
              </w:rPr>
              <w:t>C-01</w:t>
            </w:r>
          </w:p>
        </w:tc>
        <w:tc>
          <w:tcPr>
            <w:tcW w:type="dxa" w:w="720"/>
            <w:shd w:fill="F8FAFC"/>
          </w:tcPr>
          <w:p>
            <w:pPr>
              <w:jc w:val="left"/>
            </w:pPr>
            <w:r/>
            <w:r>
              <w:rPr>
                <w:rFonts w:ascii="Arial" w:hAnsi="Arial"/>
                <w:b w:val="0"/>
                <w:color w:val="1F2937"/>
                <w:sz w:val="14"/>
              </w:rPr>
              <w:t>R-01</w:t>
            </w:r>
          </w:p>
        </w:tc>
        <w:tc>
          <w:tcPr>
            <w:tcW w:type="dxa" w:w="720"/>
            <w:shd w:fill="F8FAFC"/>
          </w:tcPr>
          <w:p>
            <w:pPr>
              <w:jc w:val="left"/>
            </w:pPr>
            <w:r/>
            <w:r>
              <w:rPr>
                <w:rFonts w:ascii="Arial" w:hAnsi="Arial"/>
                <w:b w:val="0"/>
                <w:color w:val="1F2937"/>
                <w:sz w:val="14"/>
              </w:rPr>
              <w:t>Incomplete KYC / Missing Client Information</w:t>
            </w:r>
          </w:p>
        </w:tc>
        <w:tc>
          <w:tcPr>
            <w:tcW w:type="dxa" w:w="720"/>
            <w:shd w:fill="F8FAFC"/>
          </w:tcPr>
          <w:p>
            <w:pPr>
              <w:jc w:val="left"/>
            </w:pPr>
            <w:r/>
            <w:r>
              <w:rPr>
                <w:rFonts w:ascii="Arial" w:hAnsi="Arial"/>
                <w:b w:val="0"/>
                <w:color w:val="1F2937"/>
                <w:sz w:val="14"/>
              </w:rPr>
              <w:t>Compliance / Regulatory</w:t>
            </w:r>
          </w:p>
        </w:tc>
        <w:tc>
          <w:tcPr>
            <w:tcW w:type="dxa" w:w="720"/>
            <w:shd w:fill="F8FAFC"/>
          </w:tcPr>
          <w:p>
            <w:pPr>
              <w:jc w:val="left"/>
            </w:pPr>
            <w:r/>
            <w:r>
              <w:rPr>
                <w:rFonts w:ascii="Arial" w:hAnsi="Arial"/>
                <w:b w:val="0"/>
                <w:color w:val="1F2937"/>
                <w:sz w:val="14"/>
              </w:rPr>
              <w:t>High</w:t>
            </w:r>
          </w:p>
        </w:tc>
        <w:tc>
          <w:tcPr>
            <w:tcW w:type="dxa" w:w="720"/>
            <w:shd w:fill="F8FAFC"/>
          </w:tcPr>
          <w:p>
            <w:pPr>
              <w:jc w:val="left"/>
            </w:pPr>
            <w:r/>
            <w:r>
              <w:rPr>
                <w:rFonts w:ascii="Arial" w:hAnsi="Arial"/>
                <w:b w:val="0"/>
                <w:color w:val="1F2937"/>
                <w:sz w:val="14"/>
              </w:rPr>
              <w:t>NAAF Completeness Review</w:t>
            </w:r>
          </w:p>
        </w:tc>
        <w:tc>
          <w:tcPr>
            <w:tcW w:type="dxa" w:w="720"/>
            <w:shd w:fill="F8FAFC"/>
          </w:tcPr>
          <w:p>
            <w:pPr>
              <w:jc w:val="left"/>
            </w:pPr>
            <w:r/>
            <w:r>
              <w:rPr>
                <w:rFonts w:ascii="Arial" w:hAnsi="Arial"/>
                <w:b w:val="0"/>
                <w:color w:val="1F2937"/>
                <w:sz w:val="14"/>
              </w:rPr>
              <w:t>Branch Operations reviews the New Account Application Form (NAAF) for completeness against the required field checklist before the account is activated. NAAFs that do not meet the completeness standard are returned to the IA/RM. A supervisor override of the completeness check requires Branch Manager approval.</w:t>
            </w:r>
          </w:p>
        </w:tc>
        <w:tc>
          <w:tcPr>
            <w:tcW w:type="dxa" w:w="720"/>
            <w:shd w:fill="F8FAFC"/>
          </w:tcPr>
          <w:p>
            <w:pPr>
              <w:jc w:val="left"/>
            </w:pPr>
            <w:r/>
            <w:r>
              <w:rPr>
                <w:rFonts w:ascii="Arial" w:hAnsi="Arial"/>
                <w:b w:val="0"/>
                <w:color w:val="1F2937"/>
                <w:sz w:val="14"/>
              </w:rPr>
              <w:t>Preventive</w:t>
            </w:r>
          </w:p>
        </w:tc>
        <w:tc>
          <w:tcPr>
            <w:tcW w:type="dxa" w:w="720"/>
            <w:shd w:fill="F8FAFC"/>
          </w:tcPr>
          <w:p>
            <w:pPr>
              <w:jc w:val="left"/>
            </w:pPr>
            <w:r/>
            <w:r>
              <w:rPr>
                <w:rFonts w:ascii="Arial" w:hAnsi="Arial"/>
                <w:b w:val="0"/>
                <w:color w:val="1F2937"/>
                <w:sz w:val="14"/>
              </w:rPr>
              <w:t>Branch Operations</w:t>
            </w:r>
          </w:p>
        </w:tc>
        <w:tc>
          <w:tcPr>
            <w:tcW w:type="dxa" w:w="720"/>
            <w:shd w:fill="F8FAFC"/>
          </w:tcPr>
          <w:p>
            <w:pPr>
              <w:jc w:val="left"/>
            </w:pPr>
            <w:r/>
            <w:r>
              <w:rPr>
                <w:rFonts w:ascii="Arial" w:hAnsi="Arial"/>
                <w:b w:val="0"/>
                <w:color w:val="1F2937"/>
                <w:sz w:val="14"/>
              </w:rPr>
              <w:t>Per account opening event</w:t>
            </w:r>
          </w:p>
        </w:tc>
        <w:tc>
          <w:tcPr>
            <w:tcW w:type="dxa" w:w="720"/>
            <w:shd w:fill="F8FAFC"/>
          </w:tcPr>
          <w:p>
            <w:pPr>
              <w:jc w:val="left"/>
            </w:pPr>
            <w:r/>
            <w:r>
              <w:rPr>
                <w:rFonts w:ascii="Arial" w:hAnsi="Arial"/>
                <w:b w:val="0"/>
                <w:color w:val="1F2937"/>
                <w:sz w:val="14"/>
              </w:rPr>
              <w:t>NAAF completeness flag in account management system; returned NAAF log; supervisor override approval record</w:t>
            </w:r>
          </w:p>
        </w:tc>
        <w:tc>
          <w:tcPr>
            <w:tcW w:type="dxa" w:w="720"/>
            <w:shd w:fill="F8FAFC"/>
          </w:tcPr>
          <w:p>
            <w:pPr>
              <w:jc w:val="left"/>
            </w:pPr>
            <w:r/>
            <w:r>
              <w:rPr>
                <w:rFonts w:ascii="Arial" w:hAnsi="Arial"/>
                <w:b w:val="0"/>
                <w:color w:val="1F2937"/>
                <w:sz w:val="14"/>
              </w:rPr>
              <w:t>CIRO Rule 3200; NI 31-103 s.13.2</w:t>
            </w:r>
          </w:p>
        </w:tc>
        <w:tc>
          <w:tcPr>
            <w:tcW w:type="dxa" w:w="720"/>
            <w:shd w:fill="F8FAFC"/>
          </w:tcPr>
          <w:p>
            <w:pPr>
              <w:jc w:val="left"/>
            </w:pPr>
            <w:r/>
            <w:r>
              <w:rPr>
                <w:rFonts w:ascii="Arial" w:hAnsi="Arial"/>
                <w:b w:val="0"/>
                <w:color w:val="1F2937"/>
                <w:sz w:val="14"/>
              </w:rPr>
              <w:t>Medium</w:t>
            </w:r>
          </w:p>
        </w:tc>
        <w:tc>
          <w:tcPr>
            <w:tcW w:type="dxa" w:w="720"/>
            <w:shd w:fill="F8FAFC"/>
          </w:tcPr>
          <w:p>
            <w:pPr>
              <w:jc w:val="left"/>
            </w:pPr>
            <w:r/>
            <w:r>
              <w:rPr>
                <w:rFonts w:ascii="Arial" w:hAnsi="Arial"/>
                <w:b w:val="0"/>
                <w:color w:val="1F2937"/>
                <w:sz w:val="14"/>
              </w:rPr>
              <w:t>Q1 2025 testing: 3/15 NAAFs activated with incomplete fields. Override approval not consistently documented. SOP section 5.2 does not reference the completeness check control or the override approval requirement.</w:t>
            </w:r>
          </w:p>
        </w:tc>
      </w:tr>
      <w:tr>
        <w:tc>
          <w:tcPr>
            <w:tcW w:type="dxa" w:w="720"/>
            <w:shd w:fill="FFFFFF"/>
          </w:tcPr>
          <w:p>
            <w:pPr>
              <w:jc w:val="left"/>
            </w:pPr>
            <w:r/>
            <w:r>
              <w:rPr>
                <w:rFonts w:ascii="Arial" w:hAnsi="Arial"/>
                <w:b w:val="0"/>
                <w:color w:val="1F2937"/>
                <w:sz w:val="14"/>
              </w:rPr>
              <w:t>C-02</w:t>
            </w:r>
          </w:p>
        </w:tc>
        <w:tc>
          <w:tcPr>
            <w:tcW w:type="dxa" w:w="720"/>
            <w:shd w:fill="FFFFFF"/>
          </w:tcPr>
          <w:p>
            <w:pPr>
              <w:jc w:val="left"/>
            </w:pPr>
            <w:r/>
            <w:r>
              <w:rPr>
                <w:rFonts w:ascii="Arial" w:hAnsi="Arial"/>
                <w:b w:val="0"/>
                <w:color w:val="1F2937"/>
                <w:sz w:val="14"/>
              </w:rPr>
              <w:t>R-01</w:t>
            </w:r>
          </w:p>
        </w:tc>
        <w:tc>
          <w:tcPr>
            <w:tcW w:type="dxa" w:w="720"/>
            <w:shd w:fill="FFFFFF"/>
          </w:tcPr>
          <w:p>
            <w:pPr>
              <w:jc w:val="left"/>
            </w:pPr>
            <w:r/>
            <w:r>
              <w:rPr>
                <w:rFonts w:ascii="Arial" w:hAnsi="Arial"/>
                <w:b w:val="0"/>
                <w:color w:val="1F2937"/>
                <w:sz w:val="14"/>
              </w:rPr>
              <w:t>Incomplete KYC / Missing Client Information</w:t>
            </w:r>
          </w:p>
        </w:tc>
        <w:tc>
          <w:tcPr>
            <w:tcW w:type="dxa" w:w="720"/>
            <w:shd w:fill="FFFFFF"/>
          </w:tcPr>
          <w:p>
            <w:pPr>
              <w:jc w:val="left"/>
            </w:pPr>
            <w:r/>
            <w:r>
              <w:rPr>
                <w:rFonts w:ascii="Arial" w:hAnsi="Arial"/>
                <w:b w:val="0"/>
                <w:color w:val="1F2937"/>
                <w:sz w:val="14"/>
              </w:rPr>
              <w:t>Compliance / Regulatory</w:t>
            </w:r>
          </w:p>
        </w:tc>
        <w:tc>
          <w:tcPr>
            <w:tcW w:type="dxa" w:w="720"/>
            <w:shd w:fill="FFFFFF"/>
          </w:tcPr>
          <w:p>
            <w:pPr>
              <w:jc w:val="left"/>
            </w:pPr>
            <w:r/>
            <w:r>
              <w:rPr>
                <w:rFonts w:ascii="Arial" w:hAnsi="Arial"/>
                <w:b w:val="0"/>
                <w:color w:val="1F2937"/>
                <w:sz w:val="14"/>
              </w:rPr>
              <w:t>High</w:t>
            </w:r>
          </w:p>
        </w:tc>
        <w:tc>
          <w:tcPr>
            <w:tcW w:type="dxa" w:w="720"/>
            <w:shd w:fill="FFFFFF"/>
          </w:tcPr>
          <w:p>
            <w:pPr>
              <w:jc w:val="left"/>
            </w:pPr>
            <w:r/>
            <w:r>
              <w:rPr>
                <w:rFonts w:ascii="Arial" w:hAnsi="Arial"/>
                <w:b w:val="0"/>
                <w:color w:val="1F2937"/>
                <w:sz w:val="14"/>
              </w:rPr>
              <w:t>IA/RM KYC Self-Certification</w:t>
            </w:r>
          </w:p>
        </w:tc>
        <w:tc>
          <w:tcPr>
            <w:tcW w:type="dxa" w:w="720"/>
            <w:shd w:fill="FFFFFF"/>
          </w:tcPr>
          <w:p>
            <w:pPr>
              <w:jc w:val="left"/>
            </w:pPr>
            <w:r/>
            <w:r>
              <w:rPr>
                <w:rFonts w:ascii="Arial" w:hAnsi="Arial"/>
                <w:b w:val="0"/>
                <w:color w:val="1F2937"/>
                <w:sz w:val="14"/>
              </w:rPr>
              <w:t>The IA/RM certifies completeness of the NAAF prior to submission to Branch Operations. Certification must reference the current NAAF template version (TMD-NAAF-STD).</w:t>
            </w:r>
          </w:p>
        </w:tc>
        <w:tc>
          <w:tcPr>
            <w:tcW w:type="dxa" w:w="720"/>
            <w:shd w:fill="FFFFFF"/>
          </w:tcPr>
          <w:p>
            <w:pPr>
              <w:jc w:val="left"/>
            </w:pPr>
            <w:r/>
            <w:r>
              <w:rPr>
                <w:rFonts w:ascii="Arial" w:hAnsi="Arial"/>
                <w:b w:val="0"/>
                <w:color w:val="1F2937"/>
                <w:sz w:val="14"/>
              </w:rPr>
              <w:t>Directive</w:t>
            </w:r>
          </w:p>
        </w:tc>
        <w:tc>
          <w:tcPr>
            <w:tcW w:type="dxa" w:w="720"/>
            <w:shd w:fill="FFFFFF"/>
          </w:tcPr>
          <w:p>
            <w:pPr>
              <w:jc w:val="left"/>
            </w:pPr>
            <w:r/>
            <w:r>
              <w:rPr>
                <w:rFonts w:ascii="Arial" w:hAnsi="Arial"/>
                <w:b w:val="0"/>
                <w:color w:val="1F2937"/>
                <w:sz w:val="14"/>
              </w:rPr>
              <w:t>Investment Advisor / RM</w:t>
            </w:r>
          </w:p>
        </w:tc>
        <w:tc>
          <w:tcPr>
            <w:tcW w:type="dxa" w:w="720"/>
            <w:shd w:fill="FFFFFF"/>
          </w:tcPr>
          <w:p>
            <w:pPr>
              <w:jc w:val="left"/>
            </w:pPr>
            <w:r/>
            <w:r>
              <w:rPr>
                <w:rFonts w:ascii="Arial" w:hAnsi="Arial"/>
                <w:b w:val="0"/>
                <w:color w:val="1F2937"/>
                <w:sz w:val="14"/>
              </w:rPr>
              <w:t>Per account opening event</w:t>
            </w:r>
          </w:p>
        </w:tc>
        <w:tc>
          <w:tcPr>
            <w:tcW w:type="dxa" w:w="720"/>
            <w:shd w:fill="FFFFFF"/>
          </w:tcPr>
          <w:p>
            <w:pPr>
              <w:jc w:val="left"/>
            </w:pPr>
            <w:r/>
            <w:r>
              <w:rPr>
                <w:rFonts w:ascii="Arial" w:hAnsi="Arial"/>
                <w:b w:val="0"/>
                <w:color w:val="1F2937"/>
                <w:sz w:val="14"/>
              </w:rPr>
              <w:t>Signed IA/RM certification on NAAF; NAAF template version reference</w:t>
            </w:r>
          </w:p>
        </w:tc>
        <w:tc>
          <w:tcPr>
            <w:tcW w:type="dxa" w:w="720"/>
            <w:shd w:fill="FFFFFF"/>
          </w:tcPr>
          <w:p>
            <w:pPr>
              <w:jc w:val="left"/>
            </w:pPr>
            <w:r/>
            <w:r>
              <w:rPr>
                <w:rFonts w:ascii="Arial" w:hAnsi="Arial"/>
                <w:b w:val="0"/>
                <w:color w:val="1F2937"/>
                <w:sz w:val="14"/>
              </w:rPr>
              <w:t>CIRO Rule 3200</w:t>
            </w:r>
          </w:p>
        </w:tc>
        <w:tc>
          <w:tcPr>
            <w:tcW w:type="dxa" w:w="720"/>
            <w:shd w:fill="FFFFFF"/>
          </w:tcPr>
          <w:p>
            <w:pPr>
              <w:jc w:val="left"/>
            </w:pPr>
            <w:r/>
            <w:r>
              <w:rPr>
                <w:rFonts w:ascii="Arial" w:hAnsi="Arial"/>
                <w:b w:val="0"/>
                <w:color w:val="1F2937"/>
                <w:sz w:val="14"/>
              </w:rPr>
              <w:t>Medium</w:t>
            </w:r>
          </w:p>
        </w:tc>
        <w:tc>
          <w:tcPr>
            <w:tcW w:type="dxa" w:w="720"/>
            <w:shd w:fill="FFFFFF"/>
          </w:tcPr>
          <w:p>
            <w:pPr>
              <w:jc w:val="left"/>
            </w:pPr>
            <w:r/>
            <w:r>
              <w:rPr>
                <w:rFonts w:ascii="Arial" w:hAnsi="Arial"/>
                <w:b w:val="0"/>
                <w:color w:val="1F2937"/>
                <w:sz w:val="14"/>
              </w:rPr>
              <w:t>NAAF template version not referenced in current SOP. Prior testing found template version mismatch in 1 case.</w:t>
            </w:r>
          </w:p>
        </w:tc>
      </w:tr>
      <w:tr>
        <w:tc>
          <w:tcPr>
            <w:tcW w:type="dxa" w:w="720"/>
            <w:shd w:fill="F8FAFC"/>
          </w:tcPr>
          <w:p>
            <w:pPr>
              <w:jc w:val="left"/>
            </w:pPr>
            <w:r/>
            <w:r>
              <w:rPr>
                <w:rFonts w:ascii="Arial" w:hAnsi="Arial"/>
                <w:b w:val="0"/>
                <w:color w:val="1F2937"/>
                <w:sz w:val="14"/>
              </w:rPr>
              <w:t>C-03</w:t>
            </w:r>
          </w:p>
        </w:tc>
        <w:tc>
          <w:tcPr>
            <w:tcW w:type="dxa" w:w="720"/>
            <w:shd w:fill="F8FAFC"/>
          </w:tcPr>
          <w:p>
            <w:pPr>
              <w:jc w:val="left"/>
            </w:pPr>
            <w:r/>
            <w:r>
              <w:rPr>
                <w:rFonts w:ascii="Arial" w:hAnsi="Arial"/>
                <w:b w:val="0"/>
                <w:color w:val="1F2937"/>
                <w:sz w:val="14"/>
              </w:rPr>
              <w:t>R-02</w:t>
            </w:r>
          </w:p>
        </w:tc>
        <w:tc>
          <w:tcPr>
            <w:tcW w:type="dxa" w:w="720"/>
            <w:shd w:fill="F8FAFC"/>
          </w:tcPr>
          <w:p>
            <w:pPr>
              <w:jc w:val="left"/>
            </w:pPr>
            <w:r/>
            <w:r>
              <w:rPr>
                <w:rFonts w:ascii="Arial" w:hAnsi="Arial"/>
                <w:b w:val="0"/>
                <w:color w:val="1F2937"/>
                <w:sz w:val="14"/>
              </w:rPr>
              <w:t>Unidentified PEP, HIO, or Sanctioned Client</w:t>
            </w:r>
          </w:p>
        </w:tc>
        <w:tc>
          <w:tcPr>
            <w:tcW w:type="dxa" w:w="720"/>
            <w:shd w:fill="F8FAFC"/>
          </w:tcPr>
          <w:p>
            <w:pPr>
              <w:jc w:val="left"/>
            </w:pPr>
            <w:r/>
            <w:r>
              <w:rPr>
                <w:rFonts w:ascii="Arial" w:hAnsi="Arial"/>
                <w:b w:val="0"/>
                <w:color w:val="1F2937"/>
                <w:sz w:val="14"/>
              </w:rPr>
              <w:t>AML / Compliance</w:t>
            </w:r>
          </w:p>
        </w:tc>
        <w:tc>
          <w:tcPr>
            <w:tcW w:type="dxa" w:w="720"/>
            <w:shd w:fill="F8FAFC"/>
          </w:tcPr>
          <w:p>
            <w:pPr>
              <w:jc w:val="left"/>
            </w:pPr>
            <w:r/>
            <w:r>
              <w:rPr>
                <w:rFonts w:ascii="Arial" w:hAnsi="Arial"/>
                <w:b w:val="0"/>
                <w:color w:val="1F2937"/>
                <w:sz w:val="14"/>
              </w:rPr>
              <w:t>Critical</w:t>
            </w:r>
          </w:p>
        </w:tc>
        <w:tc>
          <w:tcPr>
            <w:tcW w:type="dxa" w:w="720"/>
            <w:shd w:fill="F8FAFC"/>
          </w:tcPr>
          <w:p>
            <w:pPr>
              <w:jc w:val="left"/>
            </w:pPr>
            <w:r/>
            <w:r>
              <w:rPr>
                <w:rFonts w:ascii="Arial" w:hAnsi="Arial"/>
                <w:b w:val="0"/>
                <w:color w:val="1F2937"/>
                <w:sz w:val="14"/>
              </w:rPr>
              <w:t>AML and Sanctions Screening</w:t>
            </w:r>
          </w:p>
        </w:tc>
        <w:tc>
          <w:tcPr>
            <w:tcW w:type="dxa" w:w="720"/>
            <w:shd w:fill="F8FAFC"/>
          </w:tcPr>
          <w:p>
            <w:pPr>
              <w:jc w:val="left"/>
            </w:pPr>
            <w:r/>
            <w:r>
              <w:rPr>
                <w:rFonts w:ascii="Arial" w:hAnsi="Arial"/>
                <w:b w:val="0"/>
                <w:color w:val="1F2937"/>
                <w:sz w:val="14"/>
              </w:rPr>
              <w:t>The AML/ATF Officer screens all new clients against Canadian sanctions lists (SEMA, Criminal Code), OFAC, UN Consolidated List, PEP/HIO databases, and adverse media sources using the approved screening platform (PROC-SCREEN-WM-001) before account opening. Screening results including platform name, date, and outcome are documented in the client file.</w:t>
            </w:r>
          </w:p>
        </w:tc>
        <w:tc>
          <w:tcPr>
            <w:tcW w:type="dxa" w:w="720"/>
            <w:shd w:fill="F8FAFC"/>
          </w:tcPr>
          <w:p>
            <w:pPr>
              <w:jc w:val="left"/>
            </w:pPr>
            <w:r/>
            <w:r>
              <w:rPr>
                <w:rFonts w:ascii="Arial" w:hAnsi="Arial"/>
                <w:b w:val="0"/>
                <w:color w:val="1F2937"/>
                <w:sz w:val="14"/>
              </w:rPr>
              <w:t>Preventive</w:t>
            </w:r>
          </w:p>
        </w:tc>
        <w:tc>
          <w:tcPr>
            <w:tcW w:type="dxa" w:w="720"/>
            <w:shd w:fill="F8FAFC"/>
          </w:tcPr>
          <w:p>
            <w:pPr>
              <w:jc w:val="left"/>
            </w:pPr>
            <w:r/>
            <w:r>
              <w:rPr>
                <w:rFonts w:ascii="Arial" w:hAnsi="Arial"/>
                <w:b w:val="0"/>
                <w:color w:val="1F2937"/>
                <w:sz w:val="14"/>
              </w:rPr>
              <w:t>Compliance - AML/ATF Officer</w:t>
            </w:r>
          </w:p>
        </w:tc>
        <w:tc>
          <w:tcPr>
            <w:tcW w:type="dxa" w:w="720"/>
            <w:shd w:fill="F8FAFC"/>
          </w:tcPr>
          <w:p>
            <w:pPr>
              <w:jc w:val="left"/>
            </w:pPr>
            <w:r/>
            <w:r>
              <w:rPr>
                <w:rFonts w:ascii="Arial" w:hAnsi="Arial"/>
                <w:b w:val="0"/>
                <w:color w:val="1F2937"/>
                <w:sz w:val="14"/>
              </w:rPr>
              <w:t>Per account opening event</w:t>
            </w:r>
          </w:p>
        </w:tc>
        <w:tc>
          <w:tcPr>
            <w:tcW w:type="dxa" w:w="720"/>
            <w:shd w:fill="F8FAFC"/>
          </w:tcPr>
          <w:p>
            <w:pPr>
              <w:jc w:val="left"/>
            </w:pPr>
            <w:r/>
            <w:r>
              <w:rPr>
                <w:rFonts w:ascii="Arial" w:hAnsi="Arial"/>
                <w:b w:val="0"/>
                <w:color w:val="1F2937"/>
                <w:sz w:val="14"/>
              </w:rPr>
              <w:t>Screening report in client file: platform name, date, list versions queried, outcome; match review record if applicable</w:t>
            </w:r>
          </w:p>
        </w:tc>
        <w:tc>
          <w:tcPr>
            <w:tcW w:type="dxa" w:w="720"/>
            <w:shd w:fill="F8FAFC"/>
          </w:tcPr>
          <w:p>
            <w:pPr>
              <w:jc w:val="left"/>
            </w:pPr>
            <w:r/>
            <w:r>
              <w:rPr>
                <w:rFonts w:ascii="Arial" w:hAnsi="Arial"/>
                <w:b w:val="0"/>
                <w:color w:val="1F2937"/>
                <w:sz w:val="14"/>
              </w:rPr>
              <w:t>PCMLTFA s.9.3; FINTRAC GL-01; SEMA</w:t>
            </w:r>
          </w:p>
        </w:tc>
        <w:tc>
          <w:tcPr>
            <w:tcW w:type="dxa" w:w="720"/>
            <w:shd w:fill="F8FAFC"/>
          </w:tcPr>
          <w:p>
            <w:pPr>
              <w:jc w:val="left"/>
            </w:pPr>
            <w:r/>
            <w:r>
              <w:rPr>
                <w:rFonts w:ascii="Arial" w:hAnsi="Arial"/>
                <w:b w:val="0"/>
                <w:color w:val="1F2937"/>
                <w:sz w:val="14"/>
              </w:rPr>
              <w:t>Low</w:t>
            </w:r>
          </w:p>
        </w:tc>
        <w:tc>
          <w:tcPr>
            <w:tcW w:type="dxa" w:w="720"/>
            <w:shd w:fill="F8FAFC"/>
          </w:tcPr>
          <w:p>
            <w:pPr>
              <w:jc w:val="left"/>
            </w:pPr>
            <w:r/>
            <w:r>
              <w:rPr>
                <w:rFonts w:ascii="Arial" w:hAnsi="Arial"/>
                <w:b w:val="0"/>
                <w:color w:val="1F2937"/>
                <w:sz w:val="14"/>
              </w:rPr>
              <w:t>Screening platform name not specified in SOP section 5.3. SOP does not specify what happens to the account while a match is under review - gap in process sequencing.</w:t>
            </w:r>
          </w:p>
        </w:tc>
      </w:tr>
      <w:tr>
        <w:tc>
          <w:tcPr>
            <w:tcW w:type="dxa" w:w="720"/>
            <w:shd w:fill="FFFFFF"/>
          </w:tcPr>
          <w:p>
            <w:pPr>
              <w:jc w:val="left"/>
            </w:pPr>
            <w:r/>
            <w:r>
              <w:rPr>
                <w:rFonts w:ascii="Arial" w:hAnsi="Arial"/>
                <w:b w:val="0"/>
                <w:color w:val="1F2937"/>
                <w:sz w:val="14"/>
              </w:rPr>
              <w:t>C-04</w:t>
            </w:r>
          </w:p>
        </w:tc>
        <w:tc>
          <w:tcPr>
            <w:tcW w:type="dxa" w:w="720"/>
            <w:shd w:fill="FFFFFF"/>
          </w:tcPr>
          <w:p>
            <w:pPr>
              <w:jc w:val="left"/>
            </w:pPr>
            <w:r/>
            <w:r>
              <w:rPr>
                <w:rFonts w:ascii="Arial" w:hAnsi="Arial"/>
                <w:b w:val="0"/>
                <w:color w:val="1F2937"/>
                <w:sz w:val="14"/>
              </w:rPr>
              <w:t>R-03</w:t>
            </w:r>
          </w:p>
        </w:tc>
        <w:tc>
          <w:tcPr>
            <w:tcW w:type="dxa" w:w="720"/>
            <w:shd w:fill="FFFFFF"/>
          </w:tcPr>
          <w:p>
            <w:pPr>
              <w:jc w:val="left"/>
            </w:pPr>
            <w:r/>
            <w:r>
              <w:rPr>
                <w:rFonts w:ascii="Arial" w:hAnsi="Arial"/>
                <w:b w:val="0"/>
                <w:color w:val="1F2937"/>
                <w:sz w:val="14"/>
              </w:rPr>
              <w:t>Unsuitable Investment Recommendation</w:t>
            </w:r>
          </w:p>
        </w:tc>
        <w:tc>
          <w:tcPr>
            <w:tcW w:type="dxa" w:w="720"/>
            <w:shd w:fill="FFFFFF"/>
          </w:tcPr>
          <w:p>
            <w:pPr>
              <w:jc w:val="left"/>
            </w:pPr>
            <w:r/>
            <w:r>
              <w:rPr>
                <w:rFonts w:ascii="Arial" w:hAnsi="Arial"/>
                <w:b w:val="0"/>
                <w:color w:val="1F2937"/>
                <w:sz w:val="14"/>
              </w:rPr>
              <w:t>Suitability / Regulatory</w:t>
            </w:r>
          </w:p>
        </w:tc>
        <w:tc>
          <w:tcPr>
            <w:tcW w:type="dxa" w:w="720"/>
            <w:shd w:fill="FFFFFF"/>
          </w:tcPr>
          <w:p>
            <w:pPr>
              <w:jc w:val="left"/>
            </w:pPr>
            <w:r/>
            <w:r>
              <w:rPr>
                <w:rFonts w:ascii="Arial" w:hAnsi="Arial"/>
                <w:b w:val="0"/>
                <w:color w:val="1F2937"/>
                <w:sz w:val="14"/>
              </w:rPr>
              <w:t>High</w:t>
            </w:r>
          </w:p>
        </w:tc>
        <w:tc>
          <w:tcPr>
            <w:tcW w:type="dxa" w:w="720"/>
            <w:shd w:fill="FFFFFF"/>
          </w:tcPr>
          <w:p>
            <w:pPr>
              <w:jc w:val="left"/>
            </w:pPr>
            <w:r/>
            <w:r>
              <w:rPr>
                <w:rFonts w:ascii="Arial" w:hAnsi="Arial"/>
                <w:b w:val="0"/>
                <w:color w:val="1F2937"/>
                <w:sz w:val="14"/>
              </w:rPr>
              <w:t>Suitability Assessment - New Account</w:t>
            </w:r>
          </w:p>
        </w:tc>
        <w:tc>
          <w:tcPr>
            <w:tcW w:type="dxa" w:w="720"/>
            <w:shd w:fill="FFFFFF"/>
          </w:tcPr>
          <w:p>
            <w:pPr>
              <w:jc w:val="left"/>
            </w:pPr>
            <w:r/>
            <w:r>
              <w:rPr>
                <w:rFonts w:ascii="Arial" w:hAnsi="Arial"/>
                <w:b w:val="0"/>
                <w:color w:val="1F2937"/>
                <w:sz w:val="14"/>
              </w:rPr>
              <w:t>The IA/RM completes a documented suitability assessment before making any investment recommendation or accepting account instructions. The assessment confirms that the recommended strategy aligns with the client's risk tolerance, objectives, time horizon, financial situation, and investment knowledge as captured on the NAAF.</w:t>
            </w:r>
          </w:p>
        </w:tc>
        <w:tc>
          <w:tcPr>
            <w:tcW w:type="dxa" w:w="720"/>
            <w:shd w:fill="FFFFFF"/>
          </w:tcPr>
          <w:p>
            <w:pPr>
              <w:jc w:val="left"/>
            </w:pPr>
            <w:r/>
            <w:r>
              <w:rPr>
                <w:rFonts w:ascii="Arial" w:hAnsi="Arial"/>
                <w:b w:val="0"/>
                <w:color w:val="1F2937"/>
                <w:sz w:val="14"/>
              </w:rPr>
              <w:t>Preventive</w:t>
            </w:r>
          </w:p>
        </w:tc>
        <w:tc>
          <w:tcPr>
            <w:tcW w:type="dxa" w:w="720"/>
            <w:shd w:fill="FFFFFF"/>
          </w:tcPr>
          <w:p>
            <w:pPr>
              <w:jc w:val="left"/>
            </w:pPr>
            <w:r/>
            <w:r>
              <w:rPr>
                <w:rFonts w:ascii="Arial" w:hAnsi="Arial"/>
                <w:b w:val="0"/>
                <w:color w:val="1F2937"/>
                <w:sz w:val="14"/>
              </w:rPr>
              <w:t>Investment Advisor / RM</w:t>
            </w:r>
          </w:p>
        </w:tc>
        <w:tc>
          <w:tcPr>
            <w:tcW w:type="dxa" w:w="720"/>
            <w:shd w:fill="FFFFFF"/>
          </w:tcPr>
          <w:p>
            <w:pPr>
              <w:jc w:val="left"/>
            </w:pPr>
            <w:r/>
            <w:r>
              <w:rPr>
                <w:rFonts w:ascii="Arial" w:hAnsi="Arial"/>
                <w:b w:val="0"/>
                <w:color w:val="1F2937"/>
                <w:sz w:val="14"/>
              </w:rPr>
              <w:t>Per account opening event; upon material change</w:t>
            </w:r>
          </w:p>
        </w:tc>
        <w:tc>
          <w:tcPr>
            <w:tcW w:type="dxa" w:w="720"/>
            <w:shd w:fill="FFFFFF"/>
          </w:tcPr>
          <w:p>
            <w:pPr>
              <w:jc w:val="left"/>
            </w:pPr>
            <w:r/>
            <w:r>
              <w:rPr>
                <w:rFonts w:ascii="Arial" w:hAnsi="Arial"/>
                <w:b w:val="0"/>
                <w:color w:val="1F2937"/>
                <w:sz w:val="14"/>
              </w:rPr>
              <w:t>Suitability assessment documentation in client file; signed NAAF with suitability confirmation</w:t>
            </w:r>
          </w:p>
        </w:tc>
        <w:tc>
          <w:tcPr>
            <w:tcW w:type="dxa" w:w="720"/>
            <w:shd w:fill="FFFFFF"/>
          </w:tcPr>
          <w:p>
            <w:pPr>
              <w:jc w:val="left"/>
            </w:pPr>
            <w:r/>
            <w:r>
              <w:rPr>
                <w:rFonts w:ascii="Arial" w:hAnsi="Arial"/>
                <w:b w:val="0"/>
                <w:color w:val="1F2937"/>
                <w:sz w:val="14"/>
              </w:rPr>
              <w:t>CIRO Rule 3200; NI 31-103 s.13.3; NI 31-103 s.13.4</w:t>
            </w:r>
          </w:p>
        </w:tc>
        <w:tc>
          <w:tcPr>
            <w:tcW w:type="dxa" w:w="720"/>
            <w:shd w:fill="FFFFFF"/>
          </w:tcPr>
          <w:p>
            <w:pPr>
              <w:jc w:val="left"/>
            </w:pPr>
            <w:r/>
            <w:r>
              <w:rPr>
                <w:rFonts w:ascii="Arial" w:hAnsi="Arial"/>
                <w:b w:val="0"/>
                <w:color w:val="1F2937"/>
                <w:sz w:val="14"/>
              </w:rPr>
              <w:t>Medium</w:t>
            </w:r>
          </w:p>
        </w:tc>
        <w:tc>
          <w:tcPr>
            <w:tcW w:type="dxa" w:w="720"/>
            <w:shd w:fill="FFFFFF"/>
          </w:tcPr>
          <w:p>
            <w:pPr>
              <w:jc w:val="left"/>
            </w:pPr>
            <w:r/>
            <w:r>
              <w:rPr>
                <w:rFonts w:ascii="Arial" w:hAnsi="Arial"/>
                <w:b w:val="0"/>
                <w:color w:val="1F2937"/>
                <w:sz w:val="14"/>
              </w:rPr>
              <w:t>SOP section 5.4 does not reference CIRO Rule 3200 or NI 31-103. Q1 2025 testing: suitability assessment missing or undocumented in 2/15 samples.</w:t>
            </w:r>
          </w:p>
        </w:tc>
      </w:tr>
      <w:tr>
        <w:tc>
          <w:tcPr>
            <w:tcW w:type="dxa" w:w="720"/>
            <w:shd w:fill="F8FAFC"/>
          </w:tcPr>
          <w:p>
            <w:pPr>
              <w:jc w:val="left"/>
            </w:pPr>
            <w:r/>
            <w:r>
              <w:rPr>
                <w:rFonts w:ascii="Arial" w:hAnsi="Arial"/>
                <w:b w:val="0"/>
                <w:color w:val="1F2937"/>
                <w:sz w:val="14"/>
              </w:rPr>
              <w:t>C-05</w:t>
            </w:r>
          </w:p>
        </w:tc>
        <w:tc>
          <w:tcPr>
            <w:tcW w:type="dxa" w:w="720"/>
            <w:shd w:fill="F8FAFC"/>
          </w:tcPr>
          <w:p>
            <w:pPr>
              <w:jc w:val="left"/>
            </w:pPr>
            <w:r/>
            <w:r>
              <w:rPr>
                <w:rFonts w:ascii="Arial" w:hAnsi="Arial"/>
                <w:b w:val="0"/>
                <w:color w:val="1F2937"/>
                <w:sz w:val="14"/>
              </w:rPr>
              <w:t>R-04</w:t>
            </w:r>
          </w:p>
        </w:tc>
        <w:tc>
          <w:tcPr>
            <w:tcW w:type="dxa" w:w="720"/>
            <w:shd w:fill="F8FAFC"/>
          </w:tcPr>
          <w:p>
            <w:pPr>
              <w:jc w:val="left"/>
            </w:pPr>
            <w:r/>
            <w:r>
              <w:rPr>
                <w:rFonts w:ascii="Arial" w:hAnsi="Arial"/>
                <w:b w:val="0"/>
                <w:color w:val="1F2937"/>
                <w:sz w:val="14"/>
              </w:rPr>
              <w:t>Account Opened Without Required Approvals</w:t>
            </w:r>
          </w:p>
        </w:tc>
        <w:tc>
          <w:tcPr>
            <w:tcW w:type="dxa" w:w="720"/>
            <w:shd w:fill="F8FAFC"/>
          </w:tcPr>
          <w:p>
            <w:pPr>
              <w:jc w:val="left"/>
            </w:pPr>
            <w:r/>
            <w:r>
              <w:rPr>
                <w:rFonts w:ascii="Arial" w:hAnsi="Arial"/>
                <w:b w:val="0"/>
                <w:color w:val="1F2937"/>
                <w:sz w:val="14"/>
              </w:rPr>
              <w:t>Compliance / Regulatory</w:t>
            </w:r>
          </w:p>
        </w:tc>
        <w:tc>
          <w:tcPr>
            <w:tcW w:type="dxa" w:w="720"/>
            <w:shd w:fill="F8FAFC"/>
          </w:tcPr>
          <w:p>
            <w:pPr>
              <w:jc w:val="left"/>
            </w:pPr>
            <w:r/>
            <w:r>
              <w:rPr>
                <w:rFonts w:ascii="Arial" w:hAnsi="Arial"/>
                <w:b w:val="0"/>
                <w:color w:val="1F2937"/>
                <w:sz w:val="14"/>
              </w:rPr>
              <w:t>High</w:t>
            </w:r>
          </w:p>
        </w:tc>
        <w:tc>
          <w:tcPr>
            <w:tcW w:type="dxa" w:w="720"/>
            <w:shd w:fill="F8FAFC"/>
          </w:tcPr>
          <w:p>
            <w:pPr>
              <w:jc w:val="left"/>
            </w:pPr>
            <w:r/>
            <w:r>
              <w:rPr>
                <w:rFonts w:ascii="Arial" w:hAnsi="Arial"/>
                <w:b w:val="0"/>
                <w:color w:val="1F2937"/>
                <w:sz w:val="14"/>
              </w:rPr>
              <w:t>Supervisory New Account Approval</w:t>
            </w:r>
          </w:p>
        </w:tc>
        <w:tc>
          <w:tcPr>
            <w:tcW w:type="dxa" w:w="720"/>
            <w:shd w:fill="F8FAFC"/>
          </w:tcPr>
          <w:p>
            <w:pPr>
              <w:jc w:val="left"/>
            </w:pPr>
            <w:r/>
            <w:r>
              <w:rPr>
                <w:rFonts w:ascii="Arial" w:hAnsi="Arial"/>
                <w:b w:val="0"/>
                <w:color w:val="1F2937"/>
                <w:sz w:val="14"/>
              </w:rPr>
              <w:t>The Branch / Regional Manager reviews and approves all new account openings per CIRO Rule 3400. Approval must be documented in the account management system before or promptly after account activation. For high-risk or EDD accounts, written AML/ATF Officer approval is also required before activation.</w:t>
            </w:r>
          </w:p>
        </w:tc>
        <w:tc>
          <w:tcPr>
            <w:tcW w:type="dxa" w:w="720"/>
            <w:shd w:fill="F8FAFC"/>
          </w:tcPr>
          <w:p>
            <w:pPr>
              <w:jc w:val="left"/>
            </w:pPr>
            <w:r/>
            <w:r>
              <w:rPr>
                <w:rFonts w:ascii="Arial" w:hAnsi="Arial"/>
                <w:b w:val="0"/>
                <w:color w:val="1F2937"/>
                <w:sz w:val="14"/>
              </w:rPr>
              <w:t>Preventive</w:t>
            </w:r>
          </w:p>
        </w:tc>
        <w:tc>
          <w:tcPr>
            <w:tcW w:type="dxa" w:w="720"/>
            <w:shd w:fill="F8FAFC"/>
          </w:tcPr>
          <w:p>
            <w:pPr>
              <w:jc w:val="left"/>
            </w:pPr>
            <w:r/>
            <w:r>
              <w:rPr>
                <w:rFonts w:ascii="Arial" w:hAnsi="Arial"/>
                <w:b w:val="0"/>
                <w:color w:val="1F2937"/>
                <w:sz w:val="14"/>
              </w:rPr>
              <w:t>Branch / Regional Manager; AML/ATF Officer (for high-risk)</w:t>
            </w:r>
          </w:p>
        </w:tc>
        <w:tc>
          <w:tcPr>
            <w:tcW w:type="dxa" w:w="720"/>
            <w:shd w:fill="F8FAFC"/>
          </w:tcPr>
          <w:p>
            <w:pPr>
              <w:jc w:val="left"/>
            </w:pPr>
            <w:r/>
            <w:r>
              <w:rPr>
                <w:rFonts w:ascii="Arial" w:hAnsi="Arial"/>
                <w:b w:val="0"/>
                <w:color w:val="1F2937"/>
                <w:sz w:val="14"/>
              </w:rPr>
              <w:t>Per account opening event</w:t>
            </w:r>
          </w:p>
        </w:tc>
        <w:tc>
          <w:tcPr>
            <w:tcW w:type="dxa" w:w="720"/>
            <w:shd w:fill="F8FAFC"/>
          </w:tcPr>
          <w:p>
            <w:pPr>
              <w:jc w:val="left"/>
            </w:pPr>
            <w:r/>
            <w:r>
              <w:rPr>
                <w:rFonts w:ascii="Arial" w:hAnsi="Arial"/>
                <w:b w:val="0"/>
                <w:color w:val="1F2937"/>
                <w:sz w:val="14"/>
              </w:rPr>
              <w:t>Branch Manager approval in account management system; AML Officer written approval for high-risk accounts</w:t>
            </w:r>
          </w:p>
        </w:tc>
        <w:tc>
          <w:tcPr>
            <w:tcW w:type="dxa" w:w="720"/>
            <w:shd w:fill="F8FAFC"/>
          </w:tcPr>
          <w:p>
            <w:pPr>
              <w:jc w:val="left"/>
            </w:pPr>
            <w:r/>
            <w:r>
              <w:rPr>
                <w:rFonts w:ascii="Arial" w:hAnsi="Arial"/>
                <w:b w:val="0"/>
                <w:color w:val="1F2937"/>
                <w:sz w:val="14"/>
              </w:rPr>
              <w:t>CIRO Rule 3400; POL-WM-COMPL-002</w:t>
            </w:r>
          </w:p>
        </w:tc>
        <w:tc>
          <w:tcPr>
            <w:tcW w:type="dxa" w:w="720"/>
            <w:shd w:fill="F8FAFC"/>
          </w:tcPr>
          <w:p>
            <w:pPr>
              <w:jc w:val="left"/>
            </w:pPr>
            <w:r/>
            <w:r>
              <w:rPr>
                <w:rFonts w:ascii="Arial" w:hAnsi="Arial"/>
                <w:b w:val="0"/>
                <w:color w:val="1F2937"/>
                <w:sz w:val="14"/>
              </w:rPr>
              <w:t>Medium</w:t>
            </w:r>
          </w:p>
        </w:tc>
        <w:tc>
          <w:tcPr>
            <w:tcW w:type="dxa" w:w="720"/>
            <w:shd w:fill="F8FAFC"/>
          </w:tcPr>
          <w:p>
            <w:pPr>
              <w:jc w:val="left"/>
            </w:pPr>
            <w:r/>
            <w:r>
              <w:rPr>
                <w:rFonts w:ascii="Arial" w:hAnsi="Arial"/>
                <w:b w:val="0"/>
                <w:color w:val="1F2937"/>
                <w:sz w:val="14"/>
              </w:rPr>
              <w:t>SOP section 5.5 does not define 'promptly after' - no SLA for supervisory review. Dual-approval requirement for high-risk accounts (Branch Manager AND AML Officer) not explicit in SOP. No four-eyes check defined for account activation.</w:t>
            </w:r>
          </w:p>
        </w:tc>
      </w:tr>
      <w:tr>
        <w:tc>
          <w:tcPr>
            <w:tcW w:type="dxa" w:w="720"/>
            <w:shd w:fill="FFFFFF"/>
          </w:tcPr>
          <w:p>
            <w:pPr>
              <w:jc w:val="left"/>
            </w:pPr>
            <w:r/>
            <w:r>
              <w:rPr>
                <w:rFonts w:ascii="Arial" w:hAnsi="Arial"/>
                <w:b w:val="0"/>
                <w:color w:val="1F2937"/>
                <w:sz w:val="14"/>
              </w:rPr>
              <w:t>C-06</w:t>
            </w:r>
          </w:p>
        </w:tc>
        <w:tc>
          <w:tcPr>
            <w:tcW w:type="dxa" w:w="720"/>
            <w:shd w:fill="FFFFFF"/>
          </w:tcPr>
          <w:p>
            <w:pPr>
              <w:jc w:val="left"/>
            </w:pPr>
            <w:r/>
            <w:r>
              <w:rPr>
                <w:rFonts w:ascii="Arial" w:hAnsi="Arial"/>
                <w:b w:val="0"/>
                <w:color w:val="1F2937"/>
                <w:sz w:val="14"/>
              </w:rPr>
              <w:t>R-05</w:t>
            </w:r>
          </w:p>
        </w:tc>
        <w:tc>
          <w:tcPr>
            <w:tcW w:type="dxa" w:w="720"/>
            <w:shd w:fill="FFFFFF"/>
          </w:tcPr>
          <w:p>
            <w:pPr>
              <w:jc w:val="left"/>
            </w:pPr>
            <w:r/>
            <w:r>
              <w:rPr>
                <w:rFonts w:ascii="Arial" w:hAnsi="Arial"/>
                <w:b w:val="0"/>
                <w:color w:val="1F2937"/>
                <w:sz w:val="14"/>
              </w:rPr>
              <w:t>Insufficient EDD for PEP/HIO or High-Risk Client</w:t>
            </w:r>
          </w:p>
        </w:tc>
        <w:tc>
          <w:tcPr>
            <w:tcW w:type="dxa" w:w="720"/>
            <w:shd w:fill="FFFFFF"/>
          </w:tcPr>
          <w:p>
            <w:pPr>
              <w:jc w:val="left"/>
            </w:pPr>
            <w:r/>
            <w:r>
              <w:rPr>
                <w:rFonts w:ascii="Arial" w:hAnsi="Arial"/>
                <w:b w:val="0"/>
                <w:color w:val="1F2937"/>
                <w:sz w:val="14"/>
              </w:rPr>
              <w:t>AML / Compliance</w:t>
            </w:r>
          </w:p>
        </w:tc>
        <w:tc>
          <w:tcPr>
            <w:tcW w:type="dxa" w:w="720"/>
            <w:shd w:fill="FFFFFF"/>
          </w:tcPr>
          <w:p>
            <w:pPr>
              <w:jc w:val="left"/>
            </w:pPr>
            <w:r/>
            <w:r>
              <w:rPr>
                <w:rFonts w:ascii="Arial" w:hAnsi="Arial"/>
                <w:b w:val="0"/>
                <w:color w:val="1F2937"/>
                <w:sz w:val="14"/>
              </w:rPr>
              <w:t>Critical</w:t>
            </w:r>
          </w:p>
        </w:tc>
        <w:tc>
          <w:tcPr>
            <w:tcW w:type="dxa" w:w="720"/>
            <w:shd w:fill="FFFFFF"/>
          </w:tcPr>
          <w:p>
            <w:pPr>
              <w:jc w:val="left"/>
            </w:pPr>
            <w:r/>
            <w:r>
              <w:rPr>
                <w:rFonts w:ascii="Arial" w:hAnsi="Arial"/>
                <w:b w:val="0"/>
                <w:color w:val="1F2937"/>
                <w:sz w:val="14"/>
              </w:rPr>
              <w:t>Enhanced Due Diligence (EDD) Review</w:t>
            </w:r>
          </w:p>
        </w:tc>
        <w:tc>
          <w:tcPr>
            <w:tcW w:type="dxa" w:w="720"/>
            <w:shd w:fill="FFFFFF"/>
          </w:tcPr>
          <w:p>
            <w:pPr>
              <w:jc w:val="left"/>
            </w:pPr>
            <w:r/>
            <w:r>
              <w:rPr>
                <w:rFonts w:ascii="Arial" w:hAnsi="Arial"/>
                <w:b w:val="0"/>
                <w:color w:val="1F2937"/>
                <w:sz w:val="14"/>
              </w:rPr>
              <w:t>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w:t>
            </w:r>
          </w:p>
        </w:tc>
        <w:tc>
          <w:tcPr>
            <w:tcW w:type="dxa" w:w="720"/>
            <w:shd w:fill="FFFFFF"/>
          </w:tcPr>
          <w:p>
            <w:pPr>
              <w:jc w:val="left"/>
            </w:pPr>
            <w:r/>
            <w:r>
              <w:rPr>
                <w:rFonts w:ascii="Arial" w:hAnsi="Arial"/>
                <w:b w:val="0"/>
                <w:color w:val="1F2937"/>
                <w:sz w:val="14"/>
              </w:rPr>
              <w:t>Preventive</w:t>
            </w:r>
          </w:p>
        </w:tc>
        <w:tc>
          <w:tcPr>
            <w:tcW w:type="dxa" w:w="720"/>
            <w:shd w:fill="FFFFFF"/>
          </w:tcPr>
          <w:p>
            <w:pPr>
              <w:jc w:val="left"/>
            </w:pPr>
            <w:r/>
            <w:r>
              <w:rPr>
                <w:rFonts w:ascii="Arial" w:hAnsi="Arial"/>
                <w:b w:val="0"/>
                <w:color w:val="1F2937"/>
                <w:sz w:val="14"/>
              </w:rPr>
              <w:t>Compliance - AML/ATF Officer</w:t>
            </w:r>
          </w:p>
        </w:tc>
        <w:tc>
          <w:tcPr>
            <w:tcW w:type="dxa" w:w="720"/>
            <w:shd w:fill="FFFFFF"/>
          </w:tcPr>
          <w:p>
            <w:pPr>
              <w:jc w:val="left"/>
            </w:pPr>
            <w:r/>
            <w:r>
              <w:rPr>
                <w:rFonts w:ascii="Arial" w:hAnsi="Arial"/>
                <w:b w:val="0"/>
                <w:color w:val="1F2937"/>
                <w:sz w:val="14"/>
              </w:rPr>
              <w:t>Per high-risk / PEP / HIO account event</w:t>
            </w:r>
          </w:p>
        </w:tc>
        <w:tc>
          <w:tcPr>
            <w:tcW w:type="dxa" w:w="720"/>
            <w:shd w:fill="FFFFFF"/>
          </w:tcPr>
          <w:p>
            <w:pPr>
              <w:jc w:val="left"/>
            </w:pPr>
            <w:r/>
            <w:r>
              <w:rPr>
                <w:rFonts w:ascii="Arial" w:hAnsi="Arial"/>
                <w:b w:val="0"/>
                <w:color w:val="1F2937"/>
                <w:sz w:val="14"/>
              </w:rPr>
              <w:t>EDD checklist completed and signed by AML Officer; source of funds documentation; Senior Management approval record</w:t>
            </w:r>
          </w:p>
        </w:tc>
        <w:tc>
          <w:tcPr>
            <w:tcW w:type="dxa" w:w="720"/>
            <w:shd w:fill="FFFFFF"/>
          </w:tcPr>
          <w:p>
            <w:pPr>
              <w:jc w:val="left"/>
            </w:pPr>
            <w:r/>
            <w:r>
              <w:rPr>
                <w:rFonts w:ascii="Arial" w:hAnsi="Arial"/>
                <w:b w:val="0"/>
                <w:color w:val="1F2937"/>
                <w:sz w:val="14"/>
              </w:rPr>
              <w:t>PCMLTFA s.9.3(3); FINTRAC GL-02; POL-WM-AML-001</w:t>
            </w:r>
          </w:p>
        </w:tc>
        <w:tc>
          <w:tcPr>
            <w:tcW w:type="dxa" w:w="720"/>
            <w:shd w:fill="FFFFFF"/>
          </w:tcPr>
          <w:p>
            <w:pPr>
              <w:jc w:val="left"/>
            </w:pPr>
            <w:r/>
            <w:r>
              <w:rPr>
                <w:rFonts w:ascii="Arial" w:hAnsi="Arial"/>
                <w:b w:val="0"/>
                <w:color w:val="1F2937"/>
                <w:sz w:val="14"/>
              </w:rPr>
              <w:t>Low</w:t>
            </w:r>
          </w:p>
        </w:tc>
        <w:tc>
          <w:tcPr>
            <w:tcW w:type="dxa" w:w="720"/>
            <w:shd w:fill="FFFFFF"/>
          </w:tcPr>
          <w:p>
            <w:pPr>
              <w:jc w:val="left"/>
            </w:pPr>
            <w:r/>
            <w:r>
              <w:rPr>
                <w:rFonts w:ascii="Arial" w:hAnsi="Arial"/>
                <w:b w:val="0"/>
                <w:color w:val="1F2937"/>
                <w:sz w:val="14"/>
              </w:rPr>
              <w:t>SOP section 6 states 'Senior Management approval' without naming the specific approver role. No SLA defined for EDD completion. Beneficial ownership threshold (25%) not stated in SOP section 5.1.</w:t>
            </w:r>
          </w:p>
        </w:tc>
      </w:tr>
      <w:tr>
        <w:tc>
          <w:tcPr>
            <w:tcW w:type="dxa" w:w="720"/>
            <w:shd w:fill="F8FAFC"/>
          </w:tcPr>
          <w:p>
            <w:pPr>
              <w:jc w:val="left"/>
            </w:pPr>
            <w:r/>
            <w:r>
              <w:rPr>
                <w:rFonts w:ascii="Arial" w:hAnsi="Arial"/>
                <w:b w:val="0"/>
                <w:color w:val="1F2937"/>
                <w:sz w:val="14"/>
              </w:rPr>
              <w:t>C-07</w:t>
            </w:r>
          </w:p>
        </w:tc>
        <w:tc>
          <w:tcPr>
            <w:tcW w:type="dxa" w:w="720"/>
            <w:shd w:fill="F8FAFC"/>
          </w:tcPr>
          <w:p>
            <w:pPr>
              <w:jc w:val="left"/>
            </w:pPr>
            <w:r/>
            <w:r>
              <w:rPr>
                <w:rFonts w:ascii="Arial" w:hAnsi="Arial"/>
                <w:b w:val="0"/>
                <w:color w:val="1F2937"/>
                <w:sz w:val="14"/>
              </w:rPr>
              <w:t>R-06</w:t>
            </w:r>
          </w:p>
        </w:tc>
        <w:tc>
          <w:tcPr>
            <w:tcW w:type="dxa" w:w="720"/>
            <w:shd w:fill="F8FAFC"/>
          </w:tcPr>
          <w:p>
            <w:pPr>
              <w:jc w:val="left"/>
            </w:pPr>
            <w:r/>
            <w:r>
              <w:rPr>
                <w:rFonts w:ascii="Arial" w:hAnsi="Arial"/>
                <w:b w:val="0"/>
                <w:color w:val="1F2937"/>
                <w:sz w:val="14"/>
              </w:rPr>
              <w:t>Unapproved Exception to Onboarding Requirements</w:t>
            </w:r>
          </w:p>
        </w:tc>
        <w:tc>
          <w:tcPr>
            <w:tcW w:type="dxa" w:w="720"/>
            <w:shd w:fill="F8FAFC"/>
          </w:tcPr>
          <w:p>
            <w:pPr>
              <w:jc w:val="left"/>
            </w:pPr>
            <w:r/>
            <w:r>
              <w:rPr>
                <w:rFonts w:ascii="Arial" w:hAnsi="Arial"/>
                <w:b w:val="0"/>
                <w:color w:val="1F2937"/>
                <w:sz w:val="14"/>
              </w:rPr>
              <w:t>Compliance</w:t>
            </w:r>
          </w:p>
        </w:tc>
        <w:tc>
          <w:tcPr>
            <w:tcW w:type="dxa" w:w="720"/>
            <w:shd w:fill="F8FAFC"/>
          </w:tcPr>
          <w:p>
            <w:pPr>
              <w:jc w:val="left"/>
            </w:pPr>
            <w:r/>
            <w:r>
              <w:rPr>
                <w:rFonts w:ascii="Arial" w:hAnsi="Arial"/>
                <w:b w:val="0"/>
                <w:color w:val="1F2937"/>
                <w:sz w:val="14"/>
              </w:rPr>
              <w:t>High</w:t>
            </w:r>
          </w:p>
        </w:tc>
        <w:tc>
          <w:tcPr>
            <w:tcW w:type="dxa" w:w="720"/>
            <w:shd w:fill="F8FAFC"/>
          </w:tcPr>
          <w:p>
            <w:pPr>
              <w:jc w:val="left"/>
            </w:pPr>
            <w:r/>
            <w:r>
              <w:rPr>
                <w:rFonts w:ascii="Arial" w:hAnsi="Arial"/>
                <w:b w:val="0"/>
                <w:color w:val="1F2937"/>
                <w:sz w:val="14"/>
              </w:rPr>
              <w:t>Exception Approval and Logging</w:t>
            </w:r>
          </w:p>
        </w:tc>
        <w:tc>
          <w:tcPr>
            <w:tcW w:type="dxa" w:w="720"/>
            <w:shd w:fill="F8FAFC"/>
          </w:tcPr>
          <w:p>
            <w:pPr>
              <w:jc w:val="left"/>
            </w:pPr>
            <w:r/>
            <w:r>
              <w:rPr>
                <w:rFonts w:ascii="Arial" w:hAnsi="Arial"/>
                <w:b w:val="0"/>
                <w:color w:val="1F2937"/>
                <w:sz w:val="14"/>
              </w:rPr>
              <w:t>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w:t>
            </w:r>
          </w:p>
        </w:tc>
        <w:tc>
          <w:tcPr>
            <w:tcW w:type="dxa" w:w="720"/>
            <w:shd w:fill="F8FAFC"/>
          </w:tcPr>
          <w:p>
            <w:pPr>
              <w:jc w:val="left"/>
            </w:pPr>
            <w:r/>
            <w:r>
              <w:rPr>
                <w:rFonts w:ascii="Arial" w:hAnsi="Arial"/>
                <w:b w:val="0"/>
                <w:color w:val="1F2937"/>
                <w:sz w:val="14"/>
              </w:rPr>
              <w:t>Preventive</w:t>
            </w:r>
          </w:p>
        </w:tc>
        <w:tc>
          <w:tcPr>
            <w:tcW w:type="dxa" w:w="720"/>
            <w:shd w:fill="F8FAFC"/>
          </w:tcPr>
          <w:p>
            <w:pPr>
              <w:jc w:val="left"/>
            </w:pPr>
            <w:r/>
            <w:r>
              <w:rPr>
                <w:rFonts w:ascii="Arial" w:hAnsi="Arial"/>
                <w:b w:val="0"/>
                <w:color w:val="1F2937"/>
                <w:sz w:val="14"/>
              </w:rPr>
              <w:t>Compliance - AML/ATF Officer; Senior Compliance (regulatory exceptions)</w:t>
            </w:r>
          </w:p>
        </w:tc>
        <w:tc>
          <w:tcPr>
            <w:tcW w:type="dxa" w:w="720"/>
            <w:shd w:fill="F8FAFC"/>
          </w:tcPr>
          <w:p>
            <w:pPr>
              <w:jc w:val="left"/>
            </w:pPr>
            <w:r/>
            <w:r>
              <w:rPr>
                <w:rFonts w:ascii="Arial" w:hAnsi="Arial"/>
                <w:b w:val="0"/>
                <w:color w:val="1F2937"/>
                <w:sz w:val="14"/>
              </w:rPr>
              <w:t>Per exception event; quarterly review</w:t>
            </w:r>
          </w:p>
        </w:tc>
        <w:tc>
          <w:tcPr>
            <w:tcW w:type="dxa" w:w="720"/>
            <w:shd w:fill="F8FAFC"/>
          </w:tcPr>
          <w:p>
            <w:pPr>
              <w:jc w:val="left"/>
            </w:pPr>
            <w:r/>
            <w:r>
              <w:rPr>
                <w:rFonts w:ascii="Arial" w:hAnsi="Arial"/>
                <w:b w:val="0"/>
                <w:color w:val="1F2937"/>
                <w:sz w:val="14"/>
              </w:rPr>
              <w:t>Exception Log entry; written approval from Compliance; Committee review minutes</w:t>
            </w:r>
          </w:p>
        </w:tc>
        <w:tc>
          <w:tcPr>
            <w:tcW w:type="dxa" w:w="720"/>
            <w:shd w:fill="F8FAFC"/>
          </w:tcPr>
          <w:p>
            <w:pPr>
              <w:jc w:val="left"/>
            </w:pPr>
            <w:r/>
            <w:r>
              <w:rPr>
                <w:rFonts w:ascii="Arial" w:hAnsi="Arial"/>
                <w:b w:val="0"/>
                <w:color w:val="1F2937"/>
                <w:sz w:val="14"/>
              </w:rPr>
              <w:t>PCMLTFA; POL-WM-COMPL-002</w:t>
            </w:r>
          </w:p>
        </w:tc>
        <w:tc>
          <w:tcPr>
            <w:tcW w:type="dxa" w:w="720"/>
            <w:shd w:fill="F8FAFC"/>
          </w:tcPr>
          <w:p>
            <w:pPr>
              <w:jc w:val="left"/>
            </w:pPr>
            <w:r/>
            <w:r>
              <w:rPr>
                <w:rFonts w:ascii="Arial" w:hAnsi="Arial"/>
                <w:b w:val="0"/>
                <w:color w:val="1F2937"/>
                <w:sz w:val="14"/>
              </w:rPr>
              <w:t>Low</w:t>
            </w:r>
          </w:p>
        </w:tc>
        <w:tc>
          <w:tcPr>
            <w:tcW w:type="dxa" w:w="720"/>
            <w:shd w:fill="F8FAFC"/>
          </w:tcPr>
          <w:p>
            <w:pPr>
              <w:jc w:val="left"/>
            </w:pPr>
            <w:r/>
            <w:r>
              <w:rPr>
                <w:rFonts w:ascii="Arial" w:hAnsi="Arial"/>
                <w:b w:val="0"/>
                <w:color w:val="1F2937"/>
                <w:sz w:val="14"/>
              </w:rPr>
              <w:t>SOP section 8 does not specify who reviews or signs off on non-regulatory exceptions. Compliance AML Officer vs. Suitability Compliance not differentiated. Q1 2025 testing: 2/6 exception records lacked written approval evidence.</w:t>
            </w:r>
          </w:p>
        </w:tc>
      </w:tr>
      <w:tr>
        <w:tc>
          <w:tcPr>
            <w:tcW w:type="dxa" w:w="720"/>
            <w:shd w:fill="FFFFFF"/>
          </w:tcPr>
          <w:p>
            <w:pPr>
              <w:jc w:val="left"/>
            </w:pPr>
            <w:r/>
            <w:r>
              <w:rPr>
                <w:rFonts w:ascii="Arial" w:hAnsi="Arial"/>
                <w:b w:val="0"/>
                <w:color w:val="1F2937"/>
                <w:sz w:val="14"/>
              </w:rPr>
              <w:t>C-08</w:t>
            </w:r>
          </w:p>
        </w:tc>
        <w:tc>
          <w:tcPr>
            <w:tcW w:type="dxa" w:w="720"/>
            <w:shd w:fill="FFFFFF"/>
          </w:tcPr>
          <w:p>
            <w:pPr>
              <w:jc w:val="left"/>
            </w:pPr>
            <w:r/>
            <w:r>
              <w:rPr>
                <w:rFonts w:ascii="Arial" w:hAnsi="Arial"/>
                <w:b w:val="0"/>
                <w:color w:val="1F2937"/>
                <w:sz w:val="14"/>
              </w:rPr>
              <w:t>R-07</w:t>
            </w:r>
          </w:p>
        </w:tc>
        <w:tc>
          <w:tcPr>
            <w:tcW w:type="dxa" w:w="720"/>
            <w:shd w:fill="FFFFFF"/>
          </w:tcPr>
          <w:p>
            <w:pPr>
              <w:jc w:val="left"/>
            </w:pPr>
            <w:r/>
            <w:r>
              <w:rPr>
                <w:rFonts w:ascii="Arial" w:hAnsi="Arial"/>
                <w:b w:val="0"/>
                <w:color w:val="1F2937"/>
                <w:sz w:val="14"/>
              </w:rPr>
              <w:t>IPS Not Completed or Misaligned with KYC</w:t>
            </w:r>
          </w:p>
        </w:tc>
        <w:tc>
          <w:tcPr>
            <w:tcW w:type="dxa" w:w="720"/>
            <w:shd w:fill="FFFFFF"/>
          </w:tcPr>
          <w:p>
            <w:pPr>
              <w:jc w:val="left"/>
            </w:pPr>
            <w:r/>
            <w:r>
              <w:rPr>
                <w:rFonts w:ascii="Arial" w:hAnsi="Arial"/>
                <w:b w:val="0"/>
                <w:color w:val="1F2937"/>
                <w:sz w:val="14"/>
              </w:rPr>
              <w:t>Suitability / Operational</w:t>
            </w:r>
          </w:p>
        </w:tc>
        <w:tc>
          <w:tcPr>
            <w:tcW w:type="dxa" w:w="720"/>
            <w:shd w:fill="FFFFFF"/>
          </w:tcPr>
          <w:p>
            <w:pPr>
              <w:jc w:val="left"/>
            </w:pPr>
            <w:r/>
            <w:r>
              <w:rPr>
                <w:rFonts w:ascii="Arial" w:hAnsi="Arial"/>
                <w:b w:val="0"/>
                <w:color w:val="1F2937"/>
                <w:sz w:val="14"/>
              </w:rPr>
              <w:t>High</w:t>
            </w:r>
          </w:p>
        </w:tc>
        <w:tc>
          <w:tcPr>
            <w:tcW w:type="dxa" w:w="720"/>
            <w:shd w:fill="FFFFFF"/>
          </w:tcPr>
          <w:p>
            <w:pPr>
              <w:jc w:val="left"/>
            </w:pPr>
            <w:r/>
            <w:r>
              <w:rPr>
                <w:rFonts w:ascii="Arial" w:hAnsi="Arial"/>
                <w:b w:val="0"/>
                <w:color w:val="1F2937"/>
                <w:sz w:val="14"/>
              </w:rPr>
              <w:t>IPS Completeness and Mandate Setup Review</w:t>
            </w:r>
          </w:p>
        </w:tc>
        <w:tc>
          <w:tcPr>
            <w:tcW w:type="dxa" w:w="720"/>
            <w:shd w:fill="FFFFFF"/>
          </w:tcPr>
          <w:p>
            <w:pPr>
              <w:jc w:val="left"/>
            </w:pPr>
            <w:r/>
            <w:r>
              <w:rPr>
                <w:rFonts w:ascii="Arial" w:hAnsi="Arial"/>
                <w:b w:val="0"/>
                <w:color w:val="1F2937"/>
                <w:sz w:val="14"/>
              </w:rPr>
              <w:t>The Senior Portfolio Manager completes the Investment Policy Statement (IPS) using the standard template (TMD-IPS-STD) before any trading commences on a discretionary account. The IPS is signed by the client and PM. Account management system mandate parameters are set to match the IPS. Operations verifies mandate setup before account goes live.</w:t>
            </w:r>
          </w:p>
        </w:tc>
        <w:tc>
          <w:tcPr>
            <w:tcW w:type="dxa" w:w="720"/>
            <w:shd w:fill="FFFFFF"/>
          </w:tcPr>
          <w:p>
            <w:pPr>
              <w:jc w:val="left"/>
            </w:pPr>
            <w:r/>
            <w:r>
              <w:rPr>
                <w:rFonts w:ascii="Arial" w:hAnsi="Arial"/>
                <w:b w:val="0"/>
                <w:color w:val="1F2937"/>
                <w:sz w:val="14"/>
              </w:rPr>
              <w:t>Preventive</w:t>
            </w:r>
          </w:p>
        </w:tc>
        <w:tc>
          <w:tcPr>
            <w:tcW w:type="dxa" w:w="720"/>
            <w:shd w:fill="FFFFFF"/>
          </w:tcPr>
          <w:p>
            <w:pPr>
              <w:jc w:val="left"/>
            </w:pPr>
            <w:r/>
            <w:r>
              <w:rPr>
                <w:rFonts w:ascii="Arial" w:hAnsi="Arial"/>
                <w:b w:val="0"/>
                <w:color w:val="1F2937"/>
                <w:sz w:val="14"/>
              </w:rPr>
              <w:t>Senior Portfolio Manager; Wealth Operations</w:t>
            </w:r>
          </w:p>
        </w:tc>
        <w:tc>
          <w:tcPr>
            <w:tcW w:type="dxa" w:w="720"/>
            <w:shd w:fill="FFFFFF"/>
          </w:tcPr>
          <w:p>
            <w:pPr>
              <w:jc w:val="left"/>
            </w:pPr>
            <w:r/>
            <w:r>
              <w:rPr>
                <w:rFonts w:ascii="Arial" w:hAnsi="Arial"/>
                <w:b w:val="0"/>
                <w:color w:val="1F2937"/>
                <w:sz w:val="14"/>
              </w:rPr>
              <w:t>Per new discretionary account</w:t>
            </w:r>
          </w:p>
        </w:tc>
        <w:tc>
          <w:tcPr>
            <w:tcW w:type="dxa" w:w="720"/>
            <w:shd w:fill="FFFFFF"/>
          </w:tcPr>
          <w:p>
            <w:pPr>
              <w:jc w:val="left"/>
            </w:pPr>
            <w:r/>
            <w:r>
              <w:rPr>
                <w:rFonts w:ascii="Arial" w:hAnsi="Arial"/>
                <w:b w:val="0"/>
                <w:color w:val="1F2937"/>
                <w:sz w:val="14"/>
              </w:rPr>
              <w:t>Signed IPS in document management system (client + PM signatures); account management system mandate parameters matching IPS</w:t>
            </w:r>
          </w:p>
        </w:tc>
        <w:tc>
          <w:tcPr>
            <w:tcW w:type="dxa" w:w="720"/>
            <w:shd w:fill="FFFFFF"/>
          </w:tcPr>
          <w:p>
            <w:pPr>
              <w:jc w:val="left"/>
            </w:pPr>
            <w:r/>
            <w:r>
              <w:rPr>
                <w:rFonts w:ascii="Arial" w:hAnsi="Arial"/>
                <w:b w:val="0"/>
                <w:color w:val="1F2937"/>
                <w:sz w:val="14"/>
              </w:rPr>
              <w:t>NI 31-103 s.13.3; POL-WM-SUIT-003</w:t>
            </w:r>
          </w:p>
        </w:tc>
        <w:tc>
          <w:tcPr>
            <w:tcW w:type="dxa" w:w="720"/>
            <w:shd w:fill="FFFFFF"/>
          </w:tcPr>
          <w:p>
            <w:pPr>
              <w:jc w:val="left"/>
            </w:pPr>
            <w:r/>
            <w:r>
              <w:rPr>
                <w:rFonts w:ascii="Arial" w:hAnsi="Arial"/>
                <w:b w:val="0"/>
                <w:color w:val="1F2937"/>
                <w:sz w:val="14"/>
              </w:rPr>
              <w:t>Medium</w:t>
            </w:r>
          </w:p>
        </w:tc>
        <w:tc>
          <w:tcPr>
            <w:tcW w:type="dxa" w:w="720"/>
            <w:shd w:fill="FFFFFF"/>
          </w:tcPr>
          <w:p>
            <w:pPr>
              <w:jc w:val="left"/>
            </w:pPr>
            <w:r/>
            <w:r>
              <w:rPr>
                <w:rFonts w:ascii="Arial" w:hAnsi="Arial"/>
                <w:b w:val="0"/>
                <w:color w:val="1F2937"/>
                <w:sz w:val="14"/>
              </w:rPr>
              <w:t>SOP section 5.6 does not specify a timeline for IPS completion relative to account activation. No reference to Operations verification step. IPS template ID not referenced in SOP.</w:t>
            </w:r>
          </w:p>
        </w:tc>
      </w:tr>
      <w:tr>
        <w:tc>
          <w:tcPr>
            <w:tcW w:type="dxa" w:w="720"/>
            <w:shd w:fill="F8FAFC"/>
          </w:tcPr>
          <w:p>
            <w:pPr>
              <w:jc w:val="left"/>
            </w:pPr>
            <w:r/>
            <w:r>
              <w:rPr>
                <w:rFonts w:ascii="Arial" w:hAnsi="Arial"/>
                <w:b w:val="0"/>
                <w:color w:val="1F2937"/>
                <w:sz w:val="14"/>
              </w:rPr>
              <w:t>C-09</w:t>
            </w:r>
          </w:p>
        </w:tc>
        <w:tc>
          <w:tcPr>
            <w:tcW w:type="dxa" w:w="720"/>
            <w:shd w:fill="F8FAFC"/>
          </w:tcPr>
          <w:p>
            <w:pPr>
              <w:jc w:val="left"/>
            </w:pPr>
            <w:r/>
            <w:r>
              <w:rPr>
                <w:rFonts w:ascii="Arial" w:hAnsi="Arial"/>
                <w:b w:val="0"/>
                <w:color w:val="1F2937"/>
                <w:sz w:val="14"/>
              </w:rPr>
              <w:t>R-08</w:t>
            </w:r>
          </w:p>
        </w:tc>
        <w:tc>
          <w:tcPr>
            <w:tcW w:type="dxa" w:w="720"/>
            <w:shd w:fill="F8FAFC"/>
          </w:tcPr>
          <w:p>
            <w:pPr>
              <w:jc w:val="left"/>
            </w:pPr>
            <w:r/>
            <w:r>
              <w:rPr>
                <w:rFonts w:ascii="Arial" w:hAnsi="Arial"/>
                <w:b w:val="0"/>
                <w:color w:val="1F2937"/>
                <w:sz w:val="14"/>
              </w:rPr>
              <w:t>KYC Not Refreshed - Stale Client Profile</w:t>
            </w:r>
          </w:p>
        </w:tc>
        <w:tc>
          <w:tcPr>
            <w:tcW w:type="dxa" w:w="720"/>
            <w:shd w:fill="F8FAFC"/>
          </w:tcPr>
          <w:p>
            <w:pPr>
              <w:jc w:val="left"/>
            </w:pPr>
            <w:r/>
            <w:r>
              <w:rPr>
                <w:rFonts w:ascii="Arial" w:hAnsi="Arial"/>
                <w:b w:val="0"/>
                <w:color w:val="1F2937"/>
                <w:sz w:val="14"/>
              </w:rPr>
              <w:t>Compliance / Suitability</w:t>
            </w:r>
          </w:p>
        </w:tc>
        <w:tc>
          <w:tcPr>
            <w:tcW w:type="dxa" w:w="720"/>
            <w:shd w:fill="F8FAFC"/>
          </w:tcPr>
          <w:p>
            <w:pPr>
              <w:jc w:val="left"/>
            </w:pPr>
            <w:r/>
            <w:r>
              <w:rPr>
                <w:rFonts w:ascii="Arial" w:hAnsi="Arial"/>
                <w:b w:val="0"/>
                <w:color w:val="1F2937"/>
                <w:sz w:val="14"/>
              </w:rPr>
              <w:t>High</w:t>
            </w:r>
          </w:p>
        </w:tc>
        <w:tc>
          <w:tcPr>
            <w:tcW w:type="dxa" w:w="720"/>
            <w:shd w:fill="F8FAFC"/>
          </w:tcPr>
          <w:p>
            <w:pPr>
              <w:jc w:val="left"/>
            </w:pPr>
            <w:r/>
            <w:r>
              <w:rPr>
                <w:rFonts w:ascii="Arial" w:hAnsi="Arial"/>
                <w:b w:val="0"/>
                <w:color w:val="1F2937"/>
                <w:sz w:val="14"/>
              </w:rPr>
              <w:t>Periodic KYC Refresh</w:t>
            </w:r>
          </w:p>
        </w:tc>
        <w:tc>
          <w:tcPr>
            <w:tcW w:type="dxa" w:w="720"/>
            <w:shd w:fill="F8FAFC"/>
          </w:tcPr>
          <w:p>
            <w:pPr>
              <w:jc w:val="left"/>
            </w:pPr>
            <w:r/>
            <w:r>
              <w:rPr>
                <w:rFonts w:ascii="Arial" w:hAnsi="Arial"/>
                <w:b w:val="0"/>
                <w:color w:val="1F2937"/>
                <w:sz w:val="14"/>
              </w:rPr>
              <w:t>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w:t>
            </w:r>
          </w:p>
        </w:tc>
        <w:tc>
          <w:tcPr>
            <w:tcW w:type="dxa" w:w="720"/>
            <w:shd w:fill="F8FAFC"/>
          </w:tcPr>
          <w:p>
            <w:pPr>
              <w:jc w:val="left"/>
            </w:pPr>
            <w:r/>
            <w:r>
              <w:rPr>
                <w:rFonts w:ascii="Arial" w:hAnsi="Arial"/>
                <w:b w:val="0"/>
                <w:color w:val="1F2937"/>
                <w:sz w:val="14"/>
              </w:rPr>
              <w:t>Detective</w:t>
            </w:r>
          </w:p>
        </w:tc>
        <w:tc>
          <w:tcPr>
            <w:tcW w:type="dxa" w:w="720"/>
            <w:shd w:fill="F8FAFC"/>
          </w:tcPr>
          <w:p>
            <w:pPr>
              <w:jc w:val="left"/>
            </w:pPr>
            <w:r/>
            <w:r>
              <w:rPr>
                <w:rFonts w:ascii="Arial" w:hAnsi="Arial"/>
                <w:b w:val="0"/>
                <w:color w:val="1F2937"/>
                <w:sz w:val="14"/>
              </w:rPr>
              <w:t>Investment Advisor / RM</w:t>
            </w:r>
          </w:p>
        </w:tc>
        <w:tc>
          <w:tcPr>
            <w:tcW w:type="dxa" w:w="720"/>
            <w:shd w:fill="F8FAFC"/>
          </w:tcPr>
          <w:p>
            <w:pPr>
              <w:jc w:val="left"/>
            </w:pPr>
            <w:r/>
            <w:r>
              <w:rPr>
                <w:rFonts w:ascii="Arial" w:hAnsi="Arial"/>
                <w:b w:val="0"/>
                <w:color w:val="1F2937"/>
                <w:sz w:val="14"/>
              </w:rPr>
              <w:t>Risk-rating dependent (see description)</w:t>
            </w:r>
          </w:p>
        </w:tc>
        <w:tc>
          <w:tcPr>
            <w:tcW w:type="dxa" w:w="720"/>
            <w:shd w:fill="F8FAFC"/>
          </w:tcPr>
          <w:p>
            <w:pPr>
              <w:jc w:val="left"/>
            </w:pPr>
            <w:r/>
            <w:r>
              <w:rPr>
                <w:rFonts w:ascii="Arial" w:hAnsi="Arial"/>
                <w:b w:val="0"/>
                <w:color w:val="1F2937"/>
                <w:sz w:val="14"/>
              </w:rPr>
              <w:t>KYC refresh record in client file; date and reviewer documented; change summary or no-change confirmation</w:t>
            </w:r>
          </w:p>
        </w:tc>
        <w:tc>
          <w:tcPr>
            <w:tcW w:type="dxa" w:w="720"/>
            <w:shd w:fill="F8FAFC"/>
          </w:tcPr>
          <w:p>
            <w:pPr>
              <w:jc w:val="left"/>
            </w:pPr>
            <w:r/>
            <w:r>
              <w:rPr>
                <w:rFonts w:ascii="Arial" w:hAnsi="Arial"/>
                <w:b w:val="0"/>
                <w:color w:val="1F2937"/>
                <w:sz w:val="14"/>
              </w:rPr>
              <w:t>CIRO Rule 3200; NI 31-103; POL-WM-COMPL-002</w:t>
            </w:r>
          </w:p>
        </w:tc>
        <w:tc>
          <w:tcPr>
            <w:tcW w:type="dxa" w:w="720"/>
            <w:shd w:fill="F8FAFC"/>
          </w:tcPr>
          <w:p>
            <w:pPr>
              <w:jc w:val="left"/>
            </w:pPr>
            <w:r/>
            <w:r>
              <w:rPr>
                <w:rFonts w:ascii="Arial" w:hAnsi="Arial"/>
                <w:b w:val="0"/>
                <w:color w:val="1F2937"/>
                <w:sz w:val="14"/>
              </w:rPr>
              <w:t>Medium</w:t>
            </w:r>
          </w:p>
        </w:tc>
        <w:tc>
          <w:tcPr>
            <w:tcW w:type="dxa" w:w="720"/>
            <w:shd w:fill="F8FAFC"/>
          </w:tcPr>
          <w:p>
            <w:pPr>
              <w:jc w:val="left"/>
            </w:pPr>
            <w:r/>
            <w:r>
              <w:rPr>
                <w:rFonts w:ascii="Arial" w:hAnsi="Arial"/>
                <w:b w:val="0"/>
                <w:color w:val="1F2937"/>
                <w:sz w:val="14"/>
              </w:rPr>
              <w:t>SOP section 5.7 states KYC is refreshed 'at least annually or as per risk rating' without specifying the frequency by risk rating. No differentiation between Low, Medium, and High client refresh cycles in current SOP.</w:t>
            </w:r>
          </w:p>
        </w:tc>
      </w:tr>
      <w:tr>
        <w:tc>
          <w:tcPr>
            <w:tcW w:type="dxa" w:w="720"/>
            <w:shd w:fill="FFFFFF"/>
          </w:tcPr>
          <w:p>
            <w:pPr>
              <w:jc w:val="left"/>
            </w:pPr>
            <w:r/>
            <w:r>
              <w:rPr>
                <w:rFonts w:ascii="Arial" w:hAnsi="Arial"/>
                <w:b w:val="0"/>
                <w:color w:val="1F2937"/>
                <w:sz w:val="14"/>
              </w:rPr>
              <w:t>C-10</w:t>
            </w:r>
          </w:p>
        </w:tc>
        <w:tc>
          <w:tcPr>
            <w:tcW w:type="dxa" w:w="720"/>
            <w:shd w:fill="FFFFFF"/>
          </w:tcPr>
          <w:p>
            <w:pPr>
              <w:jc w:val="left"/>
            </w:pPr>
            <w:r/>
            <w:r>
              <w:rPr>
                <w:rFonts w:ascii="Arial" w:hAnsi="Arial"/>
                <w:b w:val="0"/>
                <w:color w:val="1F2937"/>
                <w:sz w:val="14"/>
              </w:rPr>
              <w:t>R-09</w:t>
            </w:r>
          </w:p>
        </w:tc>
        <w:tc>
          <w:tcPr>
            <w:tcW w:type="dxa" w:w="720"/>
            <w:shd w:fill="FFFFFF"/>
          </w:tcPr>
          <w:p>
            <w:pPr>
              <w:jc w:val="left"/>
            </w:pPr>
            <w:r/>
            <w:r>
              <w:rPr>
                <w:rFonts w:ascii="Arial" w:hAnsi="Arial"/>
                <w:b w:val="0"/>
                <w:color w:val="1F2937"/>
                <w:sz w:val="14"/>
              </w:rPr>
              <w:t>STR Not Filed or Filed Late</w:t>
            </w:r>
          </w:p>
        </w:tc>
        <w:tc>
          <w:tcPr>
            <w:tcW w:type="dxa" w:w="720"/>
            <w:shd w:fill="FFFFFF"/>
          </w:tcPr>
          <w:p>
            <w:pPr>
              <w:jc w:val="left"/>
            </w:pPr>
            <w:r/>
            <w:r>
              <w:rPr>
                <w:rFonts w:ascii="Arial" w:hAnsi="Arial"/>
                <w:b w:val="0"/>
                <w:color w:val="1F2937"/>
                <w:sz w:val="14"/>
              </w:rPr>
              <w:t>AML / Regulatory</w:t>
            </w:r>
          </w:p>
        </w:tc>
        <w:tc>
          <w:tcPr>
            <w:tcW w:type="dxa" w:w="720"/>
            <w:shd w:fill="FFFFFF"/>
          </w:tcPr>
          <w:p>
            <w:pPr>
              <w:jc w:val="left"/>
            </w:pPr>
            <w:r/>
            <w:r>
              <w:rPr>
                <w:rFonts w:ascii="Arial" w:hAnsi="Arial"/>
                <w:b w:val="0"/>
                <w:color w:val="1F2937"/>
                <w:sz w:val="14"/>
              </w:rPr>
              <w:t>Critical</w:t>
            </w:r>
          </w:p>
        </w:tc>
        <w:tc>
          <w:tcPr>
            <w:tcW w:type="dxa" w:w="720"/>
            <w:shd w:fill="FFFFFF"/>
          </w:tcPr>
          <w:p>
            <w:pPr>
              <w:jc w:val="left"/>
            </w:pPr>
            <w:r/>
            <w:r>
              <w:rPr>
                <w:rFonts w:ascii="Arial" w:hAnsi="Arial"/>
                <w:b w:val="0"/>
                <w:color w:val="1F2937"/>
                <w:sz w:val="14"/>
              </w:rPr>
              <w:t>Suspicious Transaction Escalation and Reporting</w:t>
            </w:r>
          </w:p>
        </w:tc>
        <w:tc>
          <w:tcPr>
            <w:tcW w:type="dxa" w:w="720"/>
            <w:shd w:fill="FFFFFF"/>
          </w:tcPr>
          <w:p>
            <w:pPr>
              <w:jc w:val="left"/>
            </w:pPr>
            <w:r/>
            <w:r>
              <w:rPr>
                <w:rFonts w:ascii="Arial" w:hAnsi="Arial"/>
                <w:b w:val="0"/>
                <w:color w:val="1F2937"/>
                <w:sz w:val="14"/>
              </w:rPr>
              <w:t>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w:t>
            </w:r>
          </w:p>
        </w:tc>
        <w:tc>
          <w:tcPr>
            <w:tcW w:type="dxa" w:w="720"/>
            <w:shd w:fill="FFFFFF"/>
          </w:tcPr>
          <w:p>
            <w:pPr>
              <w:jc w:val="left"/>
            </w:pPr>
            <w:r/>
            <w:r>
              <w:rPr>
                <w:rFonts w:ascii="Arial" w:hAnsi="Arial"/>
                <w:b w:val="0"/>
                <w:color w:val="1F2937"/>
                <w:sz w:val="14"/>
              </w:rPr>
              <w:t>Preventive / Detective</w:t>
            </w:r>
          </w:p>
        </w:tc>
        <w:tc>
          <w:tcPr>
            <w:tcW w:type="dxa" w:w="720"/>
            <w:shd w:fill="FFFFFF"/>
          </w:tcPr>
          <w:p>
            <w:pPr>
              <w:jc w:val="left"/>
            </w:pPr>
            <w:r/>
            <w:r>
              <w:rPr>
                <w:rFonts w:ascii="Arial" w:hAnsi="Arial"/>
                <w:b w:val="0"/>
                <w:color w:val="1F2937"/>
                <w:sz w:val="14"/>
              </w:rPr>
              <w:t>Compliance - AML/ATF Officer</w:t>
            </w:r>
          </w:p>
        </w:tc>
        <w:tc>
          <w:tcPr>
            <w:tcW w:type="dxa" w:w="720"/>
            <w:shd w:fill="FFFFFF"/>
          </w:tcPr>
          <w:p>
            <w:pPr>
              <w:jc w:val="left"/>
            </w:pPr>
            <w:r/>
            <w:r>
              <w:rPr>
                <w:rFonts w:ascii="Arial" w:hAnsi="Arial"/>
                <w:b w:val="0"/>
                <w:color w:val="1F2937"/>
                <w:sz w:val="14"/>
              </w:rPr>
              <w:t>Upon identification of suspicious activity</w:t>
            </w:r>
          </w:p>
        </w:tc>
        <w:tc>
          <w:tcPr>
            <w:tcW w:type="dxa" w:w="720"/>
            <w:shd w:fill="FFFFFF"/>
          </w:tcPr>
          <w:p>
            <w:pPr>
              <w:jc w:val="left"/>
            </w:pPr>
            <w:r/>
            <w:r>
              <w:rPr>
                <w:rFonts w:ascii="Arial" w:hAnsi="Arial"/>
                <w:b w:val="0"/>
                <w:color w:val="1F2937"/>
                <w:sz w:val="14"/>
              </w:rPr>
              <w:t>STR filing confirmation from FINTRAC (reference number); client file notation; escalation record from IA/RM</w:t>
            </w:r>
          </w:p>
        </w:tc>
        <w:tc>
          <w:tcPr>
            <w:tcW w:type="dxa" w:w="720"/>
            <w:shd w:fill="FFFFFF"/>
          </w:tcPr>
          <w:p>
            <w:pPr>
              <w:jc w:val="left"/>
            </w:pPr>
            <w:r/>
            <w:r>
              <w:rPr>
                <w:rFonts w:ascii="Arial" w:hAnsi="Arial"/>
                <w:b w:val="0"/>
                <w:color w:val="1F2937"/>
                <w:sz w:val="14"/>
              </w:rPr>
              <w:t>PCMLTFA s.7; FINTRAC</w:t>
            </w:r>
          </w:p>
        </w:tc>
        <w:tc>
          <w:tcPr>
            <w:tcW w:type="dxa" w:w="720"/>
            <w:shd w:fill="FFFFFF"/>
          </w:tcPr>
          <w:p>
            <w:pPr>
              <w:jc w:val="left"/>
            </w:pPr>
            <w:r/>
            <w:r>
              <w:rPr>
                <w:rFonts w:ascii="Arial" w:hAnsi="Arial"/>
                <w:b w:val="0"/>
                <w:color w:val="1F2937"/>
                <w:sz w:val="14"/>
              </w:rPr>
              <w:t>Low</w:t>
            </w:r>
          </w:p>
        </w:tc>
        <w:tc>
          <w:tcPr>
            <w:tcW w:type="dxa" w:w="720"/>
            <w:shd w:fill="FFFFFF"/>
          </w:tcPr>
          <w:p>
            <w:pPr>
              <w:jc w:val="left"/>
            </w:pPr>
            <w:r/>
            <w:r>
              <w:rPr>
                <w:rFonts w:ascii="Arial" w:hAnsi="Arial"/>
                <w:b w:val="0"/>
                <w:color w:val="1F2937"/>
                <w:sz w:val="14"/>
              </w:rPr>
              <w:t>SOP section 7 does not specify a maximum STR filing timeline after reasonable grounds are established. 'As soon as practicable' is insufficiently specific for operational compliance. FINTRAC guidance suggests filing within 30 days of establishing reasonable grounds as a benchmark.</w:t>
            </w:r>
          </w:p>
        </w:tc>
      </w:tr>
      <w:tr>
        <w:tc>
          <w:tcPr>
            <w:tcW w:type="dxa" w:w="720"/>
            <w:shd w:fill="F8FAFC"/>
          </w:tcPr>
          <w:p>
            <w:pPr>
              <w:jc w:val="left"/>
            </w:pPr>
            <w:r/>
            <w:r>
              <w:rPr>
                <w:rFonts w:ascii="Arial" w:hAnsi="Arial"/>
                <w:b w:val="0"/>
                <w:color w:val="1F2937"/>
                <w:sz w:val="14"/>
              </w:rPr>
              <w:t>C-11</w:t>
            </w:r>
          </w:p>
        </w:tc>
        <w:tc>
          <w:tcPr>
            <w:tcW w:type="dxa" w:w="720"/>
            <w:shd w:fill="F8FAFC"/>
          </w:tcPr>
          <w:p>
            <w:pPr>
              <w:jc w:val="left"/>
            </w:pPr>
            <w:r/>
            <w:r>
              <w:rPr>
                <w:rFonts w:ascii="Arial" w:hAnsi="Arial"/>
                <w:b w:val="0"/>
                <w:color w:val="1F2937"/>
                <w:sz w:val="14"/>
              </w:rPr>
              <w:t>R-10</w:t>
            </w:r>
          </w:p>
        </w:tc>
        <w:tc>
          <w:tcPr>
            <w:tcW w:type="dxa" w:w="720"/>
            <w:shd w:fill="F8FAFC"/>
          </w:tcPr>
          <w:p>
            <w:pPr>
              <w:jc w:val="left"/>
            </w:pPr>
            <w:r/>
            <w:r>
              <w:rPr>
                <w:rFonts w:ascii="Arial" w:hAnsi="Arial"/>
                <w:b w:val="0"/>
                <w:color w:val="1F2937"/>
                <w:sz w:val="14"/>
              </w:rPr>
              <w:t>Evidence Retention Gap - FINTRAC Breach</w:t>
            </w:r>
          </w:p>
        </w:tc>
        <w:tc>
          <w:tcPr>
            <w:tcW w:type="dxa" w:w="720"/>
            <w:shd w:fill="F8FAFC"/>
          </w:tcPr>
          <w:p>
            <w:pPr>
              <w:jc w:val="left"/>
            </w:pPr>
            <w:r/>
            <w:r>
              <w:rPr>
                <w:rFonts w:ascii="Arial" w:hAnsi="Arial"/>
                <w:b w:val="0"/>
                <w:color w:val="1F2937"/>
                <w:sz w:val="14"/>
              </w:rPr>
              <w:t>Compliance / Regulatory</w:t>
            </w:r>
          </w:p>
        </w:tc>
        <w:tc>
          <w:tcPr>
            <w:tcW w:type="dxa" w:w="720"/>
            <w:shd w:fill="F8FAFC"/>
          </w:tcPr>
          <w:p>
            <w:pPr>
              <w:jc w:val="left"/>
            </w:pPr>
            <w:r/>
            <w:r>
              <w:rPr>
                <w:rFonts w:ascii="Arial" w:hAnsi="Arial"/>
                <w:b w:val="0"/>
                <w:color w:val="1F2937"/>
                <w:sz w:val="14"/>
              </w:rPr>
              <w:t>Critical</w:t>
            </w:r>
          </w:p>
        </w:tc>
        <w:tc>
          <w:tcPr>
            <w:tcW w:type="dxa" w:w="720"/>
            <w:shd w:fill="F8FAFC"/>
          </w:tcPr>
          <w:p>
            <w:pPr>
              <w:jc w:val="left"/>
            </w:pPr>
            <w:r/>
            <w:r>
              <w:rPr>
                <w:rFonts w:ascii="Arial" w:hAnsi="Arial"/>
                <w:b w:val="0"/>
                <w:color w:val="1F2937"/>
                <w:sz w:val="14"/>
              </w:rPr>
              <w:t>Client Record Retention Control</w:t>
            </w:r>
          </w:p>
        </w:tc>
        <w:tc>
          <w:tcPr>
            <w:tcW w:type="dxa" w:w="720"/>
            <w:shd w:fill="F8FAFC"/>
          </w:tcPr>
          <w:p>
            <w:pPr>
              <w:jc w:val="left"/>
            </w:pPr>
            <w:r/>
            <w:r>
              <w:rPr>
                <w:rFonts w:ascii="Arial" w:hAnsi="Arial"/>
                <w:b w:val="0"/>
                <w:color w:val="1F2937"/>
                <w:sz w:val="14"/>
              </w:rPr>
              <w:t>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w:t>
            </w:r>
          </w:p>
        </w:tc>
        <w:tc>
          <w:tcPr>
            <w:tcW w:type="dxa" w:w="720"/>
            <w:shd w:fill="F8FAFC"/>
          </w:tcPr>
          <w:p>
            <w:pPr>
              <w:jc w:val="left"/>
            </w:pPr>
            <w:r/>
            <w:r>
              <w:rPr>
                <w:rFonts w:ascii="Arial" w:hAnsi="Arial"/>
                <w:b w:val="0"/>
                <w:color w:val="1F2937"/>
                <w:sz w:val="14"/>
              </w:rPr>
              <w:t>Directive</w:t>
            </w:r>
          </w:p>
        </w:tc>
        <w:tc>
          <w:tcPr>
            <w:tcW w:type="dxa" w:w="720"/>
            <w:shd w:fill="F8FAFC"/>
          </w:tcPr>
          <w:p>
            <w:pPr>
              <w:jc w:val="left"/>
            </w:pPr>
            <w:r/>
            <w:r>
              <w:rPr>
                <w:rFonts w:ascii="Arial" w:hAnsi="Arial"/>
                <w:b w:val="0"/>
                <w:color w:val="1F2937"/>
                <w:sz w:val="14"/>
              </w:rPr>
              <w:t>Branch Operations; Wealth Operations</w:t>
            </w:r>
          </w:p>
        </w:tc>
        <w:tc>
          <w:tcPr>
            <w:tcW w:type="dxa" w:w="720"/>
            <w:shd w:fill="F8FAFC"/>
          </w:tcPr>
          <w:p>
            <w:pPr>
              <w:jc w:val="left"/>
            </w:pPr>
            <w:r/>
            <w:r>
              <w:rPr>
                <w:rFonts w:ascii="Arial" w:hAnsi="Arial"/>
                <w:b w:val="0"/>
                <w:color w:val="1F2937"/>
                <w:sz w:val="14"/>
              </w:rPr>
              <w:t>Per onboarding event and ongoing</w:t>
            </w:r>
          </w:p>
        </w:tc>
        <w:tc>
          <w:tcPr>
            <w:tcW w:type="dxa" w:w="720"/>
            <w:shd w:fill="F8FAFC"/>
          </w:tcPr>
          <w:p>
            <w:pPr>
              <w:jc w:val="left"/>
            </w:pPr>
            <w:r/>
            <w:r>
              <w:rPr>
                <w:rFonts w:ascii="Arial" w:hAnsi="Arial"/>
                <w:b w:val="0"/>
                <w:color w:val="1F2937"/>
                <w:sz w:val="14"/>
              </w:rPr>
              <w:t>Document management system upload confirmation with timestamp; 7-year retention flag applied to record</w:t>
            </w:r>
          </w:p>
        </w:tc>
        <w:tc>
          <w:tcPr>
            <w:tcW w:type="dxa" w:w="720"/>
            <w:shd w:fill="F8FAFC"/>
          </w:tcPr>
          <w:p>
            <w:pPr>
              <w:jc w:val="left"/>
            </w:pPr>
            <w:r/>
            <w:r>
              <w:rPr>
                <w:rFonts w:ascii="Arial" w:hAnsi="Arial"/>
                <w:b w:val="0"/>
                <w:color w:val="1F2937"/>
                <w:sz w:val="14"/>
              </w:rPr>
              <w:t>PCMLTFA s.6; FINTRAC GL-06E; REC-RET-WM-001</w:t>
            </w:r>
          </w:p>
        </w:tc>
        <w:tc>
          <w:tcPr>
            <w:tcW w:type="dxa" w:w="720"/>
            <w:shd w:fill="F8FAFC"/>
          </w:tcPr>
          <w:p>
            <w:pPr>
              <w:jc w:val="left"/>
            </w:pPr>
            <w:r/>
            <w:r>
              <w:rPr>
                <w:rFonts w:ascii="Arial" w:hAnsi="Arial"/>
                <w:b w:val="0"/>
                <w:color w:val="1F2937"/>
                <w:sz w:val="14"/>
              </w:rPr>
              <w:t>Low</w:t>
            </w:r>
          </w:p>
        </w:tc>
        <w:tc>
          <w:tcPr>
            <w:tcW w:type="dxa" w:w="720"/>
            <w:shd w:fill="F8FAFC"/>
          </w:tcPr>
          <w:p>
            <w:pPr>
              <w:jc w:val="left"/>
            </w:pPr>
            <w:r/>
            <w:r>
              <w:rPr>
                <w:rFonts w:ascii="Arial" w:hAnsi="Arial"/>
                <w:b w:val="0"/>
                <w:color w:val="1F2937"/>
                <w:sz w:val="14"/>
              </w:rPr>
              <w:t>SOP does not state the 7-year FINTRAC retention requirement explicitly. No SOP reference to the 5-business-day upload deadline. Audit finding from FY2024 examination. High regulatory consequence if retention gap is identified by FINTRAC.</w:t>
            </w:r>
          </w:p>
        </w:tc>
      </w:tr>
      <w:tr>
        <w:tc>
          <w:tcPr>
            <w:tcW w:type="dxa" w:w="720"/>
            <w:shd w:fill="FFFFFF"/>
          </w:tcPr>
          <w:p>
            <w:pPr>
              <w:jc w:val="left"/>
            </w:pPr>
            <w:r/>
            <w:r>
              <w:rPr>
                <w:rFonts w:ascii="Arial" w:hAnsi="Arial"/>
                <w:b w:val="0"/>
                <w:color w:val="1F2937"/>
                <w:sz w:val="14"/>
              </w:rPr>
              <w:t>C-12</w:t>
            </w:r>
          </w:p>
        </w:tc>
        <w:tc>
          <w:tcPr>
            <w:tcW w:type="dxa" w:w="720"/>
            <w:shd w:fill="FFFFFF"/>
          </w:tcPr>
          <w:p>
            <w:pPr>
              <w:jc w:val="left"/>
            </w:pPr>
            <w:r/>
            <w:r>
              <w:rPr>
                <w:rFonts w:ascii="Arial" w:hAnsi="Arial"/>
                <w:b w:val="0"/>
                <w:color w:val="1F2937"/>
                <w:sz w:val="14"/>
              </w:rPr>
              <w:t>R-02</w:t>
            </w:r>
          </w:p>
        </w:tc>
        <w:tc>
          <w:tcPr>
            <w:tcW w:type="dxa" w:w="720"/>
            <w:shd w:fill="FFFFFF"/>
          </w:tcPr>
          <w:p>
            <w:pPr>
              <w:jc w:val="left"/>
            </w:pPr>
            <w:r/>
            <w:r>
              <w:rPr>
                <w:rFonts w:ascii="Arial" w:hAnsi="Arial"/>
                <w:b w:val="0"/>
                <w:color w:val="1F2937"/>
                <w:sz w:val="14"/>
              </w:rPr>
              <w:t>Unidentified PEP, HIO, or Sanctioned Client</w:t>
            </w:r>
          </w:p>
        </w:tc>
        <w:tc>
          <w:tcPr>
            <w:tcW w:type="dxa" w:w="720"/>
            <w:shd w:fill="FFFFFF"/>
          </w:tcPr>
          <w:p>
            <w:pPr>
              <w:jc w:val="left"/>
            </w:pPr>
            <w:r/>
            <w:r>
              <w:rPr>
                <w:rFonts w:ascii="Arial" w:hAnsi="Arial"/>
                <w:b w:val="0"/>
                <w:color w:val="1F2937"/>
                <w:sz w:val="14"/>
              </w:rPr>
              <w:t>AML / Compliance</w:t>
            </w:r>
          </w:p>
        </w:tc>
        <w:tc>
          <w:tcPr>
            <w:tcW w:type="dxa" w:w="720"/>
            <w:shd w:fill="FFFFFF"/>
          </w:tcPr>
          <w:p>
            <w:pPr>
              <w:jc w:val="left"/>
            </w:pPr>
            <w:r/>
            <w:r>
              <w:rPr>
                <w:rFonts w:ascii="Arial" w:hAnsi="Arial"/>
                <w:b w:val="0"/>
                <w:color w:val="1F2937"/>
                <w:sz w:val="14"/>
              </w:rPr>
              <w:t>Critical</w:t>
            </w:r>
          </w:p>
        </w:tc>
        <w:tc>
          <w:tcPr>
            <w:tcW w:type="dxa" w:w="720"/>
            <w:shd w:fill="FFFFFF"/>
          </w:tcPr>
          <w:p>
            <w:pPr>
              <w:jc w:val="left"/>
            </w:pPr>
            <w:r/>
            <w:r>
              <w:rPr>
                <w:rFonts w:ascii="Arial" w:hAnsi="Arial"/>
                <w:b w:val="0"/>
                <w:color w:val="1F2937"/>
                <w:sz w:val="14"/>
              </w:rPr>
              <w:t>Ongoing AML Re-screening</w:t>
            </w:r>
          </w:p>
        </w:tc>
        <w:tc>
          <w:tcPr>
            <w:tcW w:type="dxa" w:w="720"/>
            <w:shd w:fill="FFFFFF"/>
          </w:tcPr>
          <w:p>
            <w:pPr>
              <w:jc w:val="left"/>
            </w:pPr>
            <w:r/>
            <w:r>
              <w:rPr>
                <w:rFonts w:ascii="Arial" w:hAnsi="Arial"/>
                <w:b w:val="0"/>
                <w:color w:val="1F2937"/>
                <w:sz w:val="14"/>
              </w:rPr>
              <w:t>All active wealth management clients are re-screened against sanctions lists, PEP/HIO databases, and adverse media on an annual basis and upon trigger events such as adverse news alerts, FINTRAC public advisories, or changes in client circumstances. Re-screening results are documented.</w:t>
            </w:r>
          </w:p>
        </w:tc>
        <w:tc>
          <w:tcPr>
            <w:tcW w:type="dxa" w:w="720"/>
            <w:shd w:fill="FFFFFF"/>
          </w:tcPr>
          <w:p>
            <w:pPr>
              <w:jc w:val="left"/>
            </w:pPr>
            <w:r/>
            <w:r>
              <w:rPr>
                <w:rFonts w:ascii="Arial" w:hAnsi="Arial"/>
                <w:b w:val="0"/>
                <w:color w:val="1F2937"/>
                <w:sz w:val="14"/>
              </w:rPr>
              <w:t>Detective</w:t>
            </w:r>
          </w:p>
        </w:tc>
        <w:tc>
          <w:tcPr>
            <w:tcW w:type="dxa" w:w="720"/>
            <w:shd w:fill="FFFFFF"/>
          </w:tcPr>
          <w:p>
            <w:pPr>
              <w:jc w:val="left"/>
            </w:pPr>
            <w:r/>
            <w:r>
              <w:rPr>
                <w:rFonts w:ascii="Arial" w:hAnsi="Arial"/>
                <w:b w:val="0"/>
                <w:color w:val="1F2937"/>
                <w:sz w:val="14"/>
              </w:rPr>
              <w:t>Compliance - AML/ATF Officer</w:t>
            </w:r>
          </w:p>
        </w:tc>
        <w:tc>
          <w:tcPr>
            <w:tcW w:type="dxa" w:w="720"/>
            <w:shd w:fill="FFFFFF"/>
          </w:tcPr>
          <w:p>
            <w:pPr>
              <w:jc w:val="left"/>
            </w:pPr>
            <w:r/>
            <w:r>
              <w:rPr>
                <w:rFonts w:ascii="Arial" w:hAnsi="Arial"/>
                <w:b w:val="0"/>
                <w:color w:val="1F2937"/>
                <w:sz w:val="14"/>
              </w:rPr>
              <w:t>Annually and upon trigger events</w:t>
            </w:r>
          </w:p>
        </w:tc>
        <w:tc>
          <w:tcPr>
            <w:tcW w:type="dxa" w:w="720"/>
            <w:shd w:fill="FFFFFF"/>
          </w:tcPr>
          <w:p>
            <w:pPr>
              <w:jc w:val="left"/>
            </w:pPr>
            <w:r/>
            <w:r>
              <w:rPr>
                <w:rFonts w:ascii="Arial" w:hAnsi="Arial"/>
                <w:b w:val="0"/>
                <w:color w:val="1F2937"/>
                <w:sz w:val="14"/>
              </w:rPr>
              <w:t>Annual re-screening log with date and platform; trigger-event re-screening record; alert response documentation</w:t>
            </w:r>
          </w:p>
        </w:tc>
        <w:tc>
          <w:tcPr>
            <w:tcW w:type="dxa" w:w="720"/>
            <w:shd w:fill="FFFFFF"/>
          </w:tcPr>
          <w:p>
            <w:pPr>
              <w:jc w:val="left"/>
            </w:pPr>
            <w:r/>
            <w:r>
              <w:rPr>
                <w:rFonts w:ascii="Arial" w:hAnsi="Arial"/>
                <w:b w:val="0"/>
                <w:color w:val="1F2937"/>
                <w:sz w:val="14"/>
              </w:rPr>
              <w:t>PCMLTFA; FINTRAC GL-02; POL-WM-AML-001</w:t>
            </w:r>
          </w:p>
        </w:tc>
        <w:tc>
          <w:tcPr>
            <w:tcW w:type="dxa" w:w="720"/>
            <w:shd w:fill="FFFFFF"/>
          </w:tcPr>
          <w:p>
            <w:pPr>
              <w:jc w:val="left"/>
            </w:pPr>
            <w:r/>
            <w:r>
              <w:rPr>
                <w:rFonts w:ascii="Arial" w:hAnsi="Arial"/>
                <w:b w:val="0"/>
                <w:color w:val="1F2937"/>
                <w:sz w:val="14"/>
              </w:rPr>
              <w:t>Low</w:t>
            </w:r>
          </w:p>
        </w:tc>
        <w:tc>
          <w:tcPr>
            <w:tcW w:type="dxa" w:w="720"/>
            <w:shd w:fill="FFFFFF"/>
          </w:tcPr>
          <w:p>
            <w:pPr>
              <w:jc w:val="left"/>
            </w:pPr>
            <w:r/>
            <w:r>
              <w:rPr>
                <w:rFonts w:ascii="Arial" w:hAnsi="Arial"/>
                <w:b w:val="0"/>
                <w:color w:val="1F2937"/>
                <w:sz w:val="14"/>
              </w:rPr>
              <w:t>Annual re-screening is referenced in POL-WM-AML-001 but not in the current SOP ongoing monitoring section. Trigger-event re-screening mechanism is absent from SOP section 5.7.</w:t>
            </w:r>
          </w:p>
        </w:tc>
      </w:tr>
    </w:tbl>
    <w:p/>
    <w:p>
      <w:pPr>
        <w:pStyle w:val="Heading2"/>
      </w:pPr>
      <w:r>
        <w:t>Control Summary</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fill="00338D"/>
          </w:tcPr>
          <w:p>
            <w:pPr>
              <w:jc w:val="left"/>
            </w:pPr>
            <w:r/>
            <w:r>
              <w:rPr>
                <w:rFonts w:ascii="Arial" w:hAnsi="Arial"/>
                <w:b/>
                <w:color w:val="FFFFFF"/>
                <w:sz w:val="16"/>
              </w:rPr>
              <w:t>Control Summary - Wealth Client Onboarding &amp; KYC (RCM-WM-KYC-001)</w:t>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c>
          <w:tcPr>
            <w:tcW w:type="dxa" w:w="1680"/>
            <w:shd w:fill="00338D"/>
          </w:tcPr>
          <w:p>
            <w:pPr>
              <w:jc w:val="left"/>
            </w:pPr>
            <w:r/>
            <w:r>
              <w:rPr>
                <w:rFonts w:ascii="Arial" w:hAnsi="Arial"/>
                <w:b/>
                <w:color w:val="FFFFFF"/>
                <w:sz w:val="16"/>
              </w:rPr>
            </w:r>
          </w:p>
        </w:tc>
      </w:tr>
      <w:tr>
        <w:tc>
          <w:tcPr>
            <w:tcW w:type="dxa" w:w="1680"/>
            <w:shd w:fill="FFFFFF"/>
          </w:tcPr>
          <w:p>
            <w:pPr>
              <w:jc w:val="left"/>
            </w:pPr>
            <w:r/>
            <w:r>
              <w:rPr>
                <w:rFonts w:ascii="Arial" w:hAnsi="Arial"/>
                <w:b w:val="0"/>
                <w:color w:val="1F2937"/>
                <w:sz w:val="16"/>
              </w:rPr>
              <w:t>Control ID</w:t>
            </w:r>
          </w:p>
        </w:tc>
        <w:tc>
          <w:tcPr>
            <w:tcW w:type="dxa" w:w="1680"/>
            <w:shd w:fill="FFFFFF"/>
          </w:tcPr>
          <w:p>
            <w:pPr>
              <w:jc w:val="left"/>
            </w:pPr>
            <w:r/>
            <w:r>
              <w:rPr>
                <w:rFonts w:ascii="Arial" w:hAnsi="Arial"/>
                <w:b w:val="0"/>
                <w:color w:val="1F2937"/>
                <w:sz w:val="16"/>
              </w:rPr>
              <w:t>Control Name</w:t>
            </w:r>
          </w:p>
        </w:tc>
        <w:tc>
          <w:tcPr>
            <w:tcW w:type="dxa" w:w="1680"/>
            <w:shd w:fill="FFFFFF"/>
          </w:tcPr>
          <w:p>
            <w:pPr>
              <w:jc w:val="left"/>
            </w:pPr>
            <w:r/>
            <w:r>
              <w:rPr>
                <w:rFonts w:ascii="Arial" w:hAnsi="Arial"/>
                <w:b w:val="0"/>
                <w:color w:val="1F2937"/>
                <w:sz w:val="16"/>
              </w:rPr>
              <w:t>Type</w:t>
            </w:r>
          </w:p>
        </w:tc>
        <w:tc>
          <w:tcPr>
            <w:tcW w:type="dxa" w:w="1680"/>
            <w:shd w:fill="FFFFFF"/>
          </w:tcPr>
          <w:p>
            <w:pPr>
              <w:jc w:val="left"/>
            </w:pPr>
            <w:r/>
            <w:r>
              <w:rPr>
                <w:rFonts w:ascii="Arial" w:hAnsi="Arial"/>
                <w:b w:val="0"/>
                <w:color w:val="1F2937"/>
                <w:sz w:val="16"/>
              </w:rPr>
              <w:t>Owner</w:t>
            </w:r>
          </w:p>
        </w:tc>
        <w:tc>
          <w:tcPr>
            <w:tcW w:type="dxa" w:w="1680"/>
            <w:shd w:fill="FFFFFF"/>
          </w:tcPr>
          <w:p>
            <w:pPr>
              <w:jc w:val="left"/>
            </w:pPr>
            <w:r/>
            <w:r>
              <w:rPr>
                <w:rFonts w:ascii="Arial" w:hAnsi="Arial"/>
                <w:b w:val="0"/>
                <w:color w:val="1F2937"/>
                <w:sz w:val="16"/>
              </w:rPr>
              <w:t>Inherent Risk Rating</w:t>
            </w:r>
          </w:p>
        </w:tc>
        <w:tc>
          <w:tcPr>
            <w:tcW w:type="dxa" w:w="1680"/>
            <w:shd w:fill="FFFFFF"/>
          </w:tcPr>
          <w:p>
            <w:pPr>
              <w:jc w:val="left"/>
            </w:pPr>
            <w:r/>
            <w:r>
              <w:rPr>
                <w:rFonts w:ascii="Arial" w:hAnsi="Arial"/>
                <w:b w:val="0"/>
                <w:color w:val="1F2937"/>
                <w:sz w:val="16"/>
              </w:rPr>
              <w:t>Residual Rating</w:t>
            </w:r>
          </w:p>
        </w:tc>
      </w:tr>
      <w:tr>
        <w:tc>
          <w:tcPr>
            <w:tcW w:type="dxa" w:w="1680"/>
            <w:shd w:fill="F8FAFC"/>
          </w:tcPr>
          <w:p>
            <w:pPr>
              <w:jc w:val="left"/>
            </w:pPr>
            <w:r/>
            <w:r>
              <w:rPr>
                <w:rFonts w:ascii="Arial" w:hAnsi="Arial"/>
                <w:b w:val="0"/>
                <w:color w:val="1F2937"/>
                <w:sz w:val="16"/>
              </w:rPr>
              <w:t>C-01</w:t>
            </w:r>
          </w:p>
        </w:tc>
        <w:tc>
          <w:tcPr>
            <w:tcW w:type="dxa" w:w="1680"/>
            <w:shd w:fill="F8FAFC"/>
          </w:tcPr>
          <w:p>
            <w:pPr>
              <w:jc w:val="left"/>
            </w:pPr>
            <w:r/>
            <w:r>
              <w:rPr>
                <w:rFonts w:ascii="Arial" w:hAnsi="Arial"/>
                <w:b w:val="0"/>
                <w:color w:val="1F2937"/>
                <w:sz w:val="16"/>
              </w:rPr>
              <w:t>NAAF Completeness Review</w:t>
            </w:r>
          </w:p>
        </w:tc>
        <w:tc>
          <w:tcPr>
            <w:tcW w:type="dxa" w:w="1680"/>
            <w:shd w:fill="F8FAFC"/>
          </w:tcPr>
          <w:p>
            <w:pPr>
              <w:jc w:val="left"/>
            </w:pPr>
            <w:r/>
            <w:r>
              <w:rPr>
                <w:rFonts w:ascii="Arial" w:hAnsi="Arial"/>
                <w:b w:val="0"/>
                <w:color w:val="1F2937"/>
                <w:sz w:val="16"/>
              </w:rPr>
              <w:t>Preventive</w:t>
            </w:r>
          </w:p>
        </w:tc>
        <w:tc>
          <w:tcPr>
            <w:tcW w:type="dxa" w:w="1680"/>
            <w:shd w:fill="F8FAFC"/>
          </w:tcPr>
          <w:p>
            <w:pPr>
              <w:jc w:val="left"/>
            </w:pPr>
            <w:r/>
            <w:r>
              <w:rPr>
                <w:rFonts w:ascii="Arial" w:hAnsi="Arial"/>
                <w:b w:val="0"/>
                <w:color w:val="1F2937"/>
                <w:sz w:val="16"/>
              </w:rPr>
              <w:t>Branch Operations</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Medium</w:t>
            </w:r>
          </w:p>
        </w:tc>
      </w:tr>
      <w:tr>
        <w:tc>
          <w:tcPr>
            <w:tcW w:type="dxa" w:w="1680"/>
            <w:shd w:fill="FFFFFF"/>
          </w:tcPr>
          <w:p>
            <w:pPr>
              <w:jc w:val="left"/>
            </w:pPr>
            <w:r/>
            <w:r>
              <w:rPr>
                <w:rFonts w:ascii="Arial" w:hAnsi="Arial"/>
                <w:b w:val="0"/>
                <w:color w:val="1F2937"/>
                <w:sz w:val="16"/>
              </w:rPr>
              <w:t>C-02</w:t>
            </w:r>
          </w:p>
        </w:tc>
        <w:tc>
          <w:tcPr>
            <w:tcW w:type="dxa" w:w="1680"/>
            <w:shd w:fill="FFFFFF"/>
          </w:tcPr>
          <w:p>
            <w:pPr>
              <w:jc w:val="left"/>
            </w:pPr>
            <w:r/>
            <w:r>
              <w:rPr>
                <w:rFonts w:ascii="Arial" w:hAnsi="Arial"/>
                <w:b w:val="0"/>
                <w:color w:val="1F2937"/>
                <w:sz w:val="16"/>
              </w:rPr>
              <w:t>IA/RM KYC Self-Certification</w:t>
            </w:r>
          </w:p>
        </w:tc>
        <w:tc>
          <w:tcPr>
            <w:tcW w:type="dxa" w:w="1680"/>
            <w:shd w:fill="FFFFFF"/>
          </w:tcPr>
          <w:p>
            <w:pPr>
              <w:jc w:val="left"/>
            </w:pPr>
            <w:r/>
            <w:r>
              <w:rPr>
                <w:rFonts w:ascii="Arial" w:hAnsi="Arial"/>
                <w:b w:val="0"/>
                <w:color w:val="1F2937"/>
                <w:sz w:val="16"/>
              </w:rPr>
              <w:t>Directive</w:t>
            </w:r>
          </w:p>
        </w:tc>
        <w:tc>
          <w:tcPr>
            <w:tcW w:type="dxa" w:w="1680"/>
            <w:shd w:fill="FFFFFF"/>
          </w:tcPr>
          <w:p>
            <w:pPr>
              <w:jc w:val="left"/>
            </w:pPr>
            <w:r/>
            <w:r>
              <w:rPr>
                <w:rFonts w:ascii="Arial" w:hAnsi="Arial"/>
                <w:b w:val="0"/>
                <w:color w:val="1F2937"/>
                <w:sz w:val="16"/>
              </w:rPr>
              <w:t>Investment Advisor / RM</w:t>
            </w:r>
          </w:p>
        </w:tc>
        <w:tc>
          <w:tcPr>
            <w:tcW w:type="dxa" w:w="1680"/>
            <w:shd w:fill="FFFFFF"/>
          </w:tcPr>
          <w:p>
            <w:pPr>
              <w:jc w:val="left"/>
            </w:pPr>
            <w:r/>
            <w:r>
              <w:rPr>
                <w:rFonts w:ascii="Arial" w:hAnsi="Arial"/>
                <w:b w:val="0"/>
                <w:color w:val="1F2937"/>
                <w:sz w:val="16"/>
              </w:rPr>
              <w:t>High</w:t>
            </w:r>
          </w:p>
        </w:tc>
        <w:tc>
          <w:tcPr>
            <w:tcW w:type="dxa" w:w="1680"/>
            <w:shd w:fill="FFFFFF"/>
          </w:tcPr>
          <w:p>
            <w:pPr>
              <w:jc w:val="left"/>
            </w:pPr>
            <w:r/>
            <w:r>
              <w:rPr>
                <w:rFonts w:ascii="Arial" w:hAnsi="Arial"/>
                <w:b w:val="0"/>
                <w:color w:val="1F2937"/>
                <w:sz w:val="16"/>
              </w:rPr>
              <w:t>Medium</w:t>
            </w:r>
          </w:p>
        </w:tc>
      </w:tr>
      <w:tr>
        <w:tc>
          <w:tcPr>
            <w:tcW w:type="dxa" w:w="1680"/>
            <w:shd w:fill="F8FAFC"/>
          </w:tcPr>
          <w:p>
            <w:pPr>
              <w:jc w:val="left"/>
            </w:pPr>
            <w:r/>
            <w:r>
              <w:rPr>
                <w:rFonts w:ascii="Arial" w:hAnsi="Arial"/>
                <w:b w:val="0"/>
                <w:color w:val="1F2937"/>
                <w:sz w:val="16"/>
              </w:rPr>
              <w:t>C-03</w:t>
            </w:r>
          </w:p>
        </w:tc>
        <w:tc>
          <w:tcPr>
            <w:tcW w:type="dxa" w:w="1680"/>
            <w:shd w:fill="F8FAFC"/>
          </w:tcPr>
          <w:p>
            <w:pPr>
              <w:jc w:val="left"/>
            </w:pPr>
            <w:r/>
            <w:r>
              <w:rPr>
                <w:rFonts w:ascii="Arial" w:hAnsi="Arial"/>
                <w:b w:val="0"/>
                <w:color w:val="1F2937"/>
                <w:sz w:val="16"/>
              </w:rPr>
              <w:t>AML and Sanctions Screening</w:t>
            </w:r>
          </w:p>
        </w:tc>
        <w:tc>
          <w:tcPr>
            <w:tcW w:type="dxa" w:w="1680"/>
            <w:shd w:fill="F8FAFC"/>
          </w:tcPr>
          <w:p>
            <w:pPr>
              <w:jc w:val="left"/>
            </w:pPr>
            <w:r/>
            <w:r>
              <w:rPr>
                <w:rFonts w:ascii="Arial" w:hAnsi="Arial"/>
                <w:b w:val="0"/>
                <w:color w:val="1F2937"/>
                <w:sz w:val="16"/>
              </w:rPr>
              <w:t>Preventive</w:t>
            </w:r>
          </w:p>
        </w:tc>
        <w:tc>
          <w:tcPr>
            <w:tcW w:type="dxa" w:w="1680"/>
            <w:shd w:fill="F8FAFC"/>
          </w:tcPr>
          <w:p>
            <w:pPr>
              <w:jc w:val="left"/>
            </w:pPr>
            <w:r/>
            <w:r>
              <w:rPr>
                <w:rFonts w:ascii="Arial" w:hAnsi="Arial"/>
                <w:b w:val="0"/>
                <w:color w:val="1F2937"/>
                <w:sz w:val="16"/>
              </w:rPr>
              <w:t>Compliance - AML/ATF Officer</w:t>
            </w:r>
          </w:p>
        </w:tc>
        <w:tc>
          <w:tcPr>
            <w:tcW w:type="dxa" w:w="1680"/>
            <w:shd w:fill="F8FAFC"/>
          </w:tcPr>
          <w:p>
            <w:pPr>
              <w:jc w:val="left"/>
            </w:pPr>
            <w:r/>
            <w:r>
              <w:rPr>
                <w:rFonts w:ascii="Arial" w:hAnsi="Arial"/>
                <w:b w:val="0"/>
                <w:color w:val="1F2937"/>
                <w:sz w:val="16"/>
              </w:rPr>
              <w:t>Critical</w:t>
            </w:r>
          </w:p>
        </w:tc>
        <w:tc>
          <w:tcPr>
            <w:tcW w:type="dxa" w:w="1680"/>
            <w:shd w:fill="F8FAFC"/>
          </w:tcPr>
          <w:p>
            <w:pPr>
              <w:jc w:val="left"/>
            </w:pPr>
            <w:r/>
            <w:r>
              <w:rPr>
                <w:rFonts w:ascii="Arial" w:hAnsi="Arial"/>
                <w:b w:val="0"/>
                <w:color w:val="1F2937"/>
                <w:sz w:val="16"/>
              </w:rPr>
              <w:t>Low</w:t>
            </w:r>
          </w:p>
        </w:tc>
      </w:tr>
      <w:tr>
        <w:tc>
          <w:tcPr>
            <w:tcW w:type="dxa" w:w="1680"/>
            <w:shd w:fill="FFFFFF"/>
          </w:tcPr>
          <w:p>
            <w:pPr>
              <w:jc w:val="left"/>
            </w:pPr>
            <w:r/>
            <w:r>
              <w:rPr>
                <w:rFonts w:ascii="Arial" w:hAnsi="Arial"/>
                <w:b w:val="0"/>
                <w:color w:val="1F2937"/>
                <w:sz w:val="16"/>
              </w:rPr>
              <w:t>C-04</w:t>
            </w:r>
          </w:p>
        </w:tc>
        <w:tc>
          <w:tcPr>
            <w:tcW w:type="dxa" w:w="1680"/>
            <w:shd w:fill="FFFFFF"/>
          </w:tcPr>
          <w:p>
            <w:pPr>
              <w:jc w:val="left"/>
            </w:pPr>
            <w:r/>
            <w:r>
              <w:rPr>
                <w:rFonts w:ascii="Arial" w:hAnsi="Arial"/>
                <w:b w:val="0"/>
                <w:color w:val="1F2937"/>
                <w:sz w:val="16"/>
              </w:rPr>
              <w:t>Suitability Assessment - New Account</w:t>
            </w:r>
          </w:p>
        </w:tc>
        <w:tc>
          <w:tcPr>
            <w:tcW w:type="dxa" w:w="1680"/>
            <w:shd w:fill="FFFFFF"/>
          </w:tcPr>
          <w:p>
            <w:pPr>
              <w:jc w:val="left"/>
            </w:pPr>
            <w:r/>
            <w:r>
              <w:rPr>
                <w:rFonts w:ascii="Arial" w:hAnsi="Arial"/>
                <w:b w:val="0"/>
                <w:color w:val="1F2937"/>
                <w:sz w:val="16"/>
              </w:rPr>
              <w:t>Preventive</w:t>
            </w:r>
          </w:p>
        </w:tc>
        <w:tc>
          <w:tcPr>
            <w:tcW w:type="dxa" w:w="1680"/>
            <w:shd w:fill="FFFFFF"/>
          </w:tcPr>
          <w:p>
            <w:pPr>
              <w:jc w:val="left"/>
            </w:pPr>
            <w:r/>
            <w:r>
              <w:rPr>
                <w:rFonts w:ascii="Arial" w:hAnsi="Arial"/>
                <w:b w:val="0"/>
                <w:color w:val="1F2937"/>
                <w:sz w:val="16"/>
              </w:rPr>
              <w:t>Investment Advisor / RM</w:t>
            </w:r>
          </w:p>
        </w:tc>
        <w:tc>
          <w:tcPr>
            <w:tcW w:type="dxa" w:w="1680"/>
            <w:shd w:fill="FFFFFF"/>
          </w:tcPr>
          <w:p>
            <w:pPr>
              <w:jc w:val="left"/>
            </w:pPr>
            <w:r/>
            <w:r>
              <w:rPr>
                <w:rFonts w:ascii="Arial" w:hAnsi="Arial"/>
                <w:b w:val="0"/>
                <w:color w:val="1F2937"/>
                <w:sz w:val="16"/>
              </w:rPr>
              <w:t>High</w:t>
            </w:r>
          </w:p>
        </w:tc>
        <w:tc>
          <w:tcPr>
            <w:tcW w:type="dxa" w:w="1680"/>
            <w:shd w:fill="FFFFFF"/>
          </w:tcPr>
          <w:p>
            <w:pPr>
              <w:jc w:val="left"/>
            </w:pPr>
            <w:r/>
            <w:r>
              <w:rPr>
                <w:rFonts w:ascii="Arial" w:hAnsi="Arial"/>
                <w:b w:val="0"/>
                <w:color w:val="1F2937"/>
                <w:sz w:val="16"/>
              </w:rPr>
              <w:t>Medium</w:t>
            </w:r>
          </w:p>
        </w:tc>
      </w:tr>
      <w:tr>
        <w:tc>
          <w:tcPr>
            <w:tcW w:type="dxa" w:w="1680"/>
            <w:shd w:fill="F8FAFC"/>
          </w:tcPr>
          <w:p>
            <w:pPr>
              <w:jc w:val="left"/>
            </w:pPr>
            <w:r/>
            <w:r>
              <w:rPr>
                <w:rFonts w:ascii="Arial" w:hAnsi="Arial"/>
                <w:b w:val="0"/>
                <w:color w:val="1F2937"/>
                <w:sz w:val="16"/>
              </w:rPr>
              <w:t>C-05</w:t>
            </w:r>
          </w:p>
        </w:tc>
        <w:tc>
          <w:tcPr>
            <w:tcW w:type="dxa" w:w="1680"/>
            <w:shd w:fill="F8FAFC"/>
          </w:tcPr>
          <w:p>
            <w:pPr>
              <w:jc w:val="left"/>
            </w:pPr>
            <w:r/>
            <w:r>
              <w:rPr>
                <w:rFonts w:ascii="Arial" w:hAnsi="Arial"/>
                <w:b w:val="0"/>
                <w:color w:val="1F2937"/>
                <w:sz w:val="16"/>
              </w:rPr>
              <w:t>Supervisory New Account Approval</w:t>
            </w:r>
          </w:p>
        </w:tc>
        <w:tc>
          <w:tcPr>
            <w:tcW w:type="dxa" w:w="1680"/>
            <w:shd w:fill="F8FAFC"/>
          </w:tcPr>
          <w:p>
            <w:pPr>
              <w:jc w:val="left"/>
            </w:pPr>
            <w:r/>
            <w:r>
              <w:rPr>
                <w:rFonts w:ascii="Arial" w:hAnsi="Arial"/>
                <w:b w:val="0"/>
                <w:color w:val="1F2937"/>
                <w:sz w:val="16"/>
              </w:rPr>
              <w:t>Preventive</w:t>
            </w:r>
          </w:p>
        </w:tc>
        <w:tc>
          <w:tcPr>
            <w:tcW w:type="dxa" w:w="1680"/>
            <w:shd w:fill="F8FAFC"/>
          </w:tcPr>
          <w:p>
            <w:pPr>
              <w:jc w:val="left"/>
            </w:pPr>
            <w:r/>
            <w:r>
              <w:rPr>
                <w:rFonts w:ascii="Arial" w:hAnsi="Arial"/>
                <w:b w:val="0"/>
                <w:color w:val="1F2937"/>
                <w:sz w:val="16"/>
              </w:rPr>
              <w:t>Branch / Regional Manager</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Medium</w:t>
            </w:r>
          </w:p>
        </w:tc>
      </w:tr>
      <w:tr>
        <w:tc>
          <w:tcPr>
            <w:tcW w:type="dxa" w:w="1680"/>
            <w:shd w:fill="FFFFFF"/>
          </w:tcPr>
          <w:p>
            <w:pPr>
              <w:jc w:val="left"/>
            </w:pPr>
            <w:r/>
            <w:r>
              <w:rPr>
                <w:rFonts w:ascii="Arial" w:hAnsi="Arial"/>
                <w:b w:val="0"/>
                <w:color w:val="1F2937"/>
                <w:sz w:val="16"/>
              </w:rPr>
              <w:t>C-06</w:t>
            </w:r>
          </w:p>
        </w:tc>
        <w:tc>
          <w:tcPr>
            <w:tcW w:type="dxa" w:w="1680"/>
            <w:shd w:fill="FFFFFF"/>
          </w:tcPr>
          <w:p>
            <w:pPr>
              <w:jc w:val="left"/>
            </w:pPr>
            <w:r/>
            <w:r>
              <w:rPr>
                <w:rFonts w:ascii="Arial" w:hAnsi="Arial"/>
                <w:b w:val="0"/>
                <w:color w:val="1F2937"/>
                <w:sz w:val="16"/>
              </w:rPr>
              <w:t>Enhanced Due Diligence (EDD)</w:t>
            </w:r>
          </w:p>
        </w:tc>
        <w:tc>
          <w:tcPr>
            <w:tcW w:type="dxa" w:w="1680"/>
            <w:shd w:fill="FFFFFF"/>
          </w:tcPr>
          <w:p>
            <w:pPr>
              <w:jc w:val="left"/>
            </w:pPr>
            <w:r/>
            <w:r>
              <w:rPr>
                <w:rFonts w:ascii="Arial" w:hAnsi="Arial"/>
                <w:b w:val="0"/>
                <w:color w:val="1F2937"/>
                <w:sz w:val="16"/>
              </w:rPr>
              <w:t>Preventive</w:t>
            </w:r>
          </w:p>
        </w:tc>
        <w:tc>
          <w:tcPr>
            <w:tcW w:type="dxa" w:w="1680"/>
            <w:shd w:fill="FFFFFF"/>
          </w:tcPr>
          <w:p>
            <w:pPr>
              <w:jc w:val="left"/>
            </w:pPr>
            <w:r/>
            <w:r>
              <w:rPr>
                <w:rFonts w:ascii="Arial" w:hAnsi="Arial"/>
                <w:b w:val="0"/>
                <w:color w:val="1F2937"/>
                <w:sz w:val="16"/>
              </w:rPr>
              <w:t>Compliance - AML/ATF Officer</w:t>
            </w:r>
          </w:p>
        </w:tc>
        <w:tc>
          <w:tcPr>
            <w:tcW w:type="dxa" w:w="1680"/>
            <w:shd w:fill="FFFFFF"/>
          </w:tcPr>
          <w:p>
            <w:pPr>
              <w:jc w:val="left"/>
            </w:pPr>
            <w:r/>
            <w:r>
              <w:rPr>
                <w:rFonts w:ascii="Arial" w:hAnsi="Arial"/>
                <w:b w:val="0"/>
                <w:color w:val="1F2937"/>
                <w:sz w:val="16"/>
              </w:rPr>
              <w:t>Critical</w:t>
            </w:r>
          </w:p>
        </w:tc>
        <w:tc>
          <w:tcPr>
            <w:tcW w:type="dxa" w:w="1680"/>
            <w:shd w:fill="FFFFFF"/>
          </w:tcPr>
          <w:p>
            <w:pPr>
              <w:jc w:val="left"/>
            </w:pPr>
            <w:r/>
            <w:r>
              <w:rPr>
                <w:rFonts w:ascii="Arial" w:hAnsi="Arial"/>
                <w:b w:val="0"/>
                <w:color w:val="1F2937"/>
                <w:sz w:val="16"/>
              </w:rPr>
              <w:t>Low</w:t>
            </w:r>
          </w:p>
        </w:tc>
      </w:tr>
      <w:tr>
        <w:tc>
          <w:tcPr>
            <w:tcW w:type="dxa" w:w="1680"/>
            <w:shd w:fill="F8FAFC"/>
          </w:tcPr>
          <w:p>
            <w:pPr>
              <w:jc w:val="left"/>
            </w:pPr>
            <w:r/>
            <w:r>
              <w:rPr>
                <w:rFonts w:ascii="Arial" w:hAnsi="Arial"/>
                <w:b w:val="0"/>
                <w:color w:val="1F2937"/>
                <w:sz w:val="16"/>
              </w:rPr>
              <w:t>C-07</w:t>
            </w:r>
          </w:p>
        </w:tc>
        <w:tc>
          <w:tcPr>
            <w:tcW w:type="dxa" w:w="1680"/>
            <w:shd w:fill="F8FAFC"/>
          </w:tcPr>
          <w:p>
            <w:pPr>
              <w:jc w:val="left"/>
            </w:pPr>
            <w:r/>
            <w:r>
              <w:rPr>
                <w:rFonts w:ascii="Arial" w:hAnsi="Arial"/>
                <w:b w:val="0"/>
                <w:color w:val="1F2937"/>
                <w:sz w:val="16"/>
              </w:rPr>
              <w:t>Exception Approval and Logging</w:t>
            </w:r>
          </w:p>
        </w:tc>
        <w:tc>
          <w:tcPr>
            <w:tcW w:type="dxa" w:w="1680"/>
            <w:shd w:fill="F8FAFC"/>
          </w:tcPr>
          <w:p>
            <w:pPr>
              <w:jc w:val="left"/>
            </w:pPr>
            <w:r/>
            <w:r>
              <w:rPr>
                <w:rFonts w:ascii="Arial" w:hAnsi="Arial"/>
                <w:b w:val="0"/>
                <w:color w:val="1F2937"/>
                <w:sz w:val="16"/>
              </w:rPr>
              <w:t>Preventive</w:t>
            </w:r>
          </w:p>
        </w:tc>
        <w:tc>
          <w:tcPr>
            <w:tcW w:type="dxa" w:w="1680"/>
            <w:shd w:fill="F8FAFC"/>
          </w:tcPr>
          <w:p>
            <w:pPr>
              <w:jc w:val="left"/>
            </w:pPr>
            <w:r/>
            <w:r>
              <w:rPr>
                <w:rFonts w:ascii="Arial" w:hAnsi="Arial"/>
                <w:b w:val="0"/>
                <w:color w:val="1F2937"/>
                <w:sz w:val="16"/>
              </w:rPr>
              <w:t>Compliance</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Low</w:t>
            </w:r>
          </w:p>
        </w:tc>
      </w:tr>
      <w:tr>
        <w:tc>
          <w:tcPr>
            <w:tcW w:type="dxa" w:w="1680"/>
            <w:shd w:fill="FFFFFF"/>
          </w:tcPr>
          <w:p>
            <w:pPr>
              <w:jc w:val="left"/>
            </w:pPr>
            <w:r/>
            <w:r>
              <w:rPr>
                <w:rFonts w:ascii="Arial" w:hAnsi="Arial"/>
                <w:b w:val="0"/>
                <w:color w:val="1F2937"/>
                <w:sz w:val="16"/>
              </w:rPr>
              <w:t>C-08</w:t>
            </w:r>
          </w:p>
        </w:tc>
        <w:tc>
          <w:tcPr>
            <w:tcW w:type="dxa" w:w="1680"/>
            <w:shd w:fill="FFFFFF"/>
          </w:tcPr>
          <w:p>
            <w:pPr>
              <w:jc w:val="left"/>
            </w:pPr>
            <w:r/>
            <w:r>
              <w:rPr>
                <w:rFonts w:ascii="Arial" w:hAnsi="Arial"/>
                <w:b w:val="0"/>
                <w:color w:val="1F2937"/>
                <w:sz w:val="16"/>
              </w:rPr>
              <w:t>IPS Completeness and Mandate Setup</w:t>
            </w:r>
          </w:p>
        </w:tc>
        <w:tc>
          <w:tcPr>
            <w:tcW w:type="dxa" w:w="1680"/>
            <w:shd w:fill="FFFFFF"/>
          </w:tcPr>
          <w:p>
            <w:pPr>
              <w:jc w:val="left"/>
            </w:pPr>
            <w:r/>
            <w:r>
              <w:rPr>
                <w:rFonts w:ascii="Arial" w:hAnsi="Arial"/>
                <w:b w:val="0"/>
                <w:color w:val="1F2937"/>
                <w:sz w:val="16"/>
              </w:rPr>
              <w:t>Preventive</w:t>
            </w:r>
          </w:p>
        </w:tc>
        <w:tc>
          <w:tcPr>
            <w:tcW w:type="dxa" w:w="1680"/>
            <w:shd w:fill="FFFFFF"/>
          </w:tcPr>
          <w:p>
            <w:pPr>
              <w:jc w:val="left"/>
            </w:pPr>
            <w:r/>
            <w:r>
              <w:rPr>
                <w:rFonts w:ascii="Arial" w:hAnsi="Arial"/>
                <w:b w:val="0"/>
                <w:color w:val="1F2937"/>
                <w:sz w:val="16"/>
              </w:rPr>
              <w:t>Senior Portfolio Manager / Operations</w:t>
            </w:r>
          </w:p>
        </w:tc>
        <w:tc>
          <w:tcPr>
            <w:tcW w:type="dxa" w:w="1680"/>
            <w:shd w:fill="FFFFFF"/>
          </w:tcPr>
          <w:p>
            <w:pPr>
              <w:jc w:val="left"/>
            </w:pPr>
            <w:r/>
            <w:r>
              <w:rPr>
                <w:rFonts w:ascii="Arial" w:hAnsi="Arial"/>
                <w:b w:val="0"/>
                <w:color w:val="1F2937"/>
                <w:sz w:val="16"/>
              </w:rPr>
              <w:t>High</w:t>
            </w:r>
          </w:p>
        </w:tc>
        <w:tc>
          <w:tcPr>
            <w:tcW w:type="dxa" w:w="1680"/>
            <w:shd w:fill="FFFFFF"/>
          </w:tcPr>
          <w:p>
            <w:pPr>
              <w:jc w:val="left"/>
            </w:pPr>
            <w:r/>
            <w:r>
              <w:rPr>
                <w:rFonts w:ascii="Arial" w:hAnsi="Arial"/>
                <w:b w:val="0"/>
                <w:color w:val="1F2937"/>
                <w:sz w:val="16"/>
              </w:rPr>
              <w:t>Medium</w:t>
            </w:r>
          </w:p>
        </w:tc>
      </w:tr>
      <w:tr>
        <w:tc>
          <w:tcPr>
            <w:tcW w:type="dxa" w:w="1680"/>
            <w:shd w:fill="F8FAFC"/>
          </w:tcPr>
          <w:p>
            <w:pPr>
              <w:jc w:val="left"/>
            </w:pPr>
            <w:r/>
            <w:r>
              <w:rPr>
                <w:rFonts w:ascii="Arial" w:hAnsi="Arial"/>
                <w:b w:val="0"/>
                <w:color w:val="1F2937"/>
                <w:sz w:val="16"/>
              </w:rPr>
              <w:t>C-09</w:t>
            </w:r>
          </w:p>
        </w:tc>
        <w:tc>
          <w:tcPr>
            <w:tcW w:type="dxa" w:w="1680"/>
            <w:shd w:fill="F8FAFC"/>
          </w:tcPr>
          <w:p>
            <w:pPr>
              <w:jc w:val="left"/>
            </w:pPr>
            <w:r/>
            <w:r>
              <w:rPr>
                <w:rFonts w:ascii="Arial" w:hAnsi="Arial"/>
                <w:b w:val="0"/>
                <w:color w:val="1F2937"/>
                <w:sz w:val="16"/>
              </w:rPr>
              <w:t>Periodic KYC Refresh</w:t>
            </w:r>
          </w:p>
        </w:tc>
        <w:tc>
          <w:tcPr>
            <w:tcW w:type="dxa" w:w="1680"/>
            <w:shd w:fill="F8FAFC"/>
          </w:tcPr>
          <w:p>
            <w:pPr>
              <w:jc w:val="left"/>
            </w:pPr>
            <w:r/>
            <w:r>
              <w:rPr>
                <w:rFonts w:ascii="Arial" w:hAnsi="Arial"/>
                <w:b w:val="0"/>
                <w:color w:val="1F2937"/>
                <w:sz w:val="16"/>
              </w:rPr>
              <w:t>Detective</w:t>
            </w:r>
          </w:p>
        </w:tc>
        <w:tc>
          <w:tcPr>
            <w:tcW w:type="dxa" w:w="1680"/>
            <w:shd w:fill="F8FAFC"/>
          </w:tcPr>
          <w:p>
            <w:pPr>
              <w:jc w:val="left"/>
            </w:pPr>
            <w:r/>
            <w:r>
              <w:rPr>
                <w:rFonts w:ascii="Arial" w:hAnsi="Arial"/>
                <w:b w:val="0"/>
                <w:color w:val="1F2937"/>
                <w:sz w:val="16"/>
              </w:rPr>
              <w:t>Investment Advisor / RM</w:t>
            </w:r>
          </w:p>
        </w:tc>
        <w:tc>
          <w:tcPr>
            <w:tcW w:type="dxa" w:w="1680"/>
            <w:shd w:fill="F8FAFC"/>
          </w:tcPr>
          <w:p>
            <w:pPr>
              <w:jc w:val="left"/>
            </w:pPr>
            <w:r/>
            <w:r>
              <w:rPr>
                <w:rFonts w:ascii="Arial" w:hAnsi="Arial"/>
                <w:b w:val="0"/>
                <w:color w:val="1F2937"/>
                <w:sz w:val="16"/>
              </w:rPr>
              <w:t>High</w:t>
            </w:r>
          </w:p>
        </w:tc>
        <w:tc>
          <w:tcPr>
            <w:tcW w:type="dxa" w:w="1680"/>
            <w:shd w:fill="F8FAFC"/>
          </w:tcPr>
          <w:p>
            <w:pPr>
              <w:jc w:val="left"/>
            </w:pPr>
            <w:r/>
            <w:r>
              <w:rPr>
                <w:rFonts w:ascii="Arial" w:hAnsi="Arial"/>
                <w:b w:val="0"/>
                <w:color w:val="1F2937"/>
                <w:sz w:val="16"/>
              </w:rPr>
              <w:t>Medium</w:t>
            </w:r>
          </w:p>
        </w:tc>
      </w:tr>
      <w:tr>
        <w:tc>
          <w:tcPr>
            <w:tcW w:type="dxa" w:w="1680"/>
            <w:shd w:fill="FFFFFF"/>
          </w:tcPr>
          <w:p>
            <w:pPr>
              <w:jc w:val="left"/>
            </w:pPr>
            <w:r/>
            <w:r>
              <w:rPr>
                <w:rFonts w:ascii="Arial" w:hAnsi="Arial"/>
                <w:b w:val="0"/>
                <w:color w:val="1F2937"/>
                <w:sz w:val="16"/>
              </w:rPr>
              <w:t>C-10</w:t>
            </w:r>
          </w:p>
        </w:tc>
        <w:tc>
          <w:tcPr>
            <w:tcW w:type="dxa" w:w="1680"/>
            <w:shd w:fill="FFFFFF"/>
          </w:tcPr>
          <w:p>
            <w:pPr>
              <w:jc w:val="left"/>
            </w:pPr>
            <w:r/>
            <w:r>
              <w:rPr>
                <w:rFonts w:ascii="Arial" w:hAnsi="Arial"/>
                <w:b w:val="0"/>
                <w:color w:val="1F2937"/>
                <w:sz w:val="16"/>
              </w:rPr>
              <w:t>STR Escalation and Reporting</w:t>
            </w:r>
          </w:p>
        </w:tc>
        <w:tc>
          <w:tcPr>
            <w:tcW w:type="dxa" w:w="1680"/>
            <w:shd w:fill="FFFFFF"/>
          </w:tcPr>
          <w:p>
            <w:pPr>
              <w:jc w:val="left"/>
            </w:pPr>
            <w:r/>
            <w:r>
              <w:rPr>
                <w:rFonts w:ascii="Arial" w:hAnsi="Arial"/>
                <w:b w:val="0"/>
                <w:color w:val="1F2937"/>
                <w:sz w:val="16"/>
              </w:rPr>
              <w:t>Preventive/Detective</w:t>
            </w:r>
          </w:p>
        </w:tc>
        <w:tc>
          <w:tcPr>
            <w:tcW w:type="dxa" w:w="1680"/>
            <w:shd w:fill="FFFFFF"/>
          </w:tcPr>
          <w:p>
            <w:pPr>
              <w:jc w:val="left"/>
            </w:pPr>
            <w:r/>
            <w:r>
              <w:rPr>
                <w:rFonts w:ascii="Arial" w:hAnsi="Arial"/>
                <w:b w:val="0"/>
                <w:color w:val="1F2937"/>
                <w:sz w:val="16"/>
              </w:rPr>
              <w:t>Compliance - AML/ATF Officer</w:t>
            </w:r>
          </w:p>
        </w:tc>
        <w:tc>
          <w:tcPr>
            <w:tcW w:type="dxa" w:w="1680"/>
            <w:shd w:fill="FFFFFF"/>
          </w:tcPr>
          <w:p>
            <w:pPr>
              <w:jc w:val="left"/>
            </w:pPr>
            <w:r/>
            <w:r>
              <w:rPr>
                <w:rFonts w:ascii="Arial" w:hAnsi="Arial"/>
                <w:b w:val="0"/>
                <w:color w:val="1F2937"/>
                <w:sz w:val="16"/>
              </w:rPr>
              <w:t>Critical</w:t>
            </w:r>
          </w:p>
        </w:tc>
        <w:tc>
          <w:tcPr>
            <w:tcW w:type="dxa" w:w="1680"/>
            <w:shd w:fill="FFFFFF"/>
          </w:tcPr>
          <w:p>
            <w:pPr>
              <w:jc w:val="left"/>
            </w:pPr>
            <w:r/>
            <w:r>
              <w:rPr>
                <w:rFonts w:ascii="Arial" w:hAnsi="Arial"/>
                <w:b w:val="0"/>
                <w:color w:val="1F2937"/>
                <w:sz w:val="16"/>
              </w:rPr>
              <w:t>Low</w:t>
            </w:r>
          </w:p>
        </w:tc>
      </w:tr>
      <w:tr>
        <w:tc>
          <w:tcPr>
            <w:tcW w:type="dxa" w:w="1680"/>
            <w:shd w:fill="F8FAFC"/>
          </w:tcPr>
          <w:p>
            <w:pPr>
              <w:jc w:val="left"/>
            </w:pPr>
            <w:r/>
            <w:r>
              <w:rPr>
                <w:rFonts w:ascii="Arial" w:hAnsi="Arial"/>
                <w:b w:val="0"/>
                <w:color w:val="1F2937"/>
                <w:sz w:val="16"/>
              </w:rPr>
              <w:t>C-11</w:t>
            </w:r>
          </w:p>
        </w:tc>
        <w:tc>
          <w:tcPr>
            <w:tcW w:type="dxa" w:w="1680"/>
            <w:shd w:fill="F8FAFC"/>
          </w:tcPr>
          <w:p>
            <w:pPr>
              <w:jc w:val="left"/>
            </w:pPr>
            <w:r/>
            <w:r>
              <w:rPr>
                <w:rFonts w:ascii="Arial" w:hAnsi="Arial"/>
                <w:b w:val="0"/>
                <w:color w:val="1F2937"/>
                <w:sz w:val="16"/>
              </w:rPr>
              <w:t>Client Record Retention</w:t>
            </w:r>
          </w:p>
        </w:tc>
        <w:tc>
          <w:tcPr>
            <w:tcW w:type="dxa" w:w="1680"/>
            <w:shd w:fill="F8FAFC"/>
          </w:tcPr>
          <w:p>
            <w:pPr>
              <w:jc w:val="left"/>
            </w:pPr>
            <w:r/>
            <w:r>
              <w:rPr>
                <w:rFonts w:ascii="Arial" w:hAnsi="Arial"/>
                <w:b w:val="0"/>
                <w:color w:val="1F2937"/>
                <w:sz w:val="16"/>
              </w:rPr>
              <w:t>Directive</w:t>
            </w:r>
          </w:p>
        </w:tc>
        <w:tc>
          <w:tcPr>
            <w:tcW w:type="dxa" w:w="1680"/>
            <w:shd w:fill="F8FAFC"/>
          </w:tcPr>
          <w:p>
            <w:pPr>
              <w:jc w:val="left"/>
            </w:pPr>
            <w:r/>
            <w:r>
              <w:rPr>
                <w:rFonts w:ascii="Arial" w:hAnsi="Arial"/>
                <w:b w:val="0"/>
                <w:color w:val="1F2937"/>
                <w:sz w:val="16"/>
              </w:rPr>
              <w:t>Branch Ops / Wealth Operations</w:t>
            </w:r>
          </w:p>
        </w:tc>
        <w:tc>
          <w:tcPr>
            <w:tcW w:type="dxa" w:w="1680"/>
            <w:shd w:fill="F8FAFC"/>
          </w:tcPr>
          <w:p>
            <w:pPr>
              <w:jc w:val="left"/>
            </w:pPr>
            <w:r/>
            <w:r>
              <w:rPr>
                <w:rFonts w:ascii="Arial" w:hAnsi="Arial"/>
                <w:b w:val="0"/>
                <w:color w:val="1F2937"/>
                <w:sz w:val="16"/>
              </w:rPr>
              <w:t>Critical</w:t>
            </w:r>
          </w:p>
        </w:tc>
        <w:tc>
          <w:tcPr>
            <w:tcW w:type="dxa" w:w="1680"/>
            <w:shd w:fill="F8FAFC"/>
          </w:tcPr>
          <w:p>
            <w:pPr>
              <w:jc w:val="left"/>
            </w:pPr>
            <w:r/>
            <w:r>
              <w:rPr>
                <w:rFonts w:ascii="Arial" w:hAnsi="Arial"/>
                <w:b w:val="0"/>
                <w:color w:val="1F2937"/>
                <w:sz w:val="16"/>
              </w:rPr>
              <w:t>Low</w:t>
            </w:r>
          </w:p>
        </w:tc>
      </w:tr>
      <w:tr>
        <w:tc>
          <w:tcPr>
            <w:tcW w:type="dxa" w:w="1680"/>
            <w:shd w:fill="FFFFFF"/>
          </w:tcPr>
          <w:p>
            <w:pPr>
              <w:jc w:val="left"/>
            </w:pPr>
            <w:r/>
            <w:r>
              <w:rPr>
                <w:rFonts w:ascii="Arial" w:hAnsi="Arial"/>
                <w:b w:val="0"/>
                <w:color w:val="1F2937"/>
                <w:sz w:val="16"/>
              </w:rPr>
              <w:t>C-12</w:t>
            </w:r>
          </w:p>
        </w:tc>
        <w:tc>
          <w:tcPr>
            <w:tcW w:type="dxa" w:w="1680"/>
            <w:shd w:fill="FFFFFF"/>
          </w:tcPr>
          <w:p>
            <w:pPr>
              <w:jc w:val="left"/>
            </w:pPr>
            <w:r/>
            <w:r>
              <w:rPr>
                <w:rFonts w:ascii="Arial" w:hAnsi="Arial"/>
                <w:b w:val="0"/>
                <w:color w:val="1F2937"/>
                <w:sz w:val="16"/>
              </w:rPr>
              <w:t>Ongoing AML Re-screening</w:t>
            </w:r>
          </w:p>
        </w:tc>
        <w:tc>
          <w:tcPr>
            <w:tcW w:type="dxa" w:w="1680"/>
            <w:shd w:fill="FFFFFF"/>
          </w:tcPr>
          <w:p>
            <w:pPr>
              <w:jc w:val="left"/>
            </w:pPr>
            <w:r/>
            <w:r>
              <w:rPr>
                <w:rFonts w:ascii="Arial" w:hAnsi="Arial"/>
                <w:b w:val="0"/>
                <w:color w:val="1F2937"/>
                <w:sz w:val="16"/>
              </w:rPr>
              <w:t>Detective</w:t>
            </w:r>
          </w:p>
        </w:tc>
        <w:tc>
          <w:tcPr>
            <w:tcW w:type="dxa" w:w="1680"/>
            <w:shd w:fill="FFFFFF"/>
          </w:tcPr>
          <w:p>
            <w:pPr>
              <w:jc w:val="left"/>
            </w:pPr>
            <w:r/>
            <w:r>
              <w:rPr>
                <w:rFonts w:ascii="Arial" w:hAnsi="Arial"/>
                <w:b w:val="0"/>
                <w:color w:val="1F2937"/>
                <w:sz w:val="16"/>
              </w:rPr>
              <w:t>Compliance - AML/ATF Officer</w:t>
            </w:r>
          </w:p>
        </w:tc>
        <w:tc>
          <w:tcPr>
            <w:tcW w:type="dxa" w:w="1680"/>
            <w:shd w:fill="FFFFFF"/>
          </w:tcPr>
          <w:p>
            <w:pPr>
              <w:jc w:val="left"/>
            </w:pPr>
            <w:r/>
            <w:r>
              <w:rPr>
                <w:rFonts w:ascii="Arial" w:hAnsi="Arial"/>
                <w:b w:val="0"/>
                <w:color w:val="1F2937"/>
                <w:sz w:val="16"/>
              </w:rPr>
              <w:t>Critical</w:t>
            </w:r>
          </w:p>
        </w:tc>
        <w:tc>
          <w:tcPr>
            <w:tcW w:type="dxa" w:w="1680"/>
            <w:shd w:fill="FFFFFF"/>
          </w:tcPr>
          <w:p>
            <w:pPr>
              <w:jc w:val="left"/>
            </w:pPr>
            <w:r/>
            <w:r>
              <w:rPr>
                <w:rFonts w:ascii="Arial" w:hAnsi="Arial"/>
                <w:b w:val="0"/>
                <w:color w:val="1F2937"/>
                <w:sz w:val="16"/>
              </w:rPr>
              <w:t>Low</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TRACE SOP Uplift - rebuilt test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338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338D"/>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33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338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