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36"/>
          <w:szCs w:val="36"/>
        </w:rPr>
        <w:t xml:space="preserve">CONTROL TEST EVIDENCE</w:t>
      </w:r>
    </w:p>
    <w:p>
      <w:pPr>
        <w:spacing w:after="60" w:before="0"/>
      </w:pPr>
      <w:r>
        <w:rPr>
          <w:rFonts w:ascii="Arial" w:cs="Arial" w:eastAsia="Arial" w:hAnsi="Arial"/>
          <w:color w:val="444444"/>
          <w:sz w:val="24"/>
          <w:szCs w:val="24"/>
        </w:rPr>
        <w:t xml:space="preserve">Wealth Client Onboarding and KYC  –  Q1 2025</w:t>
      </w:r>
    </w:p>
    <w:p>
      <w:pPr>
        <w:spacing w:after="60" w:before="0"/>
      </w:pPr>
      <w:r>
        <w:rPr>
          <w:rFonts w:ascii="Arial" w:cs="Arial" w:eastAsia="Arial" w:hAnsi="Arial"/>
          <w:color w:val="666666"/>
          <w:sz w:val="20"/>
          <w:szCs w:val="20"/>
        </w:rPr>
        <w:t xml:space="preserve">Wealth Management &amp; Private Banking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Reference: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CTEST-WM-KYC-Q1-2025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Testing Period: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January 2025 – March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Control Testing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Reviewed By:</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PENDING – Compliance Sign-off Required</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Related SOP:</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 v3.1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Related RCM:</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RCM-WM-KYC-001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 FINTRAC / CIRO Rules 3200 &amp; 3400 / NI 31-103</w:t>
            </w:r>
          </w:p>
        </w:tc>
      </w:tr>
    </w:tbl>
    <w:p>
      <w:r>
        <w:t xml:space="preserve"/>
      </w:r>
    </w:p>
    <w:p>
      <w:pPr>
        <w:pBdr>
          <w:left w:val="single" w:color="FFC000" w:sz="16" w:space="8"/>
        </w:pBdr>
        <w:shd w:fill="FFF4CC" w:val="clear"/>
        <w:spacing w:after="80" w:before="80"/>
      </w:pPr>
      <w:r>
        <w:rPr>
          <w:rFonts w:ascii="Arial" w:cs="Arial" w:eastAsia="Arial" w:hAnsi="Arial"/>
          <w:color w:val="7A5000"/>
          <w:sz w:val="19"/>
          <w:szCs w:val="19"/>
        </w:rPr>
        <w:t xml:space="preserve">DRAFT NOTICE: This document is draft control test evidence. Results have not been formally accepted by Compliance or Branch Management. Do not distribute, cite in regulatory submissions, or share with external parties prior to sign-off.</w:t>
      </w:r>
    </w:p>
    <w:p>
      <w:r>
        <w:t xml:space="preserve"/>
      </w:r>
    </w:p>
    <w:p>
      <w:pPr>
        <w:pStyle w:val="Heading1"/>
        <w:pBdr>
          <w:bottom w:val="single" w:color="003366" w:sz="6" w:space="4"/>
        </w:pBdr>
        <w:spacing w:after="100" w:before="320"/>
      </w:pPr>
      <w:r>
        <w:rPr>
          <w:rFonts w:ascii="Arial" w:cs="Arial" w:eastAsia="Arial" w:hAnsi="Arial"/>
          <w:b/>
          <w:bCs/>
          <w:color w:val="003366"/>
          <w:sz w:val="26"/>
          <w:szCs w:val="26"/>
        </w:rPr>
        <w:t xml:space="preserve">1.  Testing Objective</w:t>
      </w:r>
    </w:p>
    <w:p>
      <w:pPr>
        <w:spacing w:after="60" w:before="60"/>
      </w:pPr>
      <w:r>
        <w:rPr>
          <w:rFonts w:ascii="Arial" w:cs="Arial" w:eastAsia="Arial" w:hAnsi="Arial"/>
          <w:sz w:val="20"/>
          <w:szCs w:val="20"/>
        </w:rPr>
        <w:t xml:space="preserve">This document records the Q1 2025 control testing results for five key controls in the Wealth Client Onboarding and KYC process at the Wealth Management and Private Banking division. Testing was performed to assess control design adequacy and operating effectiveness for the period January to March 2025.</w:t>
      </w:r>
    </w:p>
    <w:p>
      <w:r>
        <w:t xml:space="preserve"/>
      </w:r>
    </w:p>
    <w:p>
      <w:pPr>
        <w:spacing w:after="60" w:before="60"/>
      </w:pPr>
      <w:r>
        <w:rPr>
          <w:rFonts w:ascii="Arial" w:cs="Arial" w:eastAsia="Arial" w:hAnsi="Arial"/>
          <w:sz w:val="20"/>
          <w:szCs w:val="20"/>
        </w:rPr>
        <w:t xml:space="preserve">Controls selected for testing were prioritised based on:</w:t>
      </w:r>
    </w:p>
    <w:p>
      <w:pPr>
        <w:pStyle w:val="ListParagraph"/>
        <w:numPr>
          <w:ilvl w:val="0"/>
          <w:numId w:val="2"/>
        </w:numPr>
        <w:spacing w:after="40" w:before="40"/>
      </w:pPr>
      <w:r>
        <w:rPr>
          <w:rFonts w:ascii="Arial" w:cs="Arial" w:eastAsia="Arial" w:hAnsi="Arial"/>
          <w:sz w:val="20"/>
          <w:szCs w:val="20"/>
        </w:rPr>
        <w:t xml:space="preserve">Regulatory exposure — controls linked to PCMLTFA, FINTRAC, CIRO Rule 3200/3400, and NI 31-103 obligations</w:t>
      </w:r>
    </w:p>
    <w:p>
      <w:pPr>
        <w:pStyle w:val="ListParagraph"/>
        <w:numPr>
          <w:ilvl w:val="0"/>
          <w:numId w:val="2"/>
        </w:numPr>
        <w:spacing w:after="40" w:before="40"/>
      </w:pPr>
      <w:r>
        <w:rPr>
          <w:rFonts w:ascii="Arial" w:cs="Arial" w:eastAsia="Arial" w:hAnsi="Arial"/>
          <w:sz w:val="20"/>
          <w:szCs w:val="20"/>
        </w:rPr>
        <w:t xml:space="preserve">FY2024 FINTRAC examination — record retention and AML screening gaps identified during the Q3 2024 examination</w:t>
      </w:r>
    </w:p>
    <w:p>
      <w:pPr>
        <w:pStyle w:val="ListParagraph"/>
        <w:numPr>
          <w:ilvl w:val="0"/>
          <w:numId w:val="2"/>
        </w:numPr>
        <w:spacing w:after="40" w:before="40"/>
      </w:pPr>
      <w:r>
        <w:rPr>
          <w:rFonts w:ascii="Arial" w:cs="Arial" w:eastAsia="Arial" w:hAnsi="Arial"/>
          <w:sz w:val="20"/>
          <w:szCs w:val="20"/>
        </w:rPr>
        <w:t xml:space="preserve">Internal risk register — open items on RE-001, RE-003, RE-008, and RE-009</w:t>
      </w:r>
    </w:p>
    <w:p>
      <w:pPr>
        <w:pStyle w:val="ListParagraph"/>
        <w:numPr>
          <w:ilvl w:val="0"/>
          <w:numId w:val="2"/>
        </w:numPr>
        <w:spacing w:after="40" w:before="40"/>
      </w:pPr>
      <w:r>
        <w:rPr>
          <w:rFonts w:ascii="Arial" w:cs="Arial" w:eastAsia="Arial" w:hAnsi="Arial"/>
          <w:sz w:val="20"/>
          <w:szCs w:val="20"/>
        </w:rPr>
        <w:t xml:space="preserve">Prior testing findings — suitability assessment and exception logging controls had no prior testing record</w:t>
      </w:r>
    </w:p>
    <w:p>
      <w:r>
        <w:t xml:space="preserve"/>
      </w:r>
    </w:p>
    <w:p>
      <w:pPr>
        <w:pStyle w:val="Heading1"/>
        <w:pBdr>
          <w:bottom w:val="single" w:color="003366" w:sz="6" w:space="4"/>
        </w:pBdr>
        <w:spacing w:after="100" w:before="320"/>
      </w:pPr>
      <w:r>
        <w:rPr>
          <w:rFonts w:ascii="Arial" w:cs="Arial" w:eastAsia="Arial" w:hAnsi="Arial"/>
          <w:b/>
          <w:bCs/>
          <w:color w:val="003366"/>
          <w:sz w:val="26"/>
          <w:szCs w:val="26"/>
        </w:rPr>
        <w:t xml:space="preserve">2.  Population and Sample</w:t>
      </w:r>
    </w:p>
    <w:p>
      <w:pPr>
        <w:spacing w:after="60" w:before="60"/>
      </w:pPr>
      <w:r>
        <w:rPr>
          <w:rFonts w:ascii="Arial" w:cs="Arial" w:eastAsia="Arial" w:hAnsi="Arial"/>
          <w:sz w:val="20"/>
          <w:szCs w:val="20"/>
        </w:rPr>
        <w:t xml:space="preserve">Testing was based on the population of new wealth management account openings in Q1 2025 (158 accounts) and the full population of exceptions recorded in the Compliance Exception Log during the same period (6 exceptions). For C-09 (KYC Refresh), the population was 342 active accounts with a KYC refresh due date falling in Q1 2025.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1800"/>
        <w:gridCol w:w="13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Control Tested</w:t>
            </w:r>
          </w:p>
        </w:tc>
        <w:tc>
          <w:tcPr>
            <w:tcW w:type="dxa" w:w="22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Population</w:t>
            </w:r>
          </w:p>
        </w:tc>
        <w:tc>
          <w:tcPr>
            <w:tcW w:type="dxa" w:w="1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Sample Size</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Sampling Method</w:t>
            </w:r>
          </w:p>
        </w:tc>
        <w:tc>
          <w:tcPr>
            <w:tcW w:type="dxa" w:w="13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Period</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C-01  NAAF Completeness Review</w:t>
            </w:r>
          </w:p>
        </w:tc>
        <w:tc>
          <w:tcPr>
            <w:tcW w:type="dxa" w:w="22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158 new accounts</w:t>
            </w:r>
          </w:p>
        </w:tc>
        <w:tc>
          <w:tcPr>
            <w:tcW w:type="dxa" w:w="1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15</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Random</w:t>
            </w:r>
          </w:p>
        </w:tc>
        <w:tc>
          <w:tcPr>
            <w:tcW w:type="dxa" w:w="13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Q1 2025</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C-03  AML &amp; Sanctions Screening</w:t>
            </w:r>
          </w:p>
        </w:tc>
        <w:tc>
          <w:tcPr>
            <w:tcW w:type="dxa" w:w="22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158 new accounts</w:t>
            </w:r>
          </w:p>
        </w:tc>
        <w:tc>
          <w:tcPr>
            <w:tcW w:type="dxa" w:w="1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15</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Random</w:t>
            </w:r>
          </w:p>
        </w:tc>
        <w:tc>
          <w:tcPr>
            <w:tcW w:type="dxa" w:w="13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Q1 2025</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C-04  Suitability Assessment</w:t>
            </w:r>
          </w:p>
        </w:tc>
        <w:tc>
          <w:tcPr>
            <w:tcW w:type="dxa" w:w="22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158 new accounts</w:t>
            </w:r>
          </w:p>
        </w:tc>
        <w:tc>
          <w:tcPr>
            <w:tcW w:type="dxa" w:w="1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15</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Haphazard</w:t>
            </w:r>
          </w:p>
        </w:tc>
        <w:tc>
          <w:tcPr>
            <w:tcW w:type="dxa" w:w="13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Q1 2025</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C-07  Exception Approval &amp; Log</w:t>
            </w:r>
          </w:p>
        </w:tc>
        <w:tc>
          <w:tcPr>
            <w:tcW w:type="dxa" w:w="22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 exceptions (full population)</w:t>
            </w:r>
          </w:p>
        </w:tc>
        <w:tc>
          <w:tcPr>
            <w:tcW w:type="dxa" w:w="1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100% census</w:t>
            </w:r>
          </w:p>
        </w:tc>
        <w:tc>
          <w:tcPr>
            <w:tcW w:type="dxa" w:w="13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Q1 2025</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C-09  Periodic KYC Refresh</w:t>
            </w:r>
          </w:p>
        </w:tc>
        <w:tc>
          <w:tcPr>
            <w:tcW w:type="dxa" w:w="22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342 active accounts (refresh due)</w:t>
            </w:r>
          </w:p>
        </w:tc>
        <w:tc>
          <w:tcPr>
            <w:tcW w:type="dxa" w:w="1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Risk-stratified</w:t>
            </w:r>
          </w:p>
        </w:tc>
        <w:tc>
          <w:tcPr>
            <w:tcW w:type="dxa" w:w="13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tcPr>
          <w:p>
            <w:r>
              <w:rPr>
                <w:rFonts w:ascii="Arial" w:cs="Arial" w:eastAsia="Arial" w:hAnsi="Arial"/>
                <w:b w:val="false"/>
                <w:bCs w:val="false"/>
                <w:color w:val="1A1A2E"/>
                <w:sz w:val="18"/>
                <w:szCs w:val="18"/>
              </w:rPr>
              <w:t xml:space="preserve">Q1 2025</w:t>
            </w:r>
          </w:p>
        </w:tc>
      </w:tr>
    </w:tbl>
    <w:p>
      <w:r>
        <w:t xml:space="preserve"/>
      </w:r>
    </w:p>
    <w:p>
      <w:pPr>
        <w:pStyle w:val="Heading1"/>
        <w:pBdr>
          <w:bottom w:val="single" w:color="003366" w:sz="6" w:space="4"/>
        </w:pBdr>
        <w:spacing w:after="100" w:before="320"/>
      </w:pPr>
      <w:r>
        <w:rPr>
          <w:rFonts w:ascii="Arial" w:cs="Arial" w:eastAsia="Arial" w:hAnsi="Arial"/>
          <w:b/>
          <w:bCs/>
          <w:color w:val="003366"/>
          <w:sz w:val="26"/>
          <w:szCs w:val="26"/>
        </w:rPr>
        <w:t xml:space="preserve">3.  Detailed Test Results</w:t>
      </w:r>
    </w:p>
    <w:p>
      <w:pPr>
        <w:pStyle w:val="Heading2"/>
        <w:spacing w:after="60" w:before="200"/>
      </w:pPr>
      <w:r>
        <w:rPr>
          <w:rFonts w:ascii="Arial" w:cs="Arial" w:eastAsia="Arial" w:hAnsi="Arial"/>
          <w:b/>
          <w:bCs/>
          <w:color w:val="222222"/>
          <w:sz w:val="22"/>
          <w:szCs w:val="22"/>
        </w:rPr>
        <w:t xml:space="preserve">3.1  C-01  NAAF Completeness Review</w:t>
      </w:r>
    </w:p>
    <w:p>
      <w:pPr>
        <w:spacing w:after="60" w:before="60"/>
      </w:pPr>
      <w:r>
        <w:rPr>
          <w:rFonts w:ascii="Arial" w:cs="Arial" w:eastAsia="Arial" w:hAnsi="Arial"/>
          <w:b/>
          <w:bCs/>
          <w:sz w:val="20"/>
          <w:szCs w:val="20"/>
        </w:rPr>
        <w:t xml:space="preserve">Control description:</w:t>
      </w:r>
    </w:p>
    <w:p>
      <w:pPr>
        <w:spacing w:after="60" w:before="60"/>
      </w:pPr>
      <w:r>
        <w:rPr>
          <w:rFonts w:ascii="Arial" w:cs="Arial" w:eastAsia="Arial" w:hAnsi="Arial"/>
          <w:sz w:val="20"/>
          <w:szCs w:val="20"/>
        </w:rPr>
        <w:t xml:space="preserve">Branch Operations reviews the NAAF for completeness against the required field checklist before account activation. NAAFs not meeting the completeness standard are returned to the IA/RM. Supervisor override requires Branch Manager approval.</w:t>
      </w:r>
    </w:p>
    <w:p>
      <w:r>
        <w:t xml:space="preserve"/>
      </w:r>
    </w:p>
    <w:p>
      <w:pPr>
        <w:spacing w:after="60" w:before="60"/>
      </w:pPr>
      <w:r>
        <w:rPr>
          <w:rFonts w:ascii="Arial" w:cs="Arial" w:eastAsia="Arial" w:hAnsi="Arial"/>
          <w:b/>
          <w:bCs/>
          <w:sz w:val="20"/>
          <w:szCs w:val="20"/>
        </w:rPr>
        <w:t xml:space="preserve">Testing approach:</w:t>
      </w:r>
    </w:p>
    <w:p>
      <w:pPr>
        <w:spacing w:after="60" w:before="60"/>
      </w:pPr>
      <w:r>
        <w:rPr>
          <w:rFonts w:ascii="Arial" w:cs="Arial" w:eastAsia="Arial" w:hAnsi="Arial"/>
          <w:sz w:val="20"/>
          <w:szCs w:val="20"/>
        </w:rPr>
        <w:t xml:space="preserve">Inspected NAAF records for 15 randomly selected new accounts. Verified completeness of all required CIRO Rule 3200 fields. Where override was used, verified Branch Manager approval.</w:t>
      </w:r>
    </w:p>
    <w:p>
      <w:r>
        <w:t xml:space="preserve"/>
      </w:r>
    </w:p>
    <w:p>
      <w:pPr>
        <w:spacing w:after="60" w:before="60"/>
      </w:pPr>
      <w:r>
        <w:rPr>
          <w:rFonts w:ascii="Arial" w:cs="Arial" w:eastAsia="Arial" w:hAnsi="Arial"/>
          <w:b/>
          <w:bCs/>
          <w:color w:val="C07000"/>
          <w:sz w:val="20"/>
          <w:szCs w:val="20"/>
        </w:rPr>
        <w:t xml:space="preserve">Result: EXCEPTIONS IDENTIFIED  —  3 of 15 samples</w:t>
      </w:r>
    </w:p>
    <w:p>
      <w:r>
        <w:t xml:space="preserve"/>
      </w:r>
    </w:p>
    <w:p>
      <w:pPr>
        <w:spacing w:after="60" w:before="60"/>
      </w:pPr>
      <w:r>
        <w:rPr>
          <w:rFonts w:ascii="Arial" w:cs="Arial" w:eastAsia="Arial" w:hAnsi="Arial"/>
          <w:b/>
          <w:bCs/>
          <w:sz w:val="20"/>
          <w:szCs w:val="20"/>
        </w:rPr>
        <w:t xml:space="preserve">Exceptions:</w:t>
      </w:r>
    </w:p>
    <w:p>
      <w:pPr>
        <w:pStyle w:val="ListParagraph"/>
        <w:numPr>
          <w:ilvl w:val="0"/>
          <w:numId w:val="2"/>
        </w:numPr>
        <w:spacing w:after="40" w:before="40"/>
      </w:pPr>
      <w:r>
        <w:rPr>
          <w:rFonts w:ascii="Arial" w:cs="Arial" w:eastAsia="Arial" w:hAnsi="Arial"/>
          <w:sz w:val="20"/>
          <w:szCs w:val="20"/>
        </w:rPr>
        <w:t xml:space="preserve">3 of 15 NAAFs: Account activated with at least one mandatory field incomplete. In 2 cases, source of funds was missing. In 1 case, the PEP/HIO self-declaration field was left blank.</w:t>
      </w:r>
    </w:p>
    <w:p>
      <w:pPr>
        <w:pStyle w:val="ListParagraph"/>
        <w:numPr>
          <w:ilvl w:val="0"/>
          <w:numId w:val="2"/>
        </w:numPr>
        <w:spacing w:after="40" w:before="40"/>
      </w:pPr>
      <w:r>
        <w:rPr>
          <w:rFonts w:ascii="Arial" w:cs="Arial" w:eastAsia="Arial" w:hAnsi="Arial"/>
          <w:sz w:val="20"/>
          <w:szCs w:val="20"/>
        </w:rPr>
        <w:t xml:space="preserve">In 2 of the 3 exceptions, the IA/RM completeness certification was present but the NAAF was nonetheless routed without the missing field — indicating the certification was applied without complete review.</w:t>
      </w:r>
    </w:p>
    <w:p>
      <w:pPr>
        <w:pStyle w:val="ListParagraph"/>
        <w:numPr>
          <w:ilvl w:val="0"/>
          <w:numId w:val="2"/>
        </w:numPr>
        <w:spacing w:after="40" w:before="40"/>
      </w:pPr>
      <w:r>
        <w:rPr>
          <w:rFonts w:ascii="Arial" w:cs="Arial" w:eastAsia="Arial" w:hAnsi="Arial"/>
          <w:sz w:val="20"/>
          <w:szCs w:val="20"/>
        </w:rPr>
        <w:t xml:space="preserve">In 1 exception, the Branch Operations completeness override was triggered but no Branch Manager approval record was found in the system.</w:t>
      </w:r>
    </w:p>
    <w:p>
      <w:r>
        <w:t xml:space="preserve"/>
      </w:r>
    </w:p>
    <w:p>
      <w:pPr>
        <w:spacing w:after="60" w:before="60"/>
      </w:pPr>
      <w:r>
        <w:rPr>
          <w:rFonts w:ascii="Arial" w:cs="Arial" w:eastAsia="Arial" w:hAnsi="Arial"/>
          <w:b/>
          <w:bCs/>
          <w:sz w:val="20"/>
          <w:szCs w:val="20"/>
        </w:rPr>
        <w:t xml:space="preserve">Findings and observations:</w:t>
      </w:r>
    </w:p>
    <w:p>
      <w:pPr>
        <w:spacing w:after="60" w:before="60"/>
      </w:pPr>
      <w:r>
        <w:rPr>
          <w:rFonts w:ascii="Arial" w:cs="Arial" w:eastAsia="Arial" w:hAnsi="Arial"/>
          <w:sz w:val="20"/>
          <w:szCs w:val="20"/>
        </w:rPr>
        <w:t xml:space="preserve">The completeness check is operating with exceptions. The missing PEP/HIO declaration in one sample creates a direct PCMLTFA compliance risk — if the client is a PEP or HIO, EDD obligations were not triggered. The SOP (section 5.2) does not reference the completeness check control or the override approval requirement, making it difficult to enforce consistently.</w:t>
      </w:r>
    </w:p>
    <w:p>
      <w:r>
        <w:t xml:space="preserve"/>
      </w:r>
    </w:p>
    <w:p>
      <w:pPr>
        <w:spacing w:after="60" w:before="60"/>
      </w:pPr>
      <w:r>
        <w:rPr>
          <w:rFonts w:ascii="Arial" w:cs="Arial" w:eastAsia="Arial" w:hAnsi="Arial"/>
          <w:b/>
          <w:bCs/>
          <w:sz w:val="20"/>
          <w:szCs w:val="20"/>
        </w:rPr>
        <w:t xml:space="preserve">Recommendation:</w:t>
      </w:r>
    </w:p>
    <w:p>
      <w:pPr>
        <w:spacing w:after="60" w:before="60"/>
      </w:pPr>
      <w:r>
        <w:rPr>
          <w:rFonts w:ascii="Arial" w:cs="Arial" w:eastAsia="Arial" w:hAnsi="Arial"/>
          <w:sz w:val="20"/>
          <w:szCs w:val="20"/>
        </w:rPr>
        <w:t xml:space="preserve">Enforce mandatory Branch Manager approval in the account management system before completeness override is accepted. Update SOP section 5.2 to explicitly reference the NAAF completeness check and the override approval requirement. Ensure PEP/HIO declaration is a hard-required field in the system that cannot be bypassed.</w:t>
      </w:r>
    </w:p>
    <w:p>
      <w:r>
        <w:t xml:space="preserve"/>
      </w:r>
    </w:p>
    <w:p>
      <w:pPr>
        <w:pBdr>
          <w:left w:val="single" w:color="FFC000" w:sz="16" w:space="8"/>
        </w:pBdr>
        <w:shd w:fill="FFF4CC" w:val="clear"/>
        <w:spacing w:after="80" w:before="80"/>
      </w:pPr>
      <w:r>
        <w:rPr>
          <w:rFonts w:ascii="Arial" w:cs="Arial" w:eastAsia="Arial" w:hAnsi="Arial"/>
          <w:color w:val="7A5000"/>
          <w:sz w:val="19"/>
          <w:szCs w:val="19"/>
        </w:rPr>
        <w:t xml:space="preserve">Severity: Medium  |  Open / Remediation Required  |  Owner: Branch Operations + Compliance
Regulatory Reference: CIRO Rule 3200; NI 31-103 s.13.2</w:t>
      </w:r>
    </w:p>
    <w:p>
      <w:r>
        <w:t xml:space="preserve"/>
      </w:r>
    </w:p>
    <w:p>
      <w:pPr>
        <w:pStyle w:val="Heading2"/>
        <w:spacing w:after="60" w:before="200"/>
      </w:pPr>
      <w:r>
        <w:rPr>
          <w:rFonts w:ascii="Arial" w:cs="Arial" w:eastAsia="Arial" w:hAnsi="Arial"/>
          <w:b/>
          <w:bCs/>
          <w:color w:val="222222"/>
          <w:sz w:val="22"/>
          <w:szCs w:val="22"/>
        </w:rPr>
        <w:t xml:space="preserve">3.2  C-03  AML and Sanctions Screening</w:t>
      </w:r>
    </w:p>
    <w:p>
      <w:pPr>
        <w:spacing w:after="60" w:before="60"/>
      </w:pPr>
      <w:r>
        <w:rPr>
          <w:rFonts w:ascii="Arial" w:cs="Arial" w:eastAsia="Arial" w:hAnsi="Arial"/>
          <w:b/>
          <w:bCs/>
          <w:sz w:val="20"/>
          <w:szCs w:val="20"/>
        </w:rPr>
        <w:t xml:space="preserve">Control description:</w:t>
      </w:r>
    </w:p>
    <w:p>
      <w:pPr>
        <w:spacing w:after="60" w:before="60"/>
      </w:pPr>
      <w:r>
        <w:rPr>
          <w:rFonts w:ascii="Arial" w:cs="Arial" w:eastAsia="Arial" w:hAnsi="Arial"/>
          <w:sz w:val="20"/>
          <w:szCs w:val="20"/>
        </w:rPr>
        <w:t xml:space="preserve">The AML/ATF Officer screens all new clients against Canadian sanctions (SEMA, Criminal Code, PCMLTFA), OFAC, UN Consolidated List, PEP/HIO databases, and adverse media using the approved screening platform before account opening. Results are documented with platform name, date, and outcome.</w:t>
      </w:r>
    </w:p>
    <w:p>
      <w:r>
        <w:t xml:space="preserve"/>
      </w:r>
    </w:p>
    <w:p>
      <w:pPr>
        <w:spacing w:after="60" w:before="60"/>
      </w:pPr>
      <w:r>
        <w:rPr>
          <w:rFonts w:ascii="Arial" w:cs="Arial" w:eastAsia="Arial" w:hAnsi="Arial"/>
          <w:b/>
          <w:bCs/>
          <w:color w:val="2E7D32"/>
          <w:sz w:val="20"/>
          <w:szCs w:val="20"/>
        </w:rPr>
        <w:t xml:space="preserve">Result: EFFECTIVE – NO EXCEPTIONS  —  0 of 15 samples</w:t>
      </w:r>
    </w:p>
    <w:p>
      <w:r>
        <w:t xml:space="preserve"/>
      </w:r>
    </w:p>
    <w:p>
      <w:pPr>
        <w:spacing w:after="60" w:before="60"/>
      </w:pPr>
      <w:r>
        <w:rPr>
          <w:rFonts w:ascii="Arial" w:cs="Arial" w:eastAsia="Arial" w:hAnsi="Arial"/>
          <w:sz w:val="20"/>
          <w:szCs w:val="20"/>
        </w:rPr>
        <w:t xml:space="preserve">All 15 sampled accounts had a completed AML screening record with platform name, date, list version, and outcome documented. No exceptions identified.</w:t>
      </w:r>
    </w:p>
    <w:p>
      <w:r>
        <w:t xml:space="preserve"/>
      </w:r>
    </w:p>
    <w:p>
      <w:pPr>
        <w:spacing w:after="60" w:before="60"/>
      </w:pPr>
      <w:r>
        <w:rPr>
          <w:rFonts w:ascii="Arial" w:cs="Arial" w:eastAsia="Arial" w:hAnsi="Arial"/>
          <w:b/>
          <w:bCs/>
          <w:sz w:val="20"/>
          <w:szCs w:val="20"/>
        </w:rPr>
        <w:t xml:space="preserve">Observations:</w:t>
      </w:r>
    </w:p>
    <w:p>
      <w:pPr>
        <w:pStyle w:val="ListParagraph"/>
        <w:numPr>
          <w:ilvl w:val="0"/>
          <w:numId w:val="2"/>
        </w:numPr>
        <w:spacing w:after="40" w:before="40"/>
      </w:pPr>
      <w:r>
        <w:rPr>
          <w:rFonts w:ascii="Arial" w:cs="Arial" w:eastAsia="Arial" w:hAnsi="Arial"/>
          <w:sz w:val="20"/>
          <w:szCs w:val="20"/>
        </w:rPr>
        <w:t xml:space="preserve">The approved screening platform was consistently identified in records, but the SOP (section 5.3) does not name the platform — creating a risk that a different or non-approved tool could be used if the platform name is not known to all users.</w:t>
      </w:r>
    </w:p>
    <w:p>
      <w:pPr>
        <w:pStyle w:val="ListParagraph"/>
        <w:numPr>
          <w:ilvl w:val="0"/>
          <w:numId w:val="2"/>
        </w:numPr>
        <w:spacing w:after="40" w:before="40"/>
      </w:pPr>
      <w:r>
        <w:rPr>
          <w:rFonts w:ascii="Arial" w:cs="Arial" w:eastAsia="Arial" w:hAnsi="Arial"/>
          <w:sz w:val="20"/>
          <w:szCs w:val="20"/>
        </w:rPr>
        <w:t xml:space="preserve">SOP section 5.3 does not specify the disposition process for accounts with a positive match under review. In 2 cases reviewed, accounts were placed on a manual hold, but this step was not documented in SOP procedure.</w:t>
      </w:r>
    </w:p>
    <w:p>
      <w:pPr>
        <w:pStyle w:val="ListParagraph"/>
        <w:numPr>
          <w:ilvl w:val="0"/>
          <w:numId w:val="2"/>
        </w:numPr>
        <w:spacing w:after="40" w:before="40"/>
      </w:pPr>
      <w:r>
        <w:rPr>
          <w:rFonts w:ascii="Arial" w:cs="Arial" w:eastAsia="Arial" w:hAnsi="Arial"/>
          <w:sz w:val="20"/>
          <w:szCs w:val="20"/>
        </w:rPr>
        <w:t xml:space="preserve">Annual re-screening of the existing client population (C-12) was out of scope for this test cycle. Recommend including in Q2 2025 testing.</w:t>
      </w:r>
    </w:p>
    <w:p>
      <w:r>
        <w:t xml:space="preserve"/>
      </w:r>
    </w:p>
    <w:p>
      <w:pPr>
        <w:pBdr>
          <w:left w:val="single" w:color="388E3C" w:sz="16" w:space="8"/>
        </w:pBdr>
        <w:shd w:fill="E8F5E9" w:val="clear"/>
        <w:spacing w:after="80" w:before="80"/>
      </w:pPr>
      <w:r>
        <w:rPr>
          <w:rFonts w:ascii="Arial" w:cs="Arial" w:eastAsia="Arial" w:hAnsi="Arial"/>
          <w:color w:val="2E7D32"/>
          <w:sz w:val="19"/>
          <w:szCs w:val="19"/>
        </w:rPr>
        <w:t xml:space="preserve">Severity: N/A  |  Effective – Monitoring Recommendations Only  |  Owner: Compliance – AML/ATF Officer
Regulatory Reference: PCMLTFA s.9.3; FINTRAC GL-01</w:t>
      </w:r>
    </w:p>
    <w:p>
      <w:r>
        <w:t xml:space="preserve"/>
      </w:r>
    </w:p>
    <w:p>
      <w:pPr>
        <w:pStyle w:val="Heading2"/>
        <w:spacing w:after="60" w:before="200"/>
      </w:pPr>
      <w:r>
        <w:rPr>
          <w:rFonts w:ascii="Arial" w:cs="Arial" w:eastAsia="Arial" w:hAnsi="Arial"/>
          <w:b/>
          <w:bCs/>
          <w:color w:val="222222"/>
          <w:sz w:val="22"/>
          <w:szCs w:val="22"/>
        </w:rPr>
        <w:t xml:space="preserve">3.3  C-04  Suitability Assessment – New Account</w:t>
      </w:r>
    </w:p>
    <w:p>
      <w:pPr>
        <w:spacing w:after="60" w:before="60"/>
      </w:pPr>
      <w:r>
        <w:rPr>
          <w:rFonts w:ascii="Arial" w:cs="Arial" w:eastAsia="Arial" w:hAnsi="Arial"/>
          <w:b/>
          <w:bCs/>
          <w:sz w:val="20"/>
          <w:szCs w:val="20"/>
        </w:rPr>
        <w:t xml:space="preserve">Control description:</w:t>
      </w:r>
    </w:p>
    <w:p>
      <w:pPr>
        <w:spacing w:after="60" w:before="60"/>
      </w:pPr>
      <w:r>
        <w:rPr>
          <w:rFonts w:ascii="Arial" w:cs="Arial" w:eastAsia="Arial" w:hAnsi="Arial"/>
          <w:sz w:val="20"/>
          <w:szCs w:val="20"/>
        </w:rPr>
        <w:t xml:space="preserve">The IA/RM completes a documented suitability assessment before making any investment recommendation or accepting account instructions. The assessment confirms strategy alignment with the client's risk tolerance, objectives, time horizon, financial situation, and investment knowledge.</w:t>
      </w:r>
    </w:p>
    <w:p>
      <w:r>
        <w:t xml:space="preserve"/>
      </w:r>
    </w:p>
    <w:p>
      <w:pPr>
        <w:spacing w:after="60" w:before="60"/>
      </w:pPr>
      <w:r>
        <w:rPr>
          <w:rFonts w:ascii="Arial" w:cs="Arial" w:eastAsia="Arial" w:hAnsi="Arial"/>
          <w:b/>
          <w:bCs/>
          <w:color w:val="C00000"/>
          <w:sz w:val="20"/>
          <w:szCs w:val="20"/>
        </w:rPr>
        <w:t xml:space="preserve">Result: EXCEPTIONS IDENTIFIED  —  2 of 15 samples</w:t>
      </w:r>
    </w:p>
    <w:p>
      <w:r>
        <w:t xml:space="preserve"/>
      </w:r>
    </w:p>
    <w:p>
      <w:pPr>
        <w:spacing w:after="60" w:before="60"/>
      </w:pPr>
      <w:r>
        <w:rPr>
          <w:rFonts w:ascii="Arial" w:cs="Arial" w:eastAsia="Arial" w:hAnsi="Arial"/>
          <w:b/>
          <w:bCs/>
          <w:sz w:val="20"/>
          <w:szCs w:val="20"/>
        </w:rPr>
        <w:t xml:space="preserve">Exceptions:</w:t>
      </w:r>
    </w:p>
    <w:p>
      <w:pPr>
        <w:pStyle w:val="ListParagraph"/>
        <w:numPr>
          <w:ilvl w:val="0"/>
          <w:numId w:val="2"/>
        </w:numPr>
        <w:spacing w:after="40" w:before="40"/>
      </w:pPr>
      <w:r>
        <w:rPr>
          <w:rFonts w:ascii="Arial" w:cs="Arial" w:eastAsia="Arial" w:hAnsi="Arial"/>
          <w:sz w:val="20"/>
          <w:szCs w:val="20"/>
        </w:rPr>
        <w:t xml:space="preserve">2 of 15 accounts: No suitability assessment documentation found in the client file. The NAAF was complete, but no separate suitability assessment record existed. In both cases, trading had commenced on the account.</w:t>
      </w:r>
    </w:p>
    <w:p>
      <w:pPr>
        <w:pStyle w:val="ListParagraph"/>
        <w:numPr>
          <w:ilvl w:val="0"/>
          <w:numId w:val="2"/>
        </w:numPr>
        <w:spacing w:after="40" w:before="40"/>
      </w:pPr>
      <w:r>
        <w:rPr>
          <w:rFonts w:ascii="Arial" w:cs="Arial" w:eastAsia="Arial" w:hAnsi="Arial"/>
          <w:sz w:val="20"/>
          <w:szCs w:val="20"/>
        </w:rPr>
        <w:t xml:space="preserve">In 1 of the 2 exceptions, the IA/RM indicated (upon inquiry) that the suitability assessment was discussed verbally with the client but not documented. Verbal assessments are not compliant with NI 31-103 s.13.3 documentation requirements.</w:t>
      </w:r>
    </w:p>
    <w:p>
      <w:r>
        <w:t xml:space="preserve"/>
      </w:r>
    </w:p>
    <w:p>
      <w:pPr>
        <w:spacing w:after="60" w:before="60"/>
      </w:pPr>
      <w:r>
        <w:rPr>
          <w:rFonts w:ascii="Arial" w:cs="Arial" w:eastAsia="Arial" w:hAnsi="Arial"/>
          <w:b/>
          <w:bCs/>
          <w:sz w:val="20"/>
          <w:szCs w:val="20"/>
        </w:rPr>
        <w:t xml:space="preserve">Findings and observations:</w:t>
      </w:r>
    </w:p>
    <w:p>
      <w:pPr>
        <w:spacing w:after="60" w:before="60"/>
      </w:pPr>
      <w:r>
        <w:rPr>
          <w:rFonts w:ascii="Arial" w:cs="Arial" w:eastAsia="Arial" w:hAnsi="Arial"/>
          <w:sz w:val="20"/>
          <w:szCs w:val="20"/>
        </w:rPr>
        <w:t xml:space="preserve">The suitability assessment is not consistently documented at account opening. The current SOP (section 5.4) does not reference CIRO Rule 3200 or NI 31-103, which are the specific regulatory requirements mandating the assessment and its documentation. Without these references, IA/RMs may not understand the regulatory basis or the documentation requirement. Trading on accounts without a documented suitability assessment constitutes a NI 31-103 violation.</w:t>
      </w:r>
    </w:p>
    <w:p>
      <w:r>
        <w:t xml:space="preserve"/>
      </w:r>
    </w:p>
    <w:p>
      <w:pPr>
        <w:spacing w:after="60" w:before="60"/>
      </w:pPr>
      <w:r>
        <w:rPr>
          <w:rFonts w:ascii="Arial" w:cs="Arial" w:eastAsia="Arial" w:hAnsi="Arial"/>
          <w:b/>
          <w:bCs/>
          <w:sz w:val="20"/>
          <w:szCs w:val="20"/>
        </w:rPr>
        <w:t xml:space="preserve">Recommendation:</w:t>
      </w:r>
    </w:p>
    <w:p>
      <w:pPr>
        <w:spacing w:after="60" w:before="60"/>
      </w:pPr>
      <w:r>
        <w:rPr>
          <w:rFonts w:ascii="Arial" w:cs="Arial" w:eastAsia="Arial" w:hAnsi="Arial"/>
          <w:sz w:val="20"/>
          <w:szCs w:val="20"/>
        </w:rPr>
        <w:t xml:space="preserve">Update SOP section 5.4 to explicitly reference CIRO Rule 3200 and NI 31-103 s.13.3–13.4 as the regulatory basis for suitability assessment. Add a requirement that a documented suitability assessment must be on file before any trading commences. Consider a system gate that blocks account activation until a suitability assessment is uploaded.</w:t>
      </w:r>
    </w:p>
    <w:p>
      <w:r>
        <w:t xml:space="preserve"/>
      </w:r>
    </w:p>
    <w:p>
      <w:pPr>
        <w:pBdr>
          <w:left w:val="single" w:color="C00000" w:sz="16" w:space="8"/>
        </w:pBdr>
        <w:shd w:fill="FFE8E8" w:val="clear"/>
        <w:spacing w:after="80" w:before="80"/>
      </w:pPr>
      <w:r>
        <w:rPr>
          <w:rFonts w:ascii="Arial" w:cs="Arial" w:eastAsia="Arial" w:hAnsi="Arial"/>
          <w:color w:val="900000"/>
          <w:sz w:val="19"/>
          <w:szCs w:val="19"/>
        </w:rPr>
        <w:t xml:space="preserve">Severity: High  |  Open / Immediate Remediation Required  |  Owner: IA/RM + Compliance – Suitability Review
Regulatory Reference: CIRO Rule 3200; NI 31-103 s.13.3–13.4</w:t>
      </w:r>
    </w:p>
    <w:p>
      <w:r>
        <w:t xml:space="preserve"/>
      </w:r>
    </w:p>
    <w:p>
      <w:pPr>
        <w:pStyle w:val="Heading2"/>
        <w:spacing w:after="60" w:before="200"/>
      </w:pPr>
      <w:r>
        <w:rPr>
          <w:rFonts w:ascii="Arial" w:cs="Arial" w:eastAsia="Arial" w:hAnsi="Arial"/>
          <w:b/>
          <w:bCs/>
          <w:color w:val="222222"/>
          <w:sz w:val="22"/>
          <w:szCs w:val="22"/>
        </w:rPr>
        <w:t xml:space="preserve">3.4  C-07  Exception Approval and Logging</w:t>
      </w:r>
    </w:p>
    <w:p>
      <w:pPr>
        <w:spacing w:after="60" w:before="60"/>
      </w:pPr>
      <w:r>
        <w:rPr>
          <w:rFonts w:ascii="Arial" w:cs="Arial" w:eastAsia="Arial" w:hAnsi="Arial"/>
          <w:b/>
          <w:bCs/>
          <w:sz w:val="20"/>
          <w:szCs w:val="20"/>
        </w:rPr>
        <w:t xml:space="preserve">Control description:</w:t>
      </w:r>
    </w:p>
    <w:p>
      <w:pPr>
        <w:spacing w:after="60" w:before="60"/>
      </w:pPr>
      <w:r>
        <w:rPr>
          <w:rFonts w:ascii="Arial" w:cs="Arial" w:eastAsia="Arial" w:hAnsi="Arial"/>
          <w:sz w:val="20"/>
          <w:szCs w:val="20"/>
        </w:rPr>
        <w:t xml:space="preserve">Exceptions to standard onboarding requirements are submitted to Compliance for review and approval. All exceptions are recorded in the Compliance Exception Log and reviewed at the quarterly Compliance Management Committee.</w:t>
      </w:r>
    </w:p>
    <w:p>
      <w:r>
        <w:t xml:space="preserve"/>
      </w:r>
    </w:p>
    <w:p>
      <w:pPr>
        <w:spacing w:after="60" w:before="60"/>
      </w:pPr>
      <w:r>
        <w:rPr>
          <w:rFonts w:ascii="Arial" w:cs="Arial" w:eastAsia="Arial" w:hAnsi="Arial"/>
          <w:i/>
          <w:iCs/>
          <w:sz w:val="20"/>
          <w:szCs w:val="20"/>
        </w:rPr>
        <w:t xml:space="preserve">Population: 6 exceptions recorded in the Compliance Exception Log during Q1 2025 — full population tested (100% census).</w:t>
      </w:r>
    </w:p>
    <w:p>
      <w:r>
        <w:t xml:space="preserve"/>
      </w:r>
    </w:p>
    <w:p>
      <w:pPr>
        <w:spacing w:after="60" w:before="60"/>
      </w:pPr>
      <w:r>
        <w:rPr>
          <w:rFonts w:ascii="Arial" w:cs="Arial" w:eastAsia="Arial" w:hAnsi="Arial"/>
          <w:b/>
          <w:bCs/>
          <w:color w:val="C00000"/>
          <w:sz w:val="20"/>
          <w:szCs w:val="20"/>
        </w:rPr>
        <w:t xml:space="preserve">Result: EXCEPTIONS IDENTIFIED  —  2 of 6 records  +  1 EDD gap</w:t>
      </w:r>
    </w:p>
    <w:p>
      <w:r>
        <w:t xml:space="preserve"/>
      </w:r>
    </w:p>
    <w:p>
      <w:pPr>
        <w:spacing w:after="60" w:before="60"/>
      </w:pPr>
      <w:r>
        <w:rPr>
          <w:rFonts w:ascii="Arial" w:cs="Arial" w:eastAsia="Arial" w:hAnsi="Arial"/>
          <w:b/>
          <w:bCs/>
          <w:sz w:val="20"/>
          <w:szCs w:val="20"/>
        </w:rPr>
        <w:t xml:space="preserve">Exceptions:</w:t>
      </w:r>
    </w:p>
    <w:p>
      <w:pPr>
        <w:pStyle w:val="ListParagraph"/>
        <w:numPr>
          <w:ilvl w:val="0"/>
          <w:numId w:val="2"/>
        </w:numPr>
        <w:spacing w:after="40" w:before="40"/>
      </w:pPr>
      <w:r>
        <w:rPr>
          <w:rFonts w:ascii="Arial" w:cs="Arial" w:eastAsia="Arial" w:hAnsi="Arial"/>
          <w:sz w:val="20"/>
          <w:szCs w:val="20"/>
        </w:rPr>
        <w:t xml:space="preserve">2 of 6 exception records: Exception logged in the system but written Compliance approval was absent. In 1 case, a verbal approval was referenced in notes; in the other, no approval reference was present.</w:t>
      </w:r>
    </w:p>
    <w:p>
      <w:pPr>
        <w:pStyle w:val="ListParagraph"/>
        <w:numPr>
          <w:ilvl w:val="0"/>
          <w:numId w:val="2"/>
        </w:numPr>
        <w:spacing w:after="40" w:before="40"/>
      </w:pPr>
      <w:r>
        <w:rPr>
          <w:rFonts w:ascii="Arial" w:cs="Arial" w:eastAsia="Arial" w:hAnsi="Arial"/>
          <w:sz w:val="20"/>
          <w:szCs w:val="20"/>
        </w:rPr>
        <w:t xml:space="preserve">1 of 6 exceptions (EDD gap): The exception related to a high-risk client where AML Officer review was required. The exception was approved by a Suitability Compliance officer rather than the AML/ATF Officer. The SOP does not differentiate between Compliance – Suitability and Compliance – AML/ATF for exception approval, creating an approval authority ambiguity.</w:t>
      </w:r>
    </w:p>
    <w:p>
      <w:pPr>
        <w:pStyle w:val="ListParagraph"/>
        <w:numPr>
          <w:ilvl w:val="0"/>
          <w:numId w:val="2"/>
        </w:numPr>
        <w:spacing w:after="40" w:before="40"/>
      </w:pPr>
      <w:r>
        <w:rPr>
          <w:rFonts w:ascii="Arial" w:cs="Arial" w:eastAsia="Arial" w:hAnsi="Arial"/>
          <w:sz w:val="20"/>
          <w:szCs w:val="20"/>
        </w:rPr>
        <w:t xml:space="preserve">0 of 6 exceptions had a documented quarterly Compliance Management Committee review item tracing back to the specific exception. Committee minutes were not cross-referenced to exception log entries.</w:t>
      </w:r>
    </w:p>
    <w:p>
      <w:r>
        <w:t xml:space="preserve"/>
      </w:r>
    </w:p>
    <w:p>
      <w:pPr>
        <w:spacing w:after="60" w:before="60"/>
      </w:pPr>
      <w:r>
        <w:rPr>
          <w:rFonts w:ascii="Arial" w:cs="Arial" w:eastAsia="Arial" w:hAnsi="Arial"/>
          <w:b/>
          <w:bCs/>
          <w:sz w:val="20"/>
          <w:szCs w:val="20"/>
        </w:rPr>
        <w:t xml:space="preserve">Findings and observations:</w:t>
      </w:r>
    </w:p>
    <w:p>
      <w:pPr>
        <w:spacing w:after="60" w:before="60"/>
      </w:pPr>
      <w:r>
        <w:rPr>
          <w:rFonts w:ascii="Arial" w:cs="Arial" w:eastAsia="Arial" w:hAnsi="Arial"/>
          <w:sz w:val="20"/>
          <w:szCs w:val="20"/>
        </w:rPr>
        <w:t xml:space="preserve">The exception approval process lacks specificity in the current SOP. Section 8 does not differentiate between who reviews non-regulatory exceptions versus regulatory exceptions, nor does it name the specific Compliance role (AML/ATF Officer vs. Suitability Compliance) responsible for different exception types. The quarterly Committee review is described in the SOP but the linkage between exception log entries and Committee minutes is not enforced.</w:t>
      </w:r>
    </w:p>
    <w:p>
      <w:r>
        <w:t xml:space="preserve"/>
      </w:r>
    </w:p>
    <w:p>
      <w:pPr>
        <w:spacing w:after="60" w:before="60"/>
      </w:pPr>
      <w:r>
        <w:rPr>
          <w:rFonts w:ascii="Arial" w:cs="Arial" w:eastAsia="Arial" w:hAnsi="Arial"/>
          <w:b/>
          <w:bCs/>
          <w:sz w:val="20"/>
          <w:szCs w:val="20"/>
        </w:rPr>
        <w:t xml:space="preserve">Recommendation:</w:t>
      </w:r>
    </w:p>
    <w:p>
      <w:pPr>
        <w:spacing w:after="60" w:before="60"/>
      </w:pPr>
      <w:r>
        <w:rPr>
          <w:rFonts w:ascii="Arial" w:cs="Arial" w:eastAsia="Arial" w:hAnsi="Arial"/>
          <w:sz w:val="20"/>
          <w:szCs w:val="20"/>
        </w:rPr>
        <w:t xml:space="preserve">Update SOP section 8 to: (a) specify Compliance – AML/ATF Officer as the approver for exceptions involving PCMLTFA, FINTRAC, or AML/ATF requirements; (b) specify Compliance – Suitability Review as the approver for suitability-related exceptions; (c) require written approval in the Compliance Exception Log for all exceptions; (d) require exception log entries to be cross-referenced in quarterly Committee minutes.</w:t>
      </w:r>
    </w:p>
    <w:p>
      <w:r>
        <w:t xml:space="preserve"/>
      </w:r>
    </w:p>
    <w:p>
      <w:pPr>
        <w:pBdr>
          <w:left w:val="single" w:color="C00000" w:sz="16" w:space="8"/>
        </w:pBdr>
        <w:shd w:fill="FFE8E8" w:val="clear"/>
        <w:spacing w:after="80" w:before="80"/>
      </w:pPr>
      <w:r>
        <w:rPr>
          <w:rFonts w:ascii="Arial" w:cs="Arial" w:eastAsia="Arial" w:hAnsi="Arial"/>
          <w:color w:val="900000"/>
          <w:sz w:val="19"/>
          <w:szCs w:val="19"/>
        </w:rPr>
        <w:t xml:space="preserve">Severity: High  |  Open / Immediate Remediation Required  |  Owner: Compliance – AML/ATF Officer + Suitability Review
Regulatory Reference: PCMLTFA; CIRO Rule 3400; POL-WM-COMPL-002</w:t>
      </w:r>
    </w:p>
    <w:p>
      <w:r>
        <w:t xml:space="preserve"/>
      </w:r>
    </w:p>
    <w:p>
      <w:pPr>
        <w:pStyle w:val="Heading2"/>
        <w:spacing w:after="60" w:before="200"/>
      </w:pPr>
      <w:r>
        <w:rPr>
          <w:rFonts w:ascii="Arial" w:cs="Arial" w:eastAsia="Arial" w:hAnsi="Arial"/>
          <w:b/>
          <w:bCs/>
          <w:color w:val="222222"/>
          <w:sz w:val="22"/>
          <w:szCs w:val="22"/>
        </w:rPr>
        <w:t xml:space="preserve">3.5  C-09  Periodic KYC Refresh</w:t>
      </w:r>
    </w:p>
    <w:p>
      <w:pPr>
        <w:spacing w:after="60" w:before="60"/>
      </w:pPr>
      <w:r>
        <w:rPr>
          <w:rFonts w:ascii="Arial" w:cs="Arial" w:eastAsia="Arial" w:hAnsi="Arial"/>
          <w:b/>
          <w:bCs/>
          <w:sz w:val="20"/>
          <w:szCs w:val="20"/>
        </w:rPr>
        <w:t xml:space="preserve">Control description:</w:t>
      </w:r>
    </w:p>
    <w:p>
      <w:pPr>
        <w:spacing w:after="60" w:before="60"/>
      </w:pPr>
      <w:r>
        <w:rPr>
          <w:rFonts w:ascii="Arial" w:cs="Arial" w:eastAsia="Arial" w:hAnsi="Arial"/>
          <w:sz w:val="20"/>
          <w:szCs w:val="20"/>
        </w:rPr>
        <w:t xml:space="preserve">KYC information is reviewed and updated on a risk-rated frequency: Low – every 3 years; Medium – annually; High – semi-annually. Refresh is also triggered by material change in client circumstances.</w:t>
      </w:r>
    </w:p>
    <w:p>
      <w:r>
        <w:t xml:space="preserve"/>
      </w:r>
    </w:p>
    <w:p>
      <w:pPr>
        <w:spacing w:after="60" w:before="60"/>
      </w:pPr>
      <w:r>
        <w:rPr>
          <w:rFonts w:ascii="Arial" w:cs="Arial" w:eastAsia="Arial" w:hAnsi="Arial"/>
          <w:i/>
          <w:iCs/>
          <w:sz w:val="20"/>
          <w:szCs w:val="20"/>
        </w:rPr>
        <w:t xml:space="preserve">Population: 342 active client accounts with a KYC refresh due date in Q1 2025. Risk-stratified sample of 20 accounts (8 High, 8 Medium, 4 Low).</w:t>
      </w:r>
    </w:p>
    <w:p>
      <w:r>
        <w:t xml:space="preserve"/>
      </w:r>
    </w:p>
    <w:p>
      <w:pPr>
        <w:spacing w:after="60" w:before="60"/>
      </w:pPr>
      <w:r>
        <w:rPr>
          <w:rFonts w:ascii="Arial" w:cs="Arial" w:eastAsia="Arial" w:hAnsi="Arial"/>
          <w:b/>
          <w:bCs/>
          <w:color w:val="C00000"/>
          <w:sz w:val="20"/>
          <w:szCs w:val="20"/>
        </w:rPr>
        <w:t xml:space="preserve">Result: EXCEPTIONS IDENTIFIED  —  4 of 20 samples</w:t>
      </w:r>
    </w:p>
    <w:p>
      <w:r>
        <w:t xml:space="preserve"/>
      </w:r>
    </w:p>
    <w:p>
      <w:pPr>
        <w:spacing w:after="60" w:before="60"/>
      </w:pPr>
      <w:r>
        <w:rPr>
          <w:rFonts w:ascii="Arial" w:cs="Arial" w:eastAsia="Arial" w:hAnsi="Arial"/>
          <w:b/>
          <w:bCs/>
          <w:sz w:val="20"/>
          <w:szCs w:val="20"/>
        </w:rPr>
        <w:t xml:space="preserve">Exceptions:</w:t>
      </w:r>
    </w:p>
    <w:p>
      <w:pPr>
        <w:pStyle w:val="ListParagraph"/>
        <w:numPr>
          <w:ilvl w:val="0"/>
          <w:numId w:val="2"/>
        </w:numPr>
        <w:spacing w:after="40" w:before="40"/>
      </w:pPr>
      <w:r>
        <w:rPr>
          <w:rFonts w:ascii="Arial" w:cs="Arial" w:eastAsia="Arial" w:hAnsi="Arial"/>
          <w:sz w:val="20"/>
          <w:szCs w:val="20"/>
        </w:rPr>
        <w:t xml:space="preserve">4 of 20 accounts: KYC refresh past due at the time of testing. In 3 cases, High-risk client accounts were overdue by more than 90 days beyond the semi-annual requirement. In 1 case, a Medium-risk account was overdue by more than 6 months beyond the annual requirement.</w:t>
      </w:r>
    </w:p>
    <w:p>
      <w:pPr>
        <w:pStyle w:val="ListParagraph"/>
        <w:numPr>
          <w:ilvl w:val="0"/>
          <w:numId w:val="2"/>
        </w:numPr>
        <w:spacing w:after="40" w:before="40"/>
      </w:pPr>
      <w:r>
        <w:rPr>
          <w:rFonts w:ascii="Arial" w:cs="Arial" w:eastAsia="Arial" w:hAnsi="Arial"/>
          <w:sz w:val="20"/>
          <w:szCs w:val="20"/>
        </w:rPr>
        <w:t xml:space="preserve">In 2 of the 4 exceptions, there was no record of any communication or outreach to the client to initiate the KYC refresh.</w:t>
      </w:r>
    </w:p>
    <w:p>
      <w:pPr>
        <w:pStyle w:val="ListParagraph"/>
        <w:numPr>
          <w:ilvl w:val="0"/>
          <w:numId w:val="2"/>
        </w:numPr>
        <w:spacing w:after="40" w:before="40"/>
      </w:pPr>
      <w:r>
        <w:rPr>
          <w:rFonts w:ascii="Arial" w:cs="Arial" w:eastAsia="Arial" w:hAnsi="Arial"/>
          <w:sz w:val="20"/>
          <w:szCs w:val="20"/>
        </w:rPr>
        <w:t xml:space="preserve">In all 4 exceptions, the IA/RM was responsible for initiating the KYC refresh. There is no system-generated reminder or automated alert in the account management platform for approaching refresh dates.</w:t>
      </w:r>
    </w:p>
    <w:p>
      <w:r>
        <w:t xml:space="preserve"/>
      </w:r>
    </w:p>
    <w:p>
      <w:pPr>
        <w:spacing w:after="60" w:before="60"/>
      </w:pPr>
      <w:r>
        <w:rPr>
          <w:rFonts w:ascii="Arial" w:cs="Arial" w:eastAsia="Arial" w:hAnsi="Arial"/>
          <w:b/>
          <w:bCs/>
          <w:sz w:val="20"/>
          <w:szCs w:val="20"/>
        </w:rPr>
        <w:t xml:space="preserve">Findings and observations:</w:t>
      </w:r>
    </w:p>
    <w:p>
      <w:pPr>
        <w:spacing w:after="60" w:before="60"/>
      </w:pPr>
      <w:r>
        <w:rPr>
          <w:rFonts w:ascii="Arial" w:cs="Arial" w:eastAsia="Arial" w:hAnsi="Arial"/>
          <w:sz w:val="20"/>
          <w:szCs w:val="20"/>
        </w:rPr>
        <w:t xml:space="preserve">The KYC refresh control is operating with exceptions, particularly for High-risk accounts where regulatory expectations are highest. The current SOP (section 5.7) states that KYC is refreshed 'at least annually or as per the risk rating' without specifying the frequency by risk rating level. This means IA/RMs cannot determine the correct refresh cycle from the SOP alone. There is no system-generated alert or workflow trigger to support the refresh requirement, placing the entire burden on the IA/RM to self-manage compliance.</w:t>
      </w:r>
    </w:p>
    <w:p>
      <w:r>
        <w:t xml:space="preserve"/>
      </w:r>
    </w:p>
    <w:p>
      <w:pPr>
        <w:spacing w:after="60" w:before="60"/>
      </w:pPr>
      <w:r>
        <w:rPr>
          <w:rFonts w:ascii="Arial" w:cs="Arial" w:eastAsia="Arial" w:hAnsi="Arial"/>
          <w:b/>
          <w:bCs/>
          <w:sz w:val="20"/>
          <w:szCs w:val="20"/>
        </w:rPr>
        <w:t xml:space="preserve">Recommendation:</w:t>
      </w:r>
    </w:p>
    <w:p>
      <w:pPr>
        <w:spacing w:after="60" w:before="60"/>
      </w:pPr>
      <w:r>
        <w:rPr>
          <w:rFonts w:ascii="Arial" w:cs="Arial" w:eastAsia="Arial" w:hAnsi="Arial"/>
          <w:sz w:val="20"/>
          <w:szCs w:val="20"/>
        </w:rPr>
        <w:t xml:space="preserve">Update SOP section 5.7 to specify KYC refresh frequency by risk rating: Low – every 3 years; Medium – annually; High – semi-annually. Request Technology to implement automated refresh due-date alerts in the account management system. For High-risk accounts, consider requiring Compliance sign-off on overdue KYC refresh remediation.</w:t>
      </w:r>
    </w:p>
    <w:p>
      <w:r>
        <w:t xml:space="preserve"/>
      </w:r>
    </w:p>
    <w:p>
      <w:pPr>
        <w:pBdr>
          <w:left w:val="single" w:color="C00000" w:sz="16" w:space="8"/>
        </w:pBdr>
        <w:shd w:fill="FFE8E8" w:val="clear"/>
        <w:spacing w:after="80" w:before="80"/>
      </w:pPr>
      <w:r>
        <w:rPr>
          <w:rFonts w:ascii="Arial" w:cs="Arial" w:eastAsia="Arial" w:hAnsi="Arial"/>
          <w:color w:val="900000"/>
          <w:sz w:val="19"/>
          <w:szCs w:val="19"/>
        </w:rPr>
        <w:t xml:space="preserve">Severity: High  |  Open / Immediate Remediation Required  |  Owner: Investment Advisors / RM + Compliance – Suitability
Regulatory Reference: CIRO Rule 3200; NI 31-103; POL-WM-COMPL-002</w:t>
      </w:r>
    </w:p>
    <w:p>
      <w:r>
        <w:t xml:space="preserve"/>
      </w:r>
    </w:p>
    <w:p>
      <w:pPr>
        <w:pStyle w:val="Heading1"/>
        <w:pBdr>
          <w:bottom w:val="single" w:color="003366" w:sz="6" w:space="4"/>
        </w:pBdr>
        <w:spacing w:after="100" w:before="320"/>
      </w:pPr>
      <w:r>
        <w:rPr>
          <w:rFonts w:ascii="Arial" w:cs="Arial" w:eastAsia="Arial" w:hAnsi="Arial"/>
          <w:b/>
          <w:bCs/>
          <w:color w:val="003366"/>
          <w:sz w:val="26"/>
          <w:szCs w:val="26"/>
        </w:rPr>
        <w:t xml:space="preserve">4.  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7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1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Exceptions</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Sample</w:t>
            </w:r>
          </w:p>
        </w:tc>
        <w:tc>
          <w:tcPr>
            <w:tcW w:type="dxa" w:w="17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2400"/>
            <w:tcBorders>
              <w:top w:val="single" w:color="C8C8C8" w:sz="4"/>
              <w:left w:val="single" w:color="C8C8C8" w:sz="4"/>
              <w:bottom w:val="single" w:color="C8C8C8" w:sz="4"/>
              <w:right w:val="single" w:color="C8C8C8" w:sz="4"/>
            </w:tcBorders>
            <w:shd w:fill="FFF4CC" w:val="clear"/>
            <w:tcMar>
              <w:top w:type="dxa" w:w="80"/>
              <w:left w:type="dxa" w:w="120"/>
              <w:bottom w:type="dxa" w:w="80"/>
              <w:right w:type="dxa" w:w="120"/>
            </w:tcMar>
          </w:tcPr>
          <w:p>
            <w:r>
              <w:rPr>
                <w:rFonts w:ascii="Arial" w:cs="Arial" w:eastAsia="Arial" w:hAnsi="Arial"/>
                <w:b w:val="false"/>
                <w:bCs w:val="false"/>
                <w:color w:val="1A1A2E"/>
                <w:sz w:val="18"/>
                <w:szCs w:val="18"/>
              </w:rPr>
              <w:t xml:space="preserve">C-01  NAAF Completeness Review</w:t>
            </w:r>
          </w:p>
        </w:tc>
        <w:tc>
          <w:tcPr>
            <w:tcW w:type="dxa" w:w="1600"/>
            <w:tcBorders>
              <w:top w:val="single" w:color="C8C8C8" w:sz="4"/>
              <w:left w:val="single" w:color="C8C8C8" w:sz="4"/>
              <w:bottom w:val="single" w:color="C8C8C8" w:sz="4"/>
              <w:right w:val="single" w:color="C8C8C8" w:sz="4"/>
            </w:tcBorders>
            <w:shd w:fill="FFF4CC" w:val="clear"/>
            <w:tcMar>
              <w:top w:type="dxa" w:w="80"/>
              <w:left w:type="dxa" w:w="120"/>
              <w:bottom w:type="dxa" w:w="80"/>
              <w:right w:type="dxa" w:w="120"/>
            </w:tcMar>
          </w:tcPr>
          <w:p>
            <w:r>
              <w:rPr>
                <w:rFonts w:ascii="Arial" w:cs="Arial" w:eastAsia="Arial" w:hAnsi="Arial"/>
                <w:b w:val="false"/>
                <w:bCs w:val="false"/>
                <w:color w:val="1A1A2E"/>
                <w:sz w:val="18"/>
                <w:szCs w:val="18"/>
              </w:rPr>
              <w:t xml:space="preserve">Exceptions Identified</w:t>
            </w:r>
          </w:p>
        </w:tc>
        <w:tc>
          <w:tcPr>
            <w:tcW w:type="dxa" w:w="1800"/>
            <w:tcBorders>
              <w:top w:val="single" w:color="C8C8C8" w:sz="4"/>
              <w:left w:val="single" w:color="C8C8C8" w:sz="4"/>
              <w:bottom w:val="single" w:color="C8C8C8" w:sz="4"/>
              <w:right w:val="single" w:color="C8C8C8" w:sz="4"/>
            </w:tcBorders>
            <w:shd w:fill="FFF4CC" w:val="clear"/>
            <w:tcMar>
              <w:top w:type="dxa" w:w="80"/>
              <w:left w:type="dxa" w:w="120"/>
              <w:bottom w:type="dxa" w:w="80"/>
              <w:right w:type="dxa" w:w="120"/>
            </w:tcMar>
          </w:tcPr>
          <w:p>
            <w:r>
              <w:rPr>
                <w:rFonts w:ascii="Arial" w:cs="Arial" w:eastAsia="Arial" w:hAnsi="Arial"/>
                <w:b w:val="false"/>
                <w:bCs w:val="false"/>
                <w:color w:val="1A1A2E"/>
                <w:sz w:val="18"/>
                <w:szCs w:val="18"/>
              </w:rPr>
              <w:t xml:space="preserve">3 of 15</w:t>
            </w:r>
          </w:p>
        </w:tc>
        <w:tc>
          <w:tcPr>
            <w:tcW w:type="dxa" w:w="1800"/>
            <w:tcBorders>
              <w:top w:val="single" w:color="C8C8C8" w:sz="4"/>
              <w:left w:val="single" w:color="C8C8C8" w:sz="4"/>
              <w:bottom w:val="single" w:color="C8C8C8" w:sz="4"/>
              <w:right w:val="single" w:color="C8C8C8" w:sz="4"/>
            </w:tcBorders>
            <w:shd w:fill="FFF4CC" w:val="clear"/>
            <w:tcMar>
              <w:top w:type="dxa" w:w="80"/>
              <w:left w:type="dxa" w:w="120"/>
              <w:bottom w:type="dxa" w:w="80"/>
              <w:right w:type="dxa" w:w="120"/>
            </w:tcMar>
          </w:tcPr>
          <w:p>
            <w:r>
              <w:rPr>
                <w:rFonts w:ascii="Arial" w:cs="Arial" w:eastAsia="Arial" w:hAnsi="Arial"/>
                <w:b w:val="false"/>
                <w:bCs w:val="false"/>
                <w:color w:val="1A1A2E"/>
                <w:sz w:val="18"/>
                <w:szCs w:val="18"/>
              </w:rPr>
              <w:t xml:space="preserve">15</w:t>
            </w:r>
          </w:p>
        </w:tc>
        <w:tc>
          <w:tcPr>
            <w:tcW w:type="dxa" w:w="1760"/>
            <w:tcBorders>
              <w:top w:val="single" w:color="C8C8C8" w:sz="4"/>
              <w:left w:val="single" w:color="C8C8C8" w:sz="4"/>
              <w:bottom w:val="single" w:color="C8C8C8" w:sz="4"/>
              <w:right w:val="single" w:color="C8C8C8" w:sz="4"/>
            </w:tcBorders>
            <w:shd w:fill="FFF4CC"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r>
      <w:tr>
        <w:tc>
          <w:tcPr>
            <w:tcW w:type="dxa" w:w="2400"/>
            <w:tcBorders>
              <w:top w:val="single" w:color="C8C8C8" w:sz="4"/>
              <w:left w:val="single" w:color="C8C8C8" w:sz="4"/>
              <w:bottom w:val="single" w:color="C8C8C8" w:sz="4"/>
              <w:right w:val="single" w:color="C8C8C8"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C-03  AML &amp; Sanctions Screening</w:t>
            </w:r>
          </w:p>
        </w:tc>
        <w:tc>
          <w:tcPr>
            <w:tcW w:type="dxa" w:w="1600"/>
            <w:tcBorders>
              <w:top w:val="single" w:color="C8C8C8" w:sz="4"/>
              <w:left w:val="single" w:color="C8C8C8" w:sz="4"/>
              <w:bottom w:val="single" w:color="C8C8C8" w:sz="4"/>
              <w:right w:val="single" w:color="C8C8C8"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Effective – No Exceptions</w:t>
            </w:r>
          </w:p>
        </w:tc>
        <w:tc>
          <w:tcPr>
            <w:tcW w:type="dxa" w:w="1800"/>
            <w:tcBorders>
              <w:top w:val="single" w:color="C8C8C8" w:sz="4"/>
              <w:left w:val="single" w:color="C8C8C8" w:sz="4"/>
              <w:bottom w:val="single" w:color="C8C8C8" w:sz="4"/>
              <w:right w:val="single" w:color="C8C8C8"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0 of 15</w:t>
            </w:r>
          </w:p>
        </w:tc>
        <w:tc>
          <w:tcPr>
            <w:tcW w:type="dxa" w:w="1800"/>
            <w:tcBorders>
              <w:top w:val="single" w:color="C8C8C8" w:sz="4"/>
              <w:left w:val="single" w:color="C8C8C8" w:sz="4"/>
              <w:bottom w:val="single" w:color="C8C8C8" w:sz="4"/>
              <w:right w:val="single" w:color="C8C8C8"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15</w:t>
            </w:r>
          </w:p>
        </w:tc>
        <w:tc>
          <w:tcPr>
            <w:tcW w:type="dxa" w:w="1760"/>
            <w:tcBorders>
              <w:top w:val="single" w:color="C8C8C8" w:sz="4"/>
              <w:left w:val="single" w:color="C8C8C8" w:sz="4"/>
              <w:bottom w:val="single" w:color="C8C8C8" w:sz="4"/>
              <w:right w:val="single" w:color="C8C8C8"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w:t>
            </w:r>
          </w:p>
        </w:tc>
      </w:tr>
      <w:tr>
        <w:tc>
          <w:tcPr>
            <w:tcW w:type="dxa" w:w="24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C-04  Suitability Assessment</w:t>
            </w:r>
          </w:p>
        </w:tc>
        <w:tc>
          <w:tcPr>
            <w:tcW w:type="dxa" w:w="16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Exceptions Identified</w:t>
            </w:r>
          </w:p>
        </w:tc>
        <w:tc>
          <w:tcPr>
            <w:tcW w:type="dxa" w:w="18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2 of 15</w:t>
            </w:r>
          </w:p>
        </w:tc>
        <w:tc>
          <w:tcPr>
            <w:tcW w:type="dxa" w:w="18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15</w:t>
            </w:r>
          </w:p>
        </w:tc>
        <w:tc>
          <w:tcPr>
            <w:tcW w:type="dxa" w:w="176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High</w:t>
            </w:r>
          </w:p>
        </w:tc>
      </w:tr>
      <w:tr>
        <w:tc>
          <w:tcPr>
            <w:tcW w:type="dxa" w:w="24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C-07  Exception Approval &amp; Log</w:t>
            </w:r>
          </w:p>
        </w:tc>
        <w:tc>
          <w:tcPr>
            <w:tcW w:type="dxa" w:w="16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Exceptions Identified</w:t>
            </w:r>
          </w:p>
        </w:tc>
        <w:tc>
          <w:tcPr>
            <w:tcW w:type="dxa" w:w="18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2 of 6 (+ 1 EDD gap)</w:t>
            </w:r>
          </w:p>
        </w:tc>
        <w:tc>
          <w:tcPr>
            <w:tcW w:type="dxa" w:w="18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6 (census)</w:t>
            </w:r>
          </w:p>
        </w:tc>
        <w:tc>
          <w:tcPr>
            <w:tcW w:type="dxa" w:w="176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High</w:t>
            </w:r>
          </w:p>
        </w:tc>
      </w:tr>
      <w:tr>
        <w:tc>
          <w:tcPr>
            <w:tcW w:type="dxa" w:w="24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C-09  Periodic KYC Refresh</w:t>
            </w:r>
          </w:p>
        </w:tc>
        <w:tc>
          <w:tcPr>
            <w:tcW w:type="dxa" w:w="16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Exceptions Identified</w:t>
            </w:r>
          </w:p>
        </w:tc>
        <w:tc>
          <w:tcPr>
            <w:tcW w:type="dxa" w:w="18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4 of 20</w:t>
            </w:r>
          </w:p>
        </w:tc>
        <w:tc>
          <w:tcPr>
            <w:tcW w:type="dxa" w:w="180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20</w:t>
            </w:r>
          </w:p>
        </w:tc>
        <w:tc>
          <w:tcPr>
            <w:tcW w:type="dxa" w:w="1760"/>
            <w:tcBorders>
              <w:top w:val="single" w:color="C8C8C8" w:sz="4"/>
              <w:left w:val="single" w:color="C8C8C8" w:sz="4"/>
              <w:bottom w:val="single" w:color="C8C8C8" w:sz="4"/>
              <w:right w:val="single" w:color="C8C8C8" w:sz="4"/>
            </w:tcBorders>
            <w:shd w:fill="FFE8E8" w:val="clear"/>
            <w:tcMar>
              <w:top w:type="dxa" w:w="80"/>
              <w:left w:type="dxa" w:w="120"/>
              <w:bottom w:type="dxa" w:w="80"/>
              <w:right w:type="dxa" w:w="120"/>
            </w:tcMar>
          </w:tcPr>
          <w:p>
            <w:r>
              <w:rPr>
                <w:rFonts w:ascii="Arial" w:cs="Arial" w:eastAsia="Arial" w:hAnsi="Arial"/>
                <w:b w:val="false"/>
                <w:bCs w:val="false"/>
                <w:color w:val="1A1A2E"/>
                <w:sz w:val="18"/>
                <w:szCs w:val="18"/>
              </w:rPr>
              <w:t xml:space="preserve">High</w:t>
            </w:r>
          </w:p>
        </w:tc>
      </w:tr>
    </w:tbl>
    <w:p>
      <w:r>
        <w:t xml:space="preserve"/>
      </w:r>
    </w:p>
    <w:p>
      <w:pPr>
        <w:pStyle w:val="Heading1"/>
        <w:pBdr>
          <w:bottom w:val="single" w:color="003366" w:sz="6" w:space="4"/>
        </w:pBdr>
        <w:spacing w:after="100" w:before="320"/>
      </w:pPr>
      <w:r>
        <w:rPr>
          <w:rFonts w:ascii="Arial" w:cs="Arial" w:eastAsia="Arial" w:hAnsi="Arial"/>
          <w:b/>
          <w:bCs/>
          <w:color w:val="003366"/>
          <w:sz w:val="26"/>
          <w:szCs w:val="26"/>
        </w:rPr>
        <w:t xml:space="preserve">5.  Required Follow-up Actions</w:t>
      </w:r>
    </w:p>
    <w:p>
      <w:pPr>
        <w:spacing w:after="60" w:before="60"/>
      </w:pPr>
      <w:r>
        <w:rPr>
          <w:rFonts w:ascii="Arial" w:cs="Arial" w:eastAsia="Arial" w:hAnsi="Arial"/>
          <w:sz w:val="20"/>
          <w:szCs w:val="20"/>
        </w:rPr>
        <w:t xml:space="preserve">The following remediation actions are required and must be tracked in the Issues Action Log:</w:t>
      </w:r>
    </w:p>
    <w:p>
      <w:r>
        <w:t xml:space="preserve"/>
      </w:r>
    </w:p>
    <w:p>
      <w:pPr>
        <w:pStyle w:val="ListParagraph"/>
        <w:numPr>
          <w:ilvl w:val="0"/>
          <w:numId w:val="2"/>
        </w:numPr>
        <w:spacing w:after="40" w:before="40"/>
      </w:pPr>
      <w:r>
        <w:rPr>
          <w:rFonts w:ascii="Arial" w:cs="Arial" w:eastAsia="Arial" w:hAnsi="Arial"/>
          <w:sz w:val="20"/>
          <w:szCs w:val="20"/>
        </w:rPr>
        <w:t xml:space="preserve">C-01: Branch Operations to enforce mandatory Branch Manager approval for NAAF completeness override in account management system. PEP/HIO declaration to be a mandatory system-enforced field. SOP section 5.2 to be updated.</w:t>
      </w:r>
    </w:p>
    <w:p>
      <w:pPr>
        <w:pStyle w:val="ListParagraph"/>
        <w:numPr>
          <w:ilvl w:val="0"/>
          <w:numId w:val="2"/>
        </w:numPr>
        <w:spacing w:after="40" w:before="40"/>
      </w:pPr>
      <w:r>
        <w:rPr>
          <w:rFonts w:ascii="Arial" w:cs="Arial" w:eastAsia="Arial" w:hAnsi="Arial"/>
          <w:sz w:val="20"/>
          <w:szCs w:val="20"/>
        </w:rPr>
        <w:t xml:space="preserve">C-04: Compliance – Suitability Review to issue guidance to all IA/RMs on documented suitability assessment requirements. Consider system gate. SOP section 5.4 to reference CIRO Rule 3200 and NI 31-103 s.13.3–13.4.</w:t>
      </w:r>
    </w:p>
    <w:p>
      <w:pPr>
        <w:pStyle w:val="ListParagraph"/>
        <w:numPr>
          <w:ilvl w:val="0"/>
          <w:numId w:val="2"/>
        </w:numPr>
        <w:spacing w:after="40" w:before="40"/>
      </w:pPr>
      <w:r>
        <w:rPr>
          <w:rFonts w:ascii="Arial" w:cs="Arial" w:eastAsia="Arial" w:hAnsi="Arial"/>
          <w:sz w:val="20"/>
          <w:szCs w:val="20"/>
        </w:rPr>
        <w:t xml:space="preserve">C-07: Compliance to update exception approval process to differentiate AML/ATF Officer and Suitability Review approval authorities. Written approval to be mandatory in Exception Log. SOP section 8 to be updated.</w:t>
      </w:r>
    </w:p>
    <w:p>
      <w:pPr>
        <w:pStyle w:val="ListParagraph"/>
        <w:numPr>
          <w:ilvl w:val="0"/>
          <w:numId w:val="2"/>
        </w:numPr>
        <w:spacing w:after="40" w:before="40"/>
      </w:pPr>
      <w:r>
        <w:rPr>
          <w:rFonts w:ascii="Arial" w:cs="Arial" w:eastAsia="Arial" w:hAnsi="Arial"/>
          <w:sz w:val="20"/>
          <w:szCs w:val="20"/>
        </w:rPr>
        <w:t xml:space="preserve">C-09: SOP section 5.7 to specify KYC refresh frequency by risk rating. Technology to implement automated refresh alerts. IA/RM management to address the 4 overdue accounts identified in testing immediately.</w:t>
      </w:r>
    </w:p>
    <w:p>
      <w:r>
        <w:t xml:space="preserve"/>
      </w:r>
    </w:p>
    <w:p>
      <w:pPr>
        <w:spacing w:after="60" w:before="60"/>
      </w:pPr>
      <w:r>
        <w:rPr>
          <w:rFonts w:ascii="Arial" w:cs="Arial" w:eastAsia="Arial" w:hAnsi="Arial"/>
          <w:i/>
          <w:iCs/>
          <w:sz w:val="20"/>
          <w:szCs w:val="20"/>
        </w:rPr>
        <w:t xml:space="preserve">All findings to be presented at the next Compliance Management Committee meeting. Remediation confirmed before Q2 2025 control testing cycle commences.</w:t>
      </w:r>
    </w:p>
    <w:p>
      <w:r>
        <w:t xml:space="preserve"/>
      </w:r>
    </w:p>
    <w:p>
      <w:pPr>
        <w:pBdr>
          <w:left w:val="single" w:color="C00000" w:sz="16" w:space="8"/>
        </w:pBdr>
        <w:shd w:fill="FFE8E8" w:val="clear"/>
        <w:spacing w:after="80" w:before="80"/>
      </w:pPr>
      <w:r>
        <w:rPr>
          <w:rFonts w:ascii="Arial" w:cs="Arial" w:eastAsia="Arial" w:hAnsi="Arial"/>
          <w:color w:val="900000"/>
          <w:sz w:val="19"/>
          <w:szCs w:val="19"/>
        </w:rPr>
        <w:t xml:space="preserve">REGULATORY NOTICE: Findings related to C-04 (suitability) and C-09 (KYC refresh) constitute potential CIRO Rule 3200 violations. Compliance must assess whether regulatory self-disclosure is required and consult with Legal before the next regulatory reporting deadline.</w:t>
      </w:r>
    </w:p>
    <w:p>
      <w:r>
        <w:t xml:space="preserve"/>
      </w:r>
    </w:p>
    <w:p>
      <w:pPr>
        <w:spacing w:after="60" w:before="60"/>
      </w:pPr>
      <w:r>
        <w:rPr>
          <w:rFonts w:ascii="Arial" w:cs="Arial" w:eastAsia="Arial" w:hAnsi="Arial"/>
          <w:i/>
          <w:iCs/>
          <w:color w:val="777777"/>
          <w:sz w:val="18"/>
          <w:szCs w:val="18"/>
        </w:rPr>
        <w:t xml:space="preserve">This document is CONFIDENTIAL. It is draft evidence and must not be distributed externally or cited in regulatory submissions prior to formal sign-off by Compliance.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CTEST-WM-KYC-Q1-2025  |  Control Testing  |  Q1 2025  |  DRAFT – Pending Sign-off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Control Test Evidence – Wealth Client Onboarding &amp; KYC</w:t>
    </w:r>
    <w:r>
      <w:rPr>
        <w:rFonts w:ascii="Arial" w:cs="Arial" w:eastAsia="Arial" w:hAnsi="Arial"/>
        <w:color w:val="C00000"/>
        <w:sz w:val="18"/>
        <w:szCs w:val="18"/>
      </w:rPr>
      <w:t xml:space="preserve">  |  Q1 2025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03366"/>
      <w:sz w:val="26"/>
      <w:szCs w:val="26"/>
    </w:rPr>
  </w:style>
  <w:style w:type="paragraph" w:styleId="Heading2">
    <w:name w:val="Heading 2"/>
    <w:basedOn w:val="Normal"/>
    <w:next w:val="Normal"/>
    <w:qFormat/>
    <w:pPr>
      <w:spacing w:after="60" w:before="200"/>
      <w:outlineLvl w:val="1"/>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2026-04-28T07:14:18.121Z</dcterms:created>
  <dcterms:modified xsi:type="dcterms:W3CDTF">2026-04-28T07:14:18.122Z</dcterms:modified>
</cp:coreProperties>
</file>

<file path=docProps/custom.xml><?xml version="1.0" encoding="utf-8"?>
<Properties xmlns="http://schemas.openxmlformats.org/officeDocument/2006/custom-properties" xmlns:vt="http://schemas.openxmlformats.org/officeDocument/2006/docPropsVTypes"/>
</file>