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480"/>
        <w:jc w:val="center"/>
      </w:pPr>
      <w:r>
        <w:rPr>
          <w:rFonts w:ascii="Arial" w:cs="Arial" w:eastAsia="Arial" w:hAnsi="Arial"/>
          <w:b/>
          <w:bCs/>
          <w:color w:val="006B3C"/>
          <w:sz w:val="36"/>
          <w:szCs w:val="36"/>
        </w:rPr>
        <w:t xml:space="preserve">ESG RISK MONITORING AND REPORTING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2E5FA3"/>
          <w:sz w:val="28"/>
          <w:szCs w:val="28"/>
        </w:rPr>
        <w:t xml:space="preserve">Standard Operating Procedure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ESG Risk Monitoring and Reporting Standard Operating Procedure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SOP-ESG-002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1.1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Sustainability / ESG Team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CFO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April 2024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Active</w:t>
            </w:r>
          </w:p>
        </w:tc>
      </w:tr>
    </w:tbl>
    <w:p>
      <w:r>
        <w:rPr>
          <w:rFonts w:ascii="Arial" w:cs="Arial" w:eastAsia="Arial" w:hAnsi="Arial"/>
          <w:sz w:val="19"/>
          <w:szCs w:val="19"/>
        </w:rPr>
        <w:t xml:space="preserve"/>
      </w:r>
    </w:p>
    <w:p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006B3C"/>
          <w:sz w:val="28"/>
          <w:szCs w:val="28"/>
        </w:rPr>
        <w:t xml:space="preserve">1. Purpose</w:t>
      </w:r>
    </w:p>
    <w:p>
      <w:pPr>
        <w:spacing w:after="80" w:before="80"/>
      </w:pPr>
      <w:r>
        <w:rPr>
          <w:rFonts w:ascii="Arial" w:cs="Arial" w:eastAsia="Arial" w:hAnsi="Arial"/>
          <w:sz w:val="19"/>
          <w:szCs w:val="19"/>
        </w:rPr>
        <w:t xml:space="preserve">This Standard Operating Procedure (SOP) defines the process for collecting, monitoring, reporting, and managing deviations in Environmental, Social, and Governance (ESG) data and metrics at the bank.</w:t>
      </w:r>
    </w:p>
    <w:p>
      <w:pPr>
        <w:spacing w:after="80" w:before="80"/>
      </w:pPr>
      <w:r>
        <w:rPr>
          <w:rFonts w:ascii="Arial" w:cs="Arial" w:eastAsia="Arial" w:hAnsi="Arial"/>
          <w:sz w:val="19"/>
          <w:szCs w:val="19"/>
        </w:rPr>
        <w:t xml:space="preserve">The objective is to ensure that ESG information reported internally and externally is accurate, complete, and consistent, and that material deviations from targets are identified and managed in a timely manner.</w:t>
      </w:r>
    </w:p>
    <w:p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006B3C"/>
          <w:sz w:val="28"/>
          <w:szCs w:val="28"/>
        </w:rPr>
        <w:t xml:space="preserve">2. Scope</w:t>
      </w:r>
    </w:p>
    <w:p>
      <w:pPr>
        <w:spacing w:after="80" w:before="80"/>
      </w:pPr>
      <w:r>
        <w:rPr>
          <w:rFonts w:ascii="Arial" w:cs="Arial" w:eastAsia="Arial" w:hAnsi="Arial"/>
          <w:sz w:val="19"/>
          <w:szCs w:val="19"/>
        </w:rPr>
        <w:t xml:space="preserve">This SOP applies to all ESG data collected and reported by the bank, covering Environmental, Social, and Governance metrics. It is applicable to: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The corporate sustainability / ESG team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Finance, HR, Facilities, IT, and other functions that contribute ESG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Internal reporting to senior management and the 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External reporting including the annual BRSR disclosure and sustainability report</w:t>
      </w:r>
    </w:p>
    <w:p>
      <w:pPr>
        <w:spacing w:after="80" w:before="80"/>
      </w:pPr>
      <w:r>
        <w:rPr>
          <w:rFonts w:ascii="Arial" w:cs="Arial" w:eastAsia="Arial" w:hAnsi="Arial"/>
          <w:sz w:val="19"/>
          <w:szCs w:val="19"/>
        </w:rPr>
        <w:t xml:space="preserve">This SOP covers direct operations of the bank. It does not cover financed emissions in detail.</w:t>
      </w:r>
    </w:p>
    <w:p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006B3C"/>
          <w:sz w:val="28"/>
          <w:szCs w:val="28"/>
        </w:rPr>
        <w:t xml:space="preserve">3. ESG Metric Framework</w:t>
      </w:r>
    </w:p>
    <w:p>
      <w:pPr>
        <w:spacing w:after="80" w:before="80"/>
      </w:pPr>
      <w:r>
        <w:rPr>
          <w:rFonts w:ascii="Arial" w:cs="Arial" w:eastAsia="Arial" w:hAnsi="Arial"/>
          <w:sz w:val="19"/>
          <w:szCs w:val="19"/>
        </w:rPr>
        <w:t xml:space="preserve">The bank tracks a range of ESG metrics across Environmental, Social, and Governance pillars. The table below lists the key metrics, their data sources, and reporting frequency.</w:t>
      </w:r>
    </w:p>
    <w:p>
      <w:r>
        <w:rPr>
          <w:rFonts w:ascii="Arial" w:cs="Arial" w:eastAsia="Arial" w:hAnsi="Arial"/>
          <w:sz w:val="19"/>
          <w:szCs w:val="19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2200"/>
        <w:gridCol w:w="3160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Pillar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Source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Reporting Frequency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Scope 1 GHG Emissions (tCO2e)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Utility / DG fuel records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Annual (BRSR)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Scope 2 GHG Emissions (tCO2e)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Electricity bills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Annual (BRSR)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Scope 3 Emissions (tCO2e) – selected categories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Travel management system, financed portfolio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Annual (BRSR Core)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Water Consumption (KL)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Water utility records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Quarterly / Annual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Renewable Energy %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 certificates, solar metering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Annual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Women in Senior Leadership (%)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HR System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Annual (BRSR)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LTIFR (per million hrs)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 / Safety records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Quarterly / Annual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PSL Achievement (% ANBC)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CBS / Credit system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Quarterly (RBI)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D1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Independent Directors (%)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Company Secretariat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Annual (SEBI LODR)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D1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ABC Training Completion (%)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LMS / Compliance system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Annual (BRSR)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D1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BRSR Core Assurance Coverage (%)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External auditor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Annual (BRSR Core)</w:t>
            </w:r>
          </w:p>
        </w:tc>
      </w:tr>
    </w:tbl>
    <w:p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006B3C"/>
          <w:sz w:val="28"/>
          <w:szCs w:val="28"/>
        </w:rPr>
        <w:t xml:space="preserve">4. Data Collection Process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4.1 Roles and Responsibilities for Data Collection</w:t>
      </w:r>
    </w:p>
    <w:p>
      <w:pPr>
        <w:spacing w:after="80" w:before="80"/>
      </w:pPr>
      <w:r>
        <w:rPr>
          <w:rFonts w:ascii="Arial" w:cs="Arial" w:eastAsia="Arial" w:hAnsi="Arial"/>
          <w:sz w:val="19"/>
          <w:szCs w:val="19"/>
        </w:rPr>
        <w:t xml:space="preserve">ESG data collection is the responsibility of the relevant teams across the organisation. Each team should provide accurate data to the ESG team on a timely basis.</w:t>
      </w:r>
    </w:p>
    <w:p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4.2 Data Collection Steps</w:t>
      </w:r>
    </w:p>
    <w:p>
      <w:pPr>
        <w:spacing w:after="80" w:before="80"/>
      </w:pPr>
      <w:r>
        <w:rPr>
          <w:rFonts w:ascii="Arial" w:cs="Arial" w:eastAsia="Arial" w:hAnsi="Arial"/>
          <w:sz w:val="19"/>
          <w:szCs w:val="19"/>
        </w:rPr>
        <w:t xml:space="preserve">The ESG team will coordinate the collection of data from across the organisation using the following process: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At the start of each reporting period, the ESG team will reach out to relevant teams to request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Teams should provide data in the agreed format and by the agreed deadline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The ESG team will consolidate the data into the ESG reporting template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Any missing or incomplete data should be flagged and followed up with the relevant team</w:t>
      </w:r>
    </w:p>
    <w:p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4.3 Scope of Emissions Reporting</w:t>
      </w:r>
    </w:p>
    <w:p>
      <w:pPr>
        <w:spacing w:after="80" w:before="80"/>
      </w:pPr>
      <w:r>
        <w:rPr>
          <w:rFonts w:ascii="Arial" w:cs="Arial" w:eastAsia="Arial" w:hAnsi="Arial"/>
          <w:sz w:val="19"/>
          <w:szCs w:val="19"/>
        </w:rPr>
        <w:t xml:space="preserve">The bank reports Scope 1 and Scope 2 greenhouse gas (GHG) emissions in accordance with applicable reporting requirements.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Scope 1 emissions include direct emissions from diesel generators, company-owned fleet, and air conditioning refrigerants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Scope 2 emissions include indirect emissions from purchased electricity, reported on a market-based basis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Scope 3 emissions are reported for selected categories where data is available</w:t>
      </w:r>
    </w:p>
    <w:p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006B3C"/>
          <w:sz w:val="28"/>
          <w:szCs w:val="28"/>
        </w:rPr>
        <w:t xml:space="preserve">5. Deviation Identification and Management</w:t>
      </w:r>
    </w:p>
    <w:p>
      <w:pPr>
        <w:spacing w:after="80" w:before="80"/>
      </w:pPr>
      <w:r>
        <w:rPr>
          <w:rFonts w:ascii="Arial" w:cs="Arial" w:eastAsia="Arial" w:hAnsi="Arial"/>
          <w:sz w:val="19"/>
          <w:szCs w:val="19"/>
        </w:rPr>
        <w:t xml:space="preserve">When ESG metrics deviate from their targets, the bank needs to identify the deviation, understand the root cause, and take corrective action where required.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5.1 What Constitutes a Deviation</w:t>
      </w:r>
    </w:p>
    <w:p>
      <w:pPr>
        <w:spacing w:after="80" w:before="80"/>
      </w:pPr>
      <w:r>
        <w:rPr>
          <w:rFonts w:ascii="Arial" w:cs="Arial" w:eastAsia="Arial" w:hAnsi="Arial"/>
          <w:sz w:val="19"/>
          <w:szCs w:val="19"/>
        </w:rPr>
        <w:t xml:space="preserve">A deviation occurs when a reported ESG metric is significantly different from the target or the prior year figure. The ESG team, in consultation with the relevant business unit, will determine whether a deviation is material and requires escalation.</w:t>
      </w:r>
    </w:p>
    <w:p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5.2 Deviation Management Process</w:t>
      </w:r>
    </w:p>
    <w:p>
      <w:pPr>
        <w:spacing w:after="80" w:before="80"/>
      </w:pPr>
      <w:r>
        <w:rPr>
          <w:rFonts w:ascii="Arial" w:cs="Arial" w:eastAsia="Arial" w:hAnsi="Arial"/>
          <w:sz w:val="19"/>
          <w:szCs w:val="19"/>
        </w:rPr>
        <w:t xml:space="preserve">When a deviation is identified, the following steps should be followed:</w:t>
      </w:r>
    </w:p>
    <w:p>
      <w:r>
        <w:rPr>
          <w:rFonts w:ascii="Arial" w:cs="Arial" w:eastAsia="Arial" w:hAnsi="Arial"/>
          <w:sz w:val="19"/>
          <w:szCs w:val="19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5560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Identify Deviation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During data collection or reporting, identify any metrics that are significantly different from the target or prior period. Use judgement to determine significance.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Investigate Root Cause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Work with the relevant team to understand why the deviation has occurred. This may be due to data quality issues, operational changes, or external factors.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Escalate if Needed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If the deviation is material, escalate to the appropriate level of management. The ESG team will use judgement to determine when escalation is required.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Document and Report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Document the deviation, root cause, and corrective action. Include in the next ESG report.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Corrective Action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Work with the relevant team to implement corrective actions to address the deviation. Monitor progress.</w:t>
            </w:r>
          </w:p>
        </w:tc>
      </w:tr>
    </w:tbl>
    <w:p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006B3C"/>
          <w:sz w:val="28"/>
          <w:szCs w:val="28"/>
        </w:rPr>
        <w:t xml:space="preserve">6. Reporting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6.1 Internal Reporting</w:t>
      </w:r>
    </w:p>
    <w:p>
      <w:pPr>
        <w:spacing w:after="80" w:before="80"/>
      </w:pPr>
      <w:r>
        <w:rPr>
          <w:rFonts w:ascii="Arial" w:cs="Arial" w:eastAsia="Arial" w:hAnsi="Arial"/>
          <w:sz w:val="19"/>
          <w:szCs w:val="19"/>
        </w:rPr>
        <w:t xml:space="preserve">ESG performance data is reported internally to the senior management team and the board on a periodic basis. Reports should include: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Key ESG metrics and performance against targets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Any significant deviations or issues identified during the period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Progress on ESG initiatives and programmes</w:t>
      </w:r>
    </w:p>
    <w:p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6.2 External Reporting</w:t>
      </w:r>
    </w:p>
    <w:p>
      <w:pPr>
        <w:spacing w:after="80" w:before="80"/>
      </w:pPr>
      <w:r>
        <w:rPr>
          <w:rFonts w:ascii="Arial" w:cs="Arial" w:eastAsia="Arial" w:hAnsi="Arial"/>
          <w:sz w:val="19"/>
          <w:szCs w:val="19"/>
        </w:rPr>
        <w:t xml:space="preserve">The bank discloses ESG information externally in its annual report, including the BRSR submission. External reporting should be accurate and consistent with internal records.</w:t>
      </w:r>
    </w:p>
    <w:p>
      <w:pPr>
        <w:spacing w:after="80" w:before="80"/>
      </w:pPr>
      <w:r>
        <w:rPr>
          <w:rFonts w:ascii="Arial" w:cs="Arial" w:eastAsia="Arial" w:hAnsi="Arial"/>
          <w:sz w:val="19"/>
          <w:szCs w:val="19"/>
        </w:rPr>
        <w:t xml:space="preserve">Before submission, external reports should be reviewed by the CFO and approved by senior management.</w:t>
      </w:r>
    </w:p>
    <w:p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6.3 Regulatory Reporting Triggers</w:t>
      </w:r>
    </w:p>
    <w:p>
      <w:pPr>
        <w:spacing w:after="80" w:before="80"/>
      </w:pPr>
      <w:r>
        <w:rPr>
          <w:rFonts w:ascii="Arial" w:cs="Arial" w:eastAsia="Arial" w:hAnsi="Arial"/>
          <w:sz w:val="19"/>
          <w:szCs w:val="19"/>
        </w:rPr>
        <w:t xml:space="preserve">Where ESG-related regulatory requirements exist, the bank should comply with applicable timelines. The ESG team should liaise with Compliance to ensure regulatory obligations are met.</w:t>
      </w:r>
    </w:p>
    <w:p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006B3C"/>
          <w:sz w:val="28"/>
          <w:szCs w:val="28"/>
        </w:rPr>
        <w:t xml:space="preserve">7. Roles and Responsibilities</w:t>
      </w:r>
    </w:p>
    <w:p>
      <w:pPr>
        <w:spacing w:after="80" w:before="80"/>
      </w:pPr>
      <w:r>
        <w:rPr>
          <w:rFonts w:ascii="Arial" w:cs="Arial" w:eastAsia="Arial" w:hAnsi="Arial"/>
          <w:sz w:val="19"/>
          <w:szCs w:val="19"/>
        </w:rPr>
        <w:t xml:space="preserve">The following roles are responsible for ESG data collection and reporting: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ESG / Sustainability Head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Owns this SOP; coordinates data collection; prepares ESG reports.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CFO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Reviews and approves external ESG disclosures; oversees ESG data quality.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CHRO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Provides Social pillar data including gender diversity, training, and LTIFR.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Facilities Head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Provides energy, water, and emissions data for owned and leased premises.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Company Secretary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Provides Governance data including board composition and remuneration.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CRO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Provides climate risk and credit risk data relevant to ESG disclosure.</w:t>
            </w:r>
          </w:p>
        </w:tc>
      </w:tr>
    </w:tbl>
    <w:p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006B3C"/>
          <w:sz w:val="28"/>
          <w:szCs w:val="28"/>
        </w:rPr>
        <w:t xml:space="preserve">8. Training and Awareness</w:t>
      </w:r>
    </w:p>
    <w:p>
      <w:pPr>
        <w:spacing w:after="80" w:before="80"/>
      </w:pPr>
      <w:r>
        <w:rPr>
          <w:rFonts w:ascii="Arial" w:cs="Arial" w:eastAsia="Arial" w:hAnsi="Arial"/>
          <w:sz w:val="19"/>
          <w:szCs w:val="19"/>
        </w:rPr>
        <w:t xml:space="preserve">All staff involved in ESG data collection should be aware of their responsibilities under this SOP. The ESG team will provide guidance and support as required.</w:t>
      </w:r>
    </w:p>
    <w:p>
      <w:pPr>
        <w:spacing w:after="80" w:before="80"/>
      </w:pPr>
      <w:r>
        <w:rPr>
          <w:rFonts w:ascii="Arial" w:cs="Arial" w:eastAsia="Arial" w:hAnsi="Arial"/>
          <w:sz w:val="19"/>
          <w:szCs w:val="19"/>
        </w:rPr>
        <w:t xml:space="preserve">Training on ESG reporting requirements will be provided when significant changes to regulatory requirements occur.</w:t>
      </w:r>
    </w:p>
    <w:p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006B3C"/>
          <w:sz w:val="28"/>
          <w:szCs w:val="28"/>
        </w:rPr>
        <w:t xml:space="preserve">9. Document Review</w:t>
      </w:r>
    </w:p>
    <w:p>
      <w:pPr>
        <w:spacing w:after="80" w:before="80"/>
      </w:pPr>
      <w:r>
        <w:rPr>
          <w:rFonts w:ascii="Arial" w:cs="Arial" w:eastAsia="Arial" w:hAnsi="Arial"/>
          <w:sz w:val="19"/>
          <w:szCs w:val="19"/>
        </w:rPr>
        <w:t xml:space="preserve">This SOP will be reviewed annually or when significant changes occur to ESG reporting requirements or the bank's ESG strategy.</w:t>
      </w:r>
    </w:p>
    <w:p>
      <w:pPr>
        <w:spacing w:after="80" w:before="80"/>
      </w:pPr>
      <w:r>
        <w:rPr>
          <w:rFonts w:ascii="Arial" w:cs="Arial" w:eastAsia="Arial" w:hAnsi="Arial"/>
          <w:sz w:val="19"/>
          <w:szCs w:val="19"/>
        </w:rPr>
        <w:t xml:space="preserve">The ESG Head is responsible for maintaining this document.</w:t>
      </w:r>
    </w:p>
    <w:p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006B3C"/>
          <w:sz w:val="28"/>
          <w:szCs w:val="28"/>
        </w:rPr>
        <w:t xml:space="preserve">Appendix A – Key ESG Regulatory References</w:t>
      </w:r>
    </w:p>
    <w:p>
      <w:pPr>
        <w:spacing w:after="80" w:before="80"/>
      </w:pPr>
      <w:r>
        <w:rPr>
          <w:rFonts w:ascii="Arial" w:cs="Arial" w:eastAsia="Arial" w:hAnsi="Arial"/>
          <w:sz w:val="19"/>
          <w:szCs w:val="19"/>
        </w:rPr>
        <w:t xml:space="preserve">The table below lists key regulatory and reporting frameworks relevant to the bank's ESG reporting obligations.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960"/>
        <w:gridCol w:w="300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Regulation / Framework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Applicability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Responsible Team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SEBI BRSR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Annual ESG disclosure for listed entities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ESG / Compliance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SEBI BRSR Core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Enhanced metrics with mandatory assurance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ESG / CFO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RBI Climate Risk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Climate risk disclosure and stress testing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CRO / ESG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TCFD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Voluntary (becoming mandatory via SEBI)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ESG / CRO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GRI Standards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Sustainability report framework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ESG</w:t>
            </w:r>
          </w:p>
        </w:tc>
      </w:tr>
    </w:tbl>
    <w:p>
      <w:r>
        <w:rPr>
          <w:rFonts w:ascii="Arial" w:cs="Arial" w:eastAsia="Arial" w:hAnsi="Arial"/>
          <w:sz w:val="19"/>
          <w:szCs w:val="19"/>
        </w:rPr>
        <w:t xml:space="preserve"/>
      </w:r>
    </w:p>
    <w:p>
      <w:r>
        <w:rPr>
          <w:rFonts w:ascii="Arial" w:cs="Arial" w:eastAsia="Arial" w:hAnsi="Arial"/>
          <w:sz w:val="19"/>
          <w:szCs w:val="19"/>
        </w:rPr>
        <w:t xml:space="preserve"/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006B3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5FA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2026-05-07T21:05:10.247Z</dcterms:created>
  <dcterms:modified xsi:type="dcterms:W3CDTF">2026-05-07T21:05:10.248Z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