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006B3C"/>
          <w:sz w:val="36"/>
          <w:szCs w:val="36"/>
        </w:rPr>
        <w:t xml:space="preserve">ESG RISK MONITORING AND REPORTING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Standard Operating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ESG Risk Monitoring and Reporting Standard Operating Procedure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SOP-ESG-002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Sustainability / ESG Team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Standard Operating Procedure (SOP) defines the process for collecting, monitoring, reporting, and managing deviations in Environmental, Social, and Governance (ESG) data and metrics at the bank.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objective is to ensure that ESG information reported internally and externally is accurate, complete, and consistent, and that material deviations from targets are identified and managed in a timely manner.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SOP applies to all ESG data collected and reported by the bank, covering Environmental, Social, and Governance metrics. It is applicable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corporate sustainability / ESG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Finance, HR, Facilities, IT, and other functions that contribute ESG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Internal reporting to senior management and the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External reporting including the annual BRSR disclosure and sustainability report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SOP covers direct operations of the bank. It does not cover financed emissions in detail.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3. ESG Metric Framework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bank tracks a range of ESG metrics across Environmental, Social, and Governance pillars. The table below lists the key metrics, their data sources, and reporting frequency.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Reporting Frequency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1 GHG Emissions (tCO2e)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 / DG fuel records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2 GHG Emissions (tCO2e)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Electricity bills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3 Emissions (tCO2e) – selected categories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Travel management system, financed portfolio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 Core)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Consumption (KL)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Water utility records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/ Annual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Renewable Energy 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 certificates, solar metering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Women in Senior Leadership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System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LTIFR (per million hrs)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/ Safety records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/ Annual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PSL Achievement (% ANBC)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CBS / Credit system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(RBI)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Directors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Secretariat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(SEBI LODR)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 Training Completion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LMS / Compliance system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BRSR Core Assurance Coverage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auditor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(BRSR Core)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4. Data Collection Process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4.1 Roles and Responsibilities for Data Collection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ESG data collection is the responsibility of the relevant teams across the organisation. Each team should provide accurate data to the ESG team on a timely basis.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4.2 Data Collection Steps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ESG team will coordinate the collection of data from across the organisation using the following process: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At the start of each reporting period, the ESG team will reach out to relevant teams to request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Teams should provide data in the agreed format and by the agreed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ESG team will consolidate the data into the ESG reporting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Any missing or incomplete data should be flagged and followed up with the relevant team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4.3 Scope of Emissions Reporting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bank reports Scope 1 and Scope 2 greenhouse gas (GHG) emissions in accordance with applicable reporting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Scope 1 emissions include direct emissions from diesel generators, company-owned fleet, and air conditioning refrigerants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Scope 2 emissions include indirect emissions from purchased electricity, reported on a market-based basis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Scope 3 emissions are reported for selected categories where data is available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5. Deviation Identification and Management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When ESG metrics deviate from their targets, the bank needs to identify the deviation, understand the root cause, and take corrective action where required.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5.1 What Constitutes a Deviation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A deviation occurs when a reported ESG metric is significantly different from the target or the prior year figure. The ESG team, in consultation with the relevant business unit, will determine whether a deviation is material and requires escalation.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5.2 Deviation Management Process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When a deviation is identified, the following steps should be followed: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Deviation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During data collection or reporting, identify any metrics that are significantly different from the target or prior period. Use judgement to determine significance.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Investigate Root Cause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with the relevant team to understand why the deviation has occurred. This may be due to data quality issues, operational changes, or external factors.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Escalate if Needed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the deviation is material, escalate to the appropriate level of management. The ESG team will use judgement to determine when escalation is required.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and Report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the deviation, root cause, and corrective action. Include in the next ESG report.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 with the relevant team to implement corrective actions to address the deviation. Monitor progress.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6. Reporting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6.1 Internal Reporting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ESG performance data is reported internally to the senior management team and the board on a periodic basis. Reports should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Key ESG metrics and performance against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Any significant deviations or issues identified during the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Progress on ESG initiatives and programmes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6.2 External Reporting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bank discloses ESG information externally in its annual report, including the BRSR submission. External reporting should be accurate and consistent with internal records.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Before submission, external reports should be reviewed by the CFO and approved by senior management.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6.3 Regulatory Reporting Triggers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Where ESG-related regulatory requirements exist, the bank should comply with applicable timelines. The ESG team should liaise with Compliance to ensure regulatory obligations are met.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7. Roles and Responsibilities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following roles are responsible for ESG data collection and reporting: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ESG / Sustainability Head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Owns this SOP; coordinates data collection; prepares ESG reports.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CFO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Reviews and approves external ESG disclosures; oversees ESG data quality.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Social pillar data including gender diversity, training, and LTIFR.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Facilities Head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energy, water, and emissions data for owned and leased premises.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 Secretary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Governance data including board composition and remuneration.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Provides climate risk and credit risk data relevant to ESG disclosure.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8. Training and Awareness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All staff involved in ESG data collection should be aware of their responsibilities under this SOP. The ESG team will provide guidance and support as required.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Training on ESG reporting requirements will be provided when significant changes to regulatory requirements occur.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9. Document Review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This SOP will be reviewed annually or when significant changes occur to ESG reporting requirements or the bank's ESG strategy.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ESG Head is responsible for maintaining this document.</w:t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6B3C"/>
          <w:sz w:val="28"/>
          <w:szCs w:val="28"/>
        </w:rPr>
        <w:t xml:space="preserve">Appendix A – Key ESG Regulatory References</w:t>
      </w:r>
    </w:p>
    <w:p>
      <w:pPr>
        <w:spacing w:after="80" w:before="80"/>
      </w:pPr>
      <w:r>
        <w:rPr>
          <w:rFonts w:ascii="Arial" w:cs="Arial" w:eastAsia="Arial" w:hAnsi="Arial"/>
          <w:sz w:val="19"/>
          <w:szCs w:val="19"/>
        </w:rPr>
        <w:t xml:space="preserve">The table below lists key regulatory and reporting frameworks relevant to the bank's ESG reporting obligations.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 / Framework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Team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SEBI BRSR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ESG disclosure for listed entities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 / Compliance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SEBI BRSR Core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Enhanced metrics with mandatory assurance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 / CFO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RBI Climate Risk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Climate risk disclosure and stress testing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 / ESG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TCFD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Voluntary (becoming mandatory via SEBI)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 / CRO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GRI Standards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Sustainability report framework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ESG</w:t>
            </w:r>
          </w:p>
        </w:tc>
      </w:tr>
    </w:tbl>
    <w:p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rPr>
          <w:rFonts w:ascii="Arial" w:cs="Arial" w:eastAsia="Arial" w:hAnsi="Arial"/>
          <w:sz w:val="19"/>
          <w:szCs w:val="19"/>
        </w:rPr>
        <w:t xml:space="preserve"/>
      </w:r>
    </w:p>
    <w:sectPr>
      <w:pgSz w:w="12240" w:h="15840" w:orient="portrait"/>
      <w:pgMar w:top="1440" w:right="1259" w:bottom="1440" w:left="125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6B3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2026-05-07T21:05:10.247Z</dcterms:created>
  <dcterms:modified xsi:type="dcterms:W3CDTF">2026-05-07T21:05:10.248Z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