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800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YNyn0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17320.51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15.4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1154.7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15.4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1154.7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31482.69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1.83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12.83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1350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18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1417.5008183944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1383.7507989088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1350.0007794232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1316.2507599376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1282.5007404521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214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249.41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278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36.78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351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430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430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138.46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105.18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1718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