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300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780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4300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5080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15.75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9.09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433.01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49.284886121406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44.677872458789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26.158013978093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18.547897299038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13.741959693241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10.159355379002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7.2210631265647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153.26843726101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123.5847620174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63.210990271112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38.226781477864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23.355032095476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13.534301718968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6.9246693552641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27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1351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1319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1287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1255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1223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1.8*1.7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3*7*5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2.27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103.64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4.18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10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0.45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183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18.06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219.12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10.5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241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25.05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290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244.8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286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286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73.63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49.55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2800.81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1.62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4.01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306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422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743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