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E5D21" w14:textId="77777777" w:rsidR="001D4D7F" w:rsidRPr="001D4D7F" w:rsidRDefault="001D4D7F" w:rsidP="001D4D7F">
      <w:r w:rsidRPr="001D4D7F">
        <w:t>Report: Required Additions to Commercial Lease Agreement Template (v3.1)</w:t>
      </w:r>
    </w:p>
    <w:p w14:paraId="25A78219" w14:textId="77777777" w:rsidR="001D4D7F" w:rsidRPr="001D4D7F" w:rsidRDefault="001D4D7F" w:rsidP="001D4D7F">
      <w:r w:rsidRPr="001D4D7F">
        <w:t>1.0 Introduction</w:t>
      </w:r>
    </w:p>
    <w:p w14:paraId="2636BB05" w14:textId="77777777" w:rsidR="001D4D7F" w:rsidRPr="001D4D7F" w:rsidRDefault="001D4D7F" w:rsidP="001D4D7F">
      <w:r w:rsidRPr="001D4D7F">
        <w:t>●   Purpose: This report details the necessary textual additions required for the standard Commercial Lease Agreement Template (v3.1). These additions are mandated by recent legislative changes, specifically the Sustainable Commercial Buildings Act (SCBA) 2024 and the Tenant Security Enhancement Act (TSEA) 2024, as well as relevant case law (Tenant Union v. Metro Properties) and findings from internal reviews and competitive analysis.</w:t>
      </w:r>
    </w:p>
    <w:p w14:paraId="1CB182AA" w14:textId="77777777" w:rsidR="001D4D7F" w:rsidRPr="001D4D7F" w:rsidRDefault="001D4D7F" w:rsidP="001D4D7F">
      <w:r w:rsidRPr="001D4D7F">
        <w:t>●   Scope: The focus of this report is exclusively on identifying the precise content of each required addition and specifying its exact insertion point within the existing document structure of Template v3.1. The rationale and source references are provided for each proposed modification to ensure clarity and traceability.</w:t>
      </w:r>
    </w:p>
    <w:p w14:paraId="60EE710C" w14:textId="77777777" w:rsidR="001D4D7F" w:rsidRPr="001D4D7F" w:rsidRDefault="001D4D7F" w:rsidP="001D4D7F">
      <w:r w:rsidRPr="001D4D7F">
        <w:t>●   Methodology: Each required addition detailed herein has been identified through a systematic review of pertinent legal and internal documents, including enacted legislation, court rulings, internal legal department memoranda, and analyses of competitor lease agreements. The designated placement for each addition has been determined by considering the logical flow and established structure of the Commercial Lease Agreement Template (v3.1), aiming for coherence and legal soundness.</w:t>
      </w:r>
    </w:p>
    <w:p w14:paraId="3673C987" w14:textId="77777777" w:rsidR="001D4D7F" w:rsidRPr="001D4D7F" w:rsidRDefault="001D4D7F" w:rsidP="001D4D7F">
      <w:r w:rsidRPr="001D4D7F">
        <w:t>2.0 Document Additions Overview</w:t>
      </w:r>
    </w:p>
    <w:p w14:paraId="130716AA" w14:textId="77777777" w:rsidR="001D4D7F" w:rsidRPr="001D4D7F" w:rsidRDefault="001D4D7F" w:rsidP="001D4D7F">
      <w:r w:rsidRPr="001D4D7F">
        <w:t>●   Summary: This report outlines six (6) specific textual additions required for the Commercial Lease Agreement Template (v3.1).</w:t>
      </w:r>
    </w:p>
    <w:p w14:paraId="11FD2A56" w14:textId="77777777" w:rsidR="001D4D7F" w:rsidRPr="001D4D7F" w:rsidRDefault="001D4D7F" w:rsidP="001D4D7F">
      <w:r w:rsidRPr="001D4D7F">
        <w:t>●   Key Areas Affected: The primary sections of the template impacted by these additions include those governing Tenant Obligations, Landlord Obligations and Representations, Landlord Services (specifically building security), Quiet Enjoyment, and Operating Costs/Additional Rent definitions. Modifications may necessitate adjustments to related Exhibits or Schedules, although the core changes reside within the main body of the lease.</w:t>
      </w:r>
    </w:p>
    <w:p w14:paraId="384DF005" w14:textId="77777777" w:rsidR="001D4D7F" w:rsidRPr="001D4D7F" w:rsidRDefault="001D4D7F" w:rsidP="001D4D7F">
      <w:r w:rsidRPr="001D4D7F">
        <w:t>●   Driving Factors: The required changes are directly driven by several key developments:</w:t>
      </w:r>
    </w:p>
    <w:p w14:paraId="20FDD44C" w14:textId="77777777" w:rsidR="001D4D7F" w:rsidRPr="001D4D7F" w:rsidRDefault="001D4D7F" w:rsidP="001D4D7F">
      <w:r w:rsidRPr="001D4D7F">
        <w:t>○   The Sustainable Commercial Buildings Act (SCBA) 2024, which introduces new energy efficiency and reporting requirements for commercial properties over 5,000 sq ft.</w:t>
      </w:r>
    </w:p>
    <w:p w14:paraId="44C63157" w14:textId="77777777" w:rsidR="001D4D7F" w:rsidRPr="001D4D7F" w:rsidRDefault="001D4D7F" w:rsidP="001D4D7F">
      <w:r w:rsidRPr="001D4D7F">
        <w:t>○   The Tenant Security Enhancement Act (TSEA) 2024, mandating greater specificity in lease agreements regarding security measures provided by landlords.</w:t>
      </w:r>
    </w:p>
    <w:p w14:paraId="025FA642" w14:textId="77777777" w:rsidR="001D4D7F" w:rsidRPr="001D4D7F" w:rsidRDefault="001D4D7F" w:rsidP="001D4D7F">
      <w:r w:rsidRPr="001D4D7F">
        <w:t>○   The Tenant Union v. Metro Properties court ruling (CV-2024-987), which clarified the scope of 'quiet enjoyment' clauses concerning noise from common areas and emphasized the need for specific remedies.</w:t>
      </w:r>
    </w:p>
    <w:p w14:paraId="2A79E8AD" w14:textId="77777777" w:rsidR="001D4D7F" w:rsidRPr="001D4D7F" w:rsidRDefault="001D4D7F" w:rsidP="001D4D7F">
      <w:r w:rsidRPr="001D4D7F">
        <w:lastRenderedPageBreak/>
        <w:t>○   Internal compliance reviews identifying gaps in the current template (v3.1) concerning energy efficiency and security detail.</w:t>
      </w:r>
    </w:p>
    <w:p w14:paraId="21DFFF42" w14:textId="77777777" w:rsidR="001D4D7F" w:rsidRPr="001D4D7F" w:rsidRDefault="001D4D7F" w:rsidP="001D4D7F">
      <w:r w:rsidRPr="001D4D7F">
        <w:t>○   Competitive analysis indicating market practices regarding the pass-through of regulatory compliance costs.</w:t>
      </w:r>
    </w:p>
    <w:p w14:paraId="29503941" w14:textId="77777777" w:rsidR="001D4D7F" w:rsidRPr="001D4D7F" w:rsidRDefault="001D4D7F" w:rsidP="001D4D7F">
      <w:r w:rsidRPr="001D4D7F">
        <w:t>3.0 Detailed Additions by Document Section</w:t>
      </w:r>
    </w:p>
    <w:p w14:paraId="05B147E3" w14:textId="77777777" w:rsidR="001D4D7F" w:rsidRPr="001D4D7F" w:rsidRDefault="001D4D7F" w:rsidP="001D4D7F">
      <w:r w:rsidRPr="001D4D7F">
        <w:t>●   3.1 Additions Required: Section</w:t>
      </w:r>
    </w:p>
    <w:p w14:paraId="7D1F77B3" w14:textId="77777777" w:rsidR="001D4D7F" w:rsidRPr="001D4D7F" w:rsidRDefault="001D4D7F" w:rsidP="001D4D7F">
      <w:r w:rsidRPr="001D4D7F">
        <w:t>○   Location 1: A new subsection should be added within the primary section detailing Tenant Obligations (e.g., Section 5.0). This subsection could be titled "Energy Efficiency Compliance."</w:t>
      </w:r>
    </w:p>
    <w:p w14:paraId="3B3FFC9F" w14:textId="77777777" w:rsidR="001D4D7F" w:rsidRPr="001D4D7F" w:rsidRDefault="001D4D7F" w:rsidP="001D4D7F">
      <w:r w:rsidRPr="001D4D7F">
        <w:t>○   Addition 1 (Content): "Tenant agrees to comply with building-specific energy efficiency targets as established by Landlord, provided such targets are based on a certified energy audit conducted no more than three (3) years prior to the establishment of said targets and are communicated to Tenant in writing. Tenant shall undertake reasonable measures within the Leased Premises to meet these targets, subject to Tenant's operational requirements. Landlord acknowledges that Tenant's compliance is contingent upon the proper functioning of base building systems under Landlord's control."</w:t>
      </w:r>
    </w:p>
    <w:p w14:paraId="20CB3D80" w14:textId="77777777" w:rsidR="001D4D7F" w:rsidRPr="001D4D7F" w:rsidRDefault="001D4D7F" w:rsidP="001D4D7F">
      <w:r w:rsidRPr="001D4D7F">
        <w:t>○   Rationale/Source: This addition is directly mandated by the SCBA 2024, which requires leases for applicable buildings (over 5,000 sq ft) to include provisions for tenant compliance with energy efficiency targets. Furthermore, an internal review confirmed that the current template (v3.1) lacks such a provision. Incorporating this clause ensures statutory compliance. The language regarding "reasonable measures" and contingency on base building systems aims to balance the landlord's need for compliance with the tenant's operational realities. This new obligation, stemming directly from the SCBA, introduces a potential area for landlord-tenant discussions regarding the definition of "reasonable" targets and measures. Consequently, establishing clear, standardized procedures for setting these targets, monitoring compliance, and resolving potential disputes becomes a necessary operational consideration, potentially involving facilities management and legal teams.</w:t>
      </w:r>
    </w:p>
    <w:p w14:paraId="300313E5" w14:textId="77777777" w:rsidR="001D4D7F" w:rsidRPr="001D4D7F" w:rsidRDefault="001D4D7F" w:rsidP="001D4D7F">
      <w:r w:rsidRPr="001D4D7F">
        <w:t>○   Location 2: Within the same new subsection "Energy Efficiency Compliance" (e.g., Section 5.X).</w:t>
      </w:r>
    </w:p>
    <w:p w14:paraId="011EFB1B" w14:textId="77777777" w:rsidR="001D4D7F" w:rsidRPr="001D4D7F" w:rsidRDefault="001D4D7F" w:rsidP="001D4D7F">
      <w:r w:rsidRPr="001D4D7F">
        <w:t xml:space="preserve">○   Addition 2 (Content): "Tenant consents to the Landlord collecting and aggregating Tenant's energy consumption data for the sole purpose of mandatory reporting requirements under the Sustainable Commercial Buildings Act (SCBA) 2024. Landlord agrees that such data, when reported externally, shall be anonymized and aggregated with </w:t>
      </w:r>
      <w:r w:rsidRPr="001D4D7F">
        <w:lastRenderedPageBreak/>
        <w:t>data from other tenants to the extent required by law, and shall be handled in accordance with applicable data privacy regulations."</w:t>
      </w:r>
    </w:p>
    <w:p w14:paraId="1C93F627" w14:textId="77777777" w:rsidR="001D4D7F" w:rsidRPr="001D4D7F" w:rsidRDefault="001D4D7F" w:rsidP="001D4D7F">
      <w:r w:rsidRPr="001D4D7F">
        <w:t>○   Rationale/Source: This clause is necessary to enable the Landlord to fulfill its own reporting obligations under Section 15 of the SCBA, which mandates the annual reporting of aggregated, anonymized tenant energy consumption data. While the reporting duty falls upon the landlord, accessing individual tenant energy data is a prerequisite. Obtaining explicit tenant consent through the lease is essential for collecting and utilizing this data, ensuring compliance with data privacy principles and regulations. The landlord's ability to comply with its statutory reporting duty is therefore dependent on securing this tenant consent. This highlights an important intersection between environmental regulations and data privacy law, necessitating careful procedures for data collection, secure storage, anonymization, and reporting to protect tenant information while meeting regulatory demands.</w:t>
      </w:r>
    </w:p>
    <w:p w14:paraId="73570A9C" w14:textId="77777777" w:rsidR="001D4D7F" w:rsidRPr="001D4D7F" w:rsidRDefault="001D4D7F" w:rsidP="001D4D7F">
      <w:r w:rsidRPr="001D4D7F">
        <w:t>●   3.2 Additions Required: Section</w:t>
      </w:r>
    </w:p>
    <w:p w14:paraId="6D3F0335" w14:textId="77777777" w:rsidR="001D4D7F" w:rsidRPr="001D4D7F" w:rsidRDefault="001D4D7F" w:rsidP="001D4D7F">
      <w:r w:rsidRPr="001D4D7F">
        <w:t>○   Location 1: A new subsection, potentially titled "Energy Audit Disclosure," should be added within the Landlord Obligations or Representations section (e.g., Section 6.0). Ideally, this should appear prior to lease execution clauses or as part of initial representations made by the Landlord.</w:t>
      </w:r>
    </w:p>
    <w:p w14:paraId="256B0C81" w14:textId="77777777" w:rsidR="001D4D7F" w:rsidRPr="001D4D7F" w:rsidRDefault="001D4D7F" w:rsidP="001D4D7F">
      <w:r w:rsidRPr="001D4D7F">
        <w:t>○   Addition 3 (Content): "Prior to the execution of this Lease, Landlord has provided Tenant with a complete copy of the Building's most recent certified energy audit report, dated, which is no more than three (3) years old as of the Commencement Date, in accordance with the requirements of the Sustainable Commercial Buildings Act (SCBA) 2024."</w:t>
      </w:r>
    </w:p>
    <w:p w14:paraId="16CB7B45" w14:textId="77777777" w:rsidR="001D4D7F" w:rsidRPr="001D4D7F" w:rsidRDefault="001D4D7F" w:rsidP="001D4D7F">
      <w:r w:rsidRPr="001D4D7F">
        <w:t>○   Rationale/Source: This addition is directly mandated by SCBA Section 12(b), which requires landlords to provide the latest certified energy audit (not older than three years) to prospective tenants before the lease is executed. Including this clause in the lease serves as a formal acknowledgment and record that this statutory obligation has been met. This requirement imposes a significant procedural change on the pre-lease process. It necessitates that the leasing team consistently provides the audit report to prospective tenants and maintains records confirming receipt before finalizing any lease agreement. Failure to adhere to this pre-lease disclosure requirement could carry substantial risk, potentially leading to penalties under the SCBA or even challenges to the lease's validity. Robust record-keeping of this disclosure is therefore critical.</w:t>
      </w:r>
    </w:p>
    <w:p w14:paraId="1744C7B5" w14:textId="77777777" w:rsidR="001D4D7F" w:rsidRPr="001D4D7F" w:rsidRDefault="001D4D7F" w:rsidP="001D4D7F">
      <w:r w:rsidRPr="001D4D7F">
        <w:t>●   3.3 Additions Required: Section</w:t>
      </w:r>
    </w:p>
    <w:p w14:paraId="44AE22BA" w14:textId="77777777" w:rsidR="001D4D7F" w:rsidRPr="001D4D7F" w:rsidRDefault="001D4D7F" w:rsidP="001D4D7F">
      <w:r w:rsidRPr="001D4D7F">
        <w:lastRenderedPageBreak/>
        <w:t>○   Location 1: Modify the existing subsection addressing Building Security, potentially Section 7.3 as identified by internal review. The current vague language should be replaced.</w:t>
      </w:r>
    </w:p>
    <w:p w14:paraId="67770758" w14:textId="77777777" w:rsidR="001D4D7F" w:rsidRPr="001D4D7F" w:rsidRDefault="001D4D7F" w:rsidP="001D4D7F">
      <w:r w:rsidRPr="001D4D7F">
        <w:t>○   Addition 4 (Content): " Landlord shall provide the following security measures for the Building:. Landlord reserves the right to modify these security measures upon reasonable notice to Tenant, provided the overall level of security is not materially decreased."</w:t>
      </w:r>
    </w:p>
    <w:p w14:paraId="5C61A9A3" w14:textId="77777777" w:rsidR="001D4D7F" w:rsidRPr="001D4D7F" w:rsidRDefault="001D4D7F" w:rsidP="001D4D7F">
      <w:r w:rsidRPr="001D4D7F">
        <w:t>○   Rationale/Source: This change is mandated by the Tenant Security Enhancement Act (TSEA) 2024, which explicitly requires lease agreements to detail the specific security measures provided, moving away from ambiguous references to "standard security". An internal memo confirmed the current template's deficiency in this regard. The TSEA compels a shift from general assurances to concrete commitments regarding security services. Listing specific measures significantly increases landlord accountability; failure to provide a specifically listed measure constitutes a clearer potential breach of the lease compared to failing to meet an undefined "standard." This necessitates close coordination between the legal and building operations/security teams to ensure the listed measures accurately reflect current, maintainable practices and avoid over-promising, which could create liability. The inclusion of a clause allowing for modification with notice, provided the overall security level is maintained, offers necessary operational flexibility.</w:t>
      </w:r>
    </w:p>
    <w:p w14:paraId="29B5B6EC" w14:textId="77777777" w:rsidR="001D4D7F" w:rsidRPr="001D4D7F" w:rsidRDefault="001D4D7F" w:rsidP="001D4D7F">
      <w:r w:rsidRPr="001D4D7F">
        <w:t>●   3.4 Additions Required: Section</w:t>
      </w:r>
    </w:p>
    <w:p w14:paraId="3B373402" w14:textId="77777777" w:rsidR="001D4D7F" w:rsidRPr="001D4D7F" w:rsidRDefault="001D4D7F" w:rsidP="001D4D7F">
      <w:r w:rsidRPr="001D4D7F">
        <w:t>○   Location 1: Modify the existing "Quiet Enjoyment" clause (e.g., Section 10.0).</w:t>
      </w:r>
    </w:p>
    <w:p w14:paraId="4FD2F403" w14:textId="77777777" w:rsidR="001D4D7F" w:rsidRPr="001D4D7F" w:rsidRDefault="001D4D7F" w:rsidP="001D4D7F">
      <w:r w:rsidRPr="001D4D7F">
        <w:t>○   Addition 5 (Content): "[Add to existing clause] Landlord shall use reasonable efforts to prevent excessive noise originating from Common Areas under Landlord's direct control (such as lobbies, corridors adjacent to the Leased Premises, and areas designated for Landlord's maintenance activities) from materially interfering with Tenant's use and enjoyment of the Leased Premises during Tenant's standard business hours. For purposes of this clause, 'reasonable efforts' includes establishing and enforcing building rules regarding noise and scheduling disruptive Landlord work outside of Tenant's standard business hours where practicable. A breach of this provision, if not cured after reasonable notice, may entitle Tenant to remedies including [Insert specific remedies, e.g., 'rent abatement proportional to the interference' or 'participation in mediation facilitated by Landlord'], in addition to other remedies available under this Lease or at law."</w:t>
      </w:r>
    </w:p>
    <w:p w14:paraId="6AE7F546" w14:textId="77777777" w:rsidR="001D4D7F" w:rsidRPr="001D4D7F" w:rsidRDefault="001D4D7F" w:rsidP="001D4D7F">
      <w:r w:rsidRPr="001D4D7F">
        <w:t xml:space="preserve">○   Rationale/Source: This addition responds directly to the findings in Tenant Union v. Metro Properties (CV-2024-987), which established that standard quiet enjoyment clauses must explicitly address potential noise disturbances originating from landlord-controlled common areas during business hours. The ruling also stressed the importance of </w:t>
      </w:r>
      <w:r w:rsidRPr="001D4D7F">
        <w:lastRenderedPageBreak/>
        <w:t>incorporating specific, practical remedies beyond the drastic measure of lease termination. The court's decision effectively expands the traditional scope of the quiet enjoyment covenant, placing a more defined obligation on landlords regarding noise management in common areas. It also necessitates moving beyond termination as the sole remedy for such breaches. Consequently, building management practices may require adjustments, such as stricter enforcement of building rules concerning noise and more careful scheduling of maintenance activities. The introduction of specific, non-termination remedies like rent abatement or mediation provides tenants with more accessible recourse and may lead to these options being invoked more frequently.</w:t>
      </w:r>
    </w:p>
    <w:p w14:paraId="5FB964A1" w14:textId="77777777" w:rsidR="001D4D7F" w:rsidRPr="001D4D7F" w:rsidRDefault="001D4D7F" w:rsidP="001D4D7F">
      <w:r w:rsidRPr="001D4D7F">
        <w:t>●   3.5 Additions Required: Section</w:t>
      </w:r>
    </w:p>
    <w:p w14:paraId="66566B66" w14:textId="77777777" w:rsidR="001D4D7F" w:rsidRPr="001D4D7F" w:rsidRDefault="001D4D7F" w:rsidP="001D4D7F">
      <w:r w:rsidRPr="001D4D7F">
        <w:t>○   Location 1: Within the definition of Operating Expenses that can be passed through to the Tenant as Additional Rent (e.g., Section 4.0).</w:t>
      </w:r>
    </w:p>
    <w:p w14:paraId="1C630C03" w14:textId="77777777" w:rsidR="001D4D7F" w:rsidRPr="001D4D7F" w:rsidRDefault="001D4D7F" w:rsidP="001D4D7F">
      <w:r w:rsidRPr="001D4D7F">
        <w:t>○   Addition 6 (Content): "Costs reasonably incurred by Landlord after the Commencement Date to comply with the Sustainable Commercial Buildings Act (SCBA) 2024 and similar future environmental regulations applicable to the Building, including but not limited to costs of mandatory energy audits, compliance reporting software or services, and consultant fees related to SCBA compliance. Provided, however, that the pass-through of such specific SCBA-related costs in any calendar year shall not exceed an amount equal to one percent (1.0%) of the annual Base Rent payable by Tenant for that year. Capital expenditures related to SCBA compliance shall be amortized over their useful life as reasonably determined by Landlord in accordance with standard accounting practices."</w:t>
      </w:r>
    </w:p>
    <w:p w14:paraId="1ED08E68" w14:textId="77777777" w:rsidR="001D4D7F" w:rsidRPr="001D4D7F" w:rsidRDefault="001D4D7F" w:rsidP="001D4D7F">
      <w:r w:rsidRPr="001D4D7F">
        <w:t>○   Rationale/Source: This addition reflects a strategic decision informed by competitive analysis, which revealed that major competitors are incorporating clauses to pass through SCBA compliance costs to tenants. The SCBA imposes new operational costs on landlords, such as mandatory energy audits and annual reporting. Including this pass-through clause allows for the recovery of these legitimate regulatory expenses, maintaining competitive parity. The inclusion of a cap, set at 1.0% of the tenant's annual Base Rent (consistent with observed market practice), serves to mitigate potential tenant objections to uncapped cost exposure. This clause explicitly allocates a portion of the regulatory compliance risk to the tenant, up to a defined financial limit. Implementing this requires establishing meticulous internal accounting procedures to accurately track, allocate, and document SCBA-specific costs to ensure compliance with the pass-through terms and the application of the cap. This provision may also become a specific point of negotiation during lease discussions.</w:t>
      </w:r>
    </w:p>
    <w:p w14:paraId="41F3F1EA" w14:textId="77777777" w:rsidR="001D4D7F" w:rsidRPr="001D4D7F" w:rsidRDefault="001D4D7F" w:rsidP="001D4D7F">
      <w:r w:rsidRPr="001D4D7F">
        <w:t>4.0 Consolidated Table of Additions</w:t>
      </w:r>
    </w:p>
    <w:p w14:paraId="46947872" w14:textId="77777777" w:rsidR="001D4D7F" w:rsidRPr="001D4D7F" w:rsidRDefault="001D4D7F" w:rsidP="001D4D7F">
      <w:r w:rsidRPr="001D4D7F">
        <w:lastRenderedPageBreak/>
        <w:t>The following table provides a summary of the required additions to the Commercial Lease Agreement Template (v3.1) for quick reference during implementation.</w:t>
      </w:r>
    </w:p>
    <w:p w14:paraId="48DD9078" w14:textId="77777777" w:rsidR="001D4D7F" w:rsidRPr="001D4D7F" w:rsidRDefault="001D4D7F" w:rsidP="001D4D7F">
      <w:r w:rsidRPr="001D4D7F">
        <w:t>Addition ID Target Document Section (Example)   Specific Location/Instruction   Summary of Addition Content Primary Rationale/Source(s)</w:t>
      </w:r>
    </w:p>
    <w:p w14:paraId="76FC2A60" w14:textId="77777777" w:rsidR="001D4D7F" w:rsidRPr="001D4D7F" w:rsidRDefault="001D4D7F" w:rsidP="001D4D7F">
      <w:r w:rsidRPr="001D4D7F">
        <w:t xml:space="preserve">3.1.1   Section 5.0 Tenant Obligations  Add new subsection 5.X "Energy Efficiency Compliance"   Tenant compliance with energy targets   </w:t>
      </w:r>
    </w:p>
    <w:p w14:paraId="42F29C76" w14:textId="77777777" w:rsidR="001D4D7F" w:rsidRPr="001D4D7F" w:rsidRDefault="001D4D7F" w:rsidP="001D4D7F">
      <w:r w:rsidRPr="001D4D7F">
        <w:t>3.1.2   Section 5.0 Tenant Obligations  Add to new subsection 5.X "Energy Efficiency Compliance"    Tenant consent for energy data reporting    </w:t>
      </w:r>
    </w:p>
    <w:p w14:paraId="706930CF" w14:textId="77777777" w:rsidR="001D4D7F" w:rsidRPr="001D4D7F" w:rsidRDefault="001D4D7F" w:rsidP="001D4D7F">
      <w:r w:rsidRPr="001D4D7F">
        <w:t>3.2.1   Section 6.0 Landlord Obligations    Add new subsection 6.X "Energy Audit Disclosure"    Landlord disclosure of energy audit prior to lease execution    </w:t>
      </w:r>
    </w:p>
    <w:p w14:paraId="0E825C27" w14:textId="77777777" w:rsidR="001D4D7F" w:rsidRPr="001D4D7F" w:rsidRDefault="001D4D7F" w:rsidP="001D4D7F">
      <w:r w:rsidRPr="001D4D7F">
        <w:t>3.3.1   Section 7.0 Landlord Services   Modify existing Section 7.3 "Building Security" (or similar)    Replace general security statement with specific listed measures    </w:t>
      </w:r>
    </w:p>
    <w:p w14:paraId="3A160DD3" w14:textId="77777777" w:rsidR="001D4D7F" w:rsidRPr="001D4D7F" w:rsidRDefault="001D4D7F" w:rsidP="001D4D7F">
      <w:r w:rsidRPr="001D4D7F">
        <w:t>3.4.1   Section 10.0 Quiet Enjoyment    Modify existing "Quiet Enjoyment" clause    Enhanced quiet enjoyment re: common area noise &amp; specific remedies  </w:t>
      </w:r>
    </w:p>
    <w:p w14:paraId="7B1D2054" w14:textId="77777777" w:rsidR="001D4D7F" w:rsidRPr="001D4D7F" w:rsidRDefault="001D4D7F" w:rsidP="001D4D7F">
      <w:r w:rsidRPr="001D4D7F">
        <w:t>3.5.1   Section 4.0 Operating Costs Add to definition of Operating Expenses Pass-through of capped SCBA compliance costs    </w:t>
      </w:r>
    </w:p>
    <w:p w14:paraId="276E3E10" w14:textId="77777777" w:rsidR="001D4D7F" w:rsidRPr="001D4D7F" w:rsidRDefault="001D4D7F" w:rsidP="001D4D7F">
      <w:r w:rsidRPr="001D4D7F">
        <w:t>5.0 Concluding Remarks</w:t>
      </w:r>
    </w:p>
    <w:p w14:paraId="4B4FB5EB" w14:textId="77777777" w:rsidR="001D4D7F" w:rsidRPr="001D4D7F" w:rsidRDefault="001D4D7F" w:rsidP="001D4D7F">
      <w:r w:rsidRPr="001D4D7F">
        <w:t>●   Accuracy: It is critically important that these additions are implemented precisely as specified in Section 3.0 of this report. Accuracy in transcription and placement within the Commercial Lease Agreement Template (v3.1) is essential to ensure legal compliance with the SCBA 2024, TSEA 2024, and relevant case law, thereby maintaining the legal integrity and enforceability of the lease agreements.</w:t>
      </w:r>
    </w:p>
    <w:p w14:paraId="4C02C47F" w14:textId="77777777" w:rsidR="001D4D7F" w:rsidRPr="001D4D7F" w:rsidRDefault="001D4D7F" w:rsidP="001D4D7F">
      <w:r w:rsidRPr="001D4D7F">
        <w:t>●   Review: Following the incorporation of these changes into the template, a final review by qualified legal counsel is strongly recommended before the revised template is deployed for use in new lease negotiations. This review should confirm the accuracy of the amendments and their coherence within the overall document.</w:t>
      </w:r>
    </w:p>
    <w:p w14:paraId="21392AF5" w14:textId="77777777" w:rsidR="001D4D7F" w:rsidRPr="001D4D7F" w:rsidRDefault="001D4D7F" w:rsidP="001D4D7F">
      <w:r w:rsidRPr="001D4D7F">
        <w:t>●   Version Control: Robust version control procedures must be implemented. The updated template should be clearly designated with a new version number (e.g., v3.2) to distinguish it unequivocally from the previous version (v3.1) and prevent inadvertent use of the outdated template.</w:t>
      </w:r>
    </w:p>
    <w:p w14:paraId="2931C548" w14:textId="77777777" w:rsidR="001D4D7F" w:rsidRPr="001D4D7F" w:rsidRDefault="001D4D7F" w:rsidP="001D4D7F">
      <w:r w:rsidRPr="001D4D7F">
        <w:t xml:space="preserve">●   Further Action: The analysis undertaken to produce these amendments has highlighted several operational considerations that extend beyond simple text changes. These include </w:t>
      </w:r>
      <w:r w:rsidRPr="001D4D7F">
        <w:lastRenderedPageBreak/>
        <w:t>the need to develop or refine procedures for: pre-lease energy audit disclosures, setting and monitoring tenant energy targets, handling tenant energy data securely, verifying the provision of specified security measures, managing common area noise, and accurately tracking and allocating SCBA compliance costs for pass-through calculations. These matters warrant further attention and action by the relevant departments (e.g., Leasing, Property Management, Legal, Finance) to ensure effective implementation and ongoing compliance.</w:t>
      </w:r>
    </w:p>
    <w:p w14:paraId="756A318C" w14:textId="77777777" w:rsidR="001D4D7F" w:rsidRPr="001D4D7F" w:rsidRDefault="001D4D7F" w:rsidP="001D4D7F"/>
    <w:p w14:paraId="49346BE6" w14:textId="77777777" w:rsidR="001D4D7F" w:rsidRDefault="001D4D7F"/>
    <w:sectPr w:rsidR="001D4D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4D7F"/>
    <w:rsid w:val="001D4D7F"/>
    <w:rsid w:val="003C04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B9C19"/>
  <w15:chartTrackingRefBased/>
  <w15:docId w15:val="{1A3330A5-191C-478E-9939-F9CA060B1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4D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4D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4D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4D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4D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4D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4D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4D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4D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4D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4D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4D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4D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4D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4D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4D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4D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4D7F"/>
    <w:rPr>
      <w:rFonts w:eastAsiaTheme="majorEastAsia" w:cstheme="majorBidi"/>
      <w:color w:val="272727" w:themeColor="text1" w:themeTint="D8"/>
    </w:rPr>
  </w:style>
  <w:style w:type="paragraph" w:styleId="Title">
    <w:name w:val="Title"/>
    <w:basedOn w:val="Normal"/>
    <w:next w:val="Normal"/>
    <w:link w:val="TitleChar"/>
    <w:uiPriority w:val="10"/>
    <w:qFormat/>
    <w:rsid w:val="001D4D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4D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4D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4D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4D7F"/>
    <w:pPr>
      <w:spacing w:before="160"/>
      <w:jc w:val="center"/>
    </w:pPr>
    <w:rPr>
      <w:i/>
      <w:iCs/>
      <w:color w:val="404040" w:themeColor="text1" w:themeTint="BF"/>
    </w:rPr>
  </w:style>
  <w:style w:type="character" w:customStyle="1" w:styleId="QuoteChar">
    <w:name w:val="Quote Char"/>
    <w:basedOn w:val="DefaultParagraphFont"/>
    <w:link w:val="Quote"/>
    <w:uiPriority w:val="29"/>
    <w:rsid w:val="001D4D7F"/>
    <w:rPr>
      <w:i/>
      <w:iCs/>
      <w:color w:val="404040" w:themeColor="text1" w:themeTint="BF"/>
    </w:rPr>
  </w:style>
  <w:style w:type="paragraph" w:styleId="ListParagraph">
    <w:name w:val="List Paragraph"/>
    <w:basedOn w:val="Normal"/>
    <w:uiPriority w:val="34"/>
    <w:qFormat/>
    <w:rsid w:val="001D4D7F"/>
    <w:pPr>
      <w:ind w:left="720"/>
      <w:contextualSpacing/>
    </w:pPr>
  </w:style>
  <w:style w:type="character" w:styleId="IntenseEmphasis">
    <w:name w:val="Intense Emphasis"/>
    <w:basedOn w:val="DefaultParagraphFont"/>
    <w:uiPriority w:val="21"/>
    <w:qFormat/>
    <w:rsid w:val="001D4D7F"/>
    <w:rPr>
      <w:i/>
      <w:iCs/>
      <w:color w:val="0F4761" w:themeColor="accent1" w:themeShade="BF"/>
    </w:rPr>
  </w:style>
  <w:style w:type="paragraph" w:styleId="IntenseQuote">
    <w:name w:val="Intense Quote"/>
    <w:basedOn w:val="Normal"/>
    <w:next w:val="Normal"/>
    <w:link w:val="IntenseQuoteChar"/>
    <w:uiPriority w:val="30"/>
    <w:qFormat/>
    <w:rsid w:val="001D4D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4D7F"/>
    <w:rPr>
      <w:i/>
      <w:iCs/>
      <w:color w:val="0F4761" w:themeColor="accent1" w:themeShade="BF"/>
    </w:rPr>
  </w:style>
  <w:style w:type="character" w:styleId="IntenseReference">
    <w:name w:val="Intense Reference"/>
    <w:basedOn w:val="DefaultParagraphFont"/>
    <w:uiPriority w:val="32"/>
    <w:qFormat/>
    <w:rsid w:val="001D4D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2442</Words>
  <Characters>13926</Characters>
  <Application>Microsoft Office Word</Application>
  <DocSecurity>0</DocSecurity>
  <Lines>116</Lines>
  <Paragraphs>32</Paragraphs>
  <ScaleCrop>false</ScaleCrop>
  <Company/>
  <LinksUpToDate>false</LinksUpToDate>
  <CharactersWithSpaces>16336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Ballard</dc:creator>
  <cp:keywords/>
  <dc:description/>
  <cp:lastModifiedBy>William Ballard</cp:lastModifiedBy>
  <cp:revision>1</cp:revision>
  <dcterms:created xsi:type="dcterms:W3CDTF">2025-10-03T17:48:00Z</dcterms:created>
  <dcterms:modified xsi:type="dcterms:W3CDTF">2025-10-03T17:48:00Z</dcterms:modified>
</cp:coreProperties>
</file>