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ight="0" w:firstLine="720" w:left="0"/>
        <w:jc w:val="both"/>
        <w:rPr>
          <w:sz w:val="24"/>
          <w:szCs w:val="24"/>
          <w:highlight w:val="none"/>
        </w:rPr>
      </w:pPr>
      <w:r>
        <w:rPr>
          <w:sz w:val="24"/>
          <w:szCs w:val="24"/>
        </w:rPr>
        <w:t xml:space="preserve">Afin d’étudier le modèle du graphe de diffusion, nous avons pris l’initiative de créer un outil pour résoudre numériquement</w:t>
      </w:r>
      <w:r>
        <w:rPr>
          <w:sz w:val="24"/>
          <w:szCs w:val="24"/>
        </w:rPr>
        <w:t xml:space="preserve"> les équations de ce système. Plus particulièrement, il s’agit d’un système d’équations différentielles linéaires d’ordre 1. Par conséquent nous avons choisi d’emplo</w:t>
      </w:r>
      <w:r>
        <w:rPr>
          <w:sz w:val="24"/>
          <w:szCs w:val="24"/>
        </w:rPr>
        <w:t xml:space="preserve">yer un schéma d’Euler explicite pour la résolution approchée. Celui-ci donne des résultats très satisfaisants avec un pas de temps raisonnable, tout en étant peu coûteux en temps de calcul. Les résultats obtenus servent de support aux analyses ultérieures.</w:t>
      </w:r>
      <w:r>
        <w:rPr>
          <w:sz w:val="24"/>
          <w:szCs w:val="24"/>
          <w:highlight w:val="none"/>
        </w:rPr>
      </w:r>
      <w:r>
        <w:rPr>
          <w:sz w:val="24"/>
          <w:szCs w:val="24"/>
          <w:highlight w:val="none"/>
        </w:rPr>
      </w:r>
    </w:p>
    <w:p>
      <w:pPr>
        <w:pBdr/>
        <w:spacing/>
        <w:ind w:right="0" w:firstLine="720" w:left="0"/>
        <w:jc w:val="both"/>
        <w:rPr>
          <w:sz w:val="24"/>
          <w:szCs w:val="24"/>
          <w:highlight w:val="none"/>
        </w:rPr>
      </w:pPr>
      <w:r>
        <w:rPr>
          <w:sz w:val="24"/>
          <w:szCs w:val="24"/>
        </w:rPr>
        <w:t xml:space="preserve">Reprenons le système d’équations (machin) introduit à la partie (truc). En posant  U = (ux) e Mn1(R), G = (Gxy) e Mn(R) et C = diag(Cx) e Mn(R)</w:t>
      </w:r>
      <w:r>
        <w:rPr>
          <w:sz w:val="24"/>
          <w:szCs w:val="24"/>
        </w:rPr>
        <w:t xml:space="preserve"> l’équation différentielle se réécrit dU/dt = A*U où A = 1/C * (G - diag(sum(G)). (ajouter des étapes de calcul ?) On se donne un vecteur U0 de températures initiales pour le système</w:t>
      </w:r>
      <w:r>
        <w:rPr>
          <w:sz w:val="24"/>
          <w:szCs w:val="24"/>
          <w:highlight w:val="none"/>
        </w:rPr>
        <w:t xml:space="preserve">. Notre but est alors de résoudre de façon approchée le problème de Cauchy U(0) =</w:t>
      </w:r>
      <w:r>
        <w:rPr>
          <w:sz w:val="24"/>
          <w:szCs w:val="24"/>
          <w:highlight w:val="none"/>
        </w:rPr>
        <w:t xml:space="preserve"> U0, dU/dt=A*U. Pour un temps initial ti, un temps final tf et un pas de temps dt on cherche une solution Uxk sur l’intervalle de temps discrétisé {ti, ti+dt, ti+2dt, ..., tf}. Une solution est fournie par le schéma d’Euler explicite U(k+1) = Uk + dt*A*Uk.</w:t>
      </w:r>
      <w:r>
        <w:rPr>
          <w:sz w:val="24"/>
          <w:szCs w:val="24"/>
          <w:highlight w:val="none"/>
        </w:rPr>
      </w:r>
      <w:r>
        <w:rPr>
          <w:sz w:val="24"/>
          <w:szCs w:val="24"/>
          <w:highlight w:val="none"/>
        </w:rPr>
      </w:r>
    </w:p>
    <w:p>
      <w:pPr>
        <w:pBdr/>
        <w:spacing/>
        <w:ind w:right="0" w:firstLine="720" w:left="0"/>
        <w:jc w:val="both"/>
        <w:rPr>
          <w:highlight w:val="none"/>
        </w:rPr>
      </w:pPr>
      <w:r>
        <w:rPr>
          <w:sz w:val="24"/>
          <w:szCs w:val="24"/>
          <w:highlight w:val="none"/>
        </w:rPr>
        <w:t xml:space="preserve">Théorème : (ce théorème est un cas particulier d’un résultat de cours </w:t>
      </w:r>
      <w:r>
        <w:rPr>
          <w:sz w:val="24"/>
          <w:szCs w:val="24"/>
          <w:highlight w:val="none"/>
        </w:rPr>
        <w:t xml:space="preserve">de Modélisation en analyse) Le schéma d’Euler explicite est </w:t>
      </w:r>
      <w:r>
        <w:rPr>
          <w:i w:val="0"/>
          <w:iCs w:val="0"/>
          <w:sz w:val="24"/>
          <w:szCs w:val="24"/>
          <w:highlight w:val="none"/>
        </w:rPr>
        <w:t xml:space="preserve">convergent</w:t>
      </w:r>
      <w:r>
        <w:rPr>
          <w:i w:val="0"/>
          <w:iCs w:val="0"/>
          <w:sz w:val="24"/>
          <w:szCs w:val="24"/>
          <w:highlight w:val="none"/>
        </w:rPr>
        <w:t xml:space="preserve"> </w:t>
      </w:r>
      <w:r>
        <w:rPr>
          <w:i w:val="0"/>
          <w:iCs w:val="0"/>
          <w:sz w:val="24"/>
          <w:szCs w:val="24"/>
          <w:highlight w:val="none"/>
        </w:rPr>
        <w:t xml:space="preserve">au sens suivant : si Û(t) est la solution exacte et Uk la solution approchée,  max k ||Û(tk) – Uk|| -&gt; 0 quand dt -&gt; 0</w:t>
      </w:r>
      <w:r>
        <w:rPr>
          <w:highlight w:val="none"/>
        </w:rPr>
      </w:r>
      <w:r>
        <w:rPr>
          <w:highlight w:val="none"/>
        </w:rPr>
      </w:r>
    </w:p>
    <w:p>
      <w:pPr>
        <w:pBdr/>
        <w:spacing/>
        <w:ind w:right="0" w:firstLine="720" w:left="0"/>
        <w:jc w:val="both"/>
        <w:rPr>
          <w:sz w:val="24"/>
          <w:szCs w:val="24"/>
          <w:highlight w:val="none"/>
        </w:rPr>
      </w:pPr>
      <w:r>
        <w:rPr>
          <w:sz w:val="24"/>
          <w:szCs w:val="24"/>
          <w:highlight w:val="none"/>
        </w:rPr>
      </w:r>
      <w:r>
        <w:rPr>
          <w:sz w:val="24"/>
          <w:szCs w:val="24"/>
          <w:highlight w:val="none"/>
        </w:rPr>
        <w:t xml:space="preserve">L’implémentation de ce schéma est faite en Python 3.</w:t>
      </w:r>
      <w:r>
        <w:rPr>
          <w:sz w:val="24"/>
          <w:szCs w:val="24"/>
          <w:highlight w:val="none"/>
        </w:rPr>
        <w:t xml:space="preserve">12 à l’aide de la librairie numpy, et de matplotlib pour les tracés. Les détails d’implémentation sont disponibles à l’annexe (truc). Nous avons également créé un outil d’animation des graphes, qui ne peut malheureusement pas être illustré dans ce rapport.</w:t>
      </w:r>
      <w:r>
        <w:rPr>
          <w:bCs w:val="0"/>
          <w:i w:val="0"/>
          <w:sz w:val="28"/>
          <w:szCs w:val="28"/>
          <w:highlight w:val="none"/>
        </w:rPr>
      </w:r>
      <w:r>
        <w:rPr>
          <w:sz w:val="24"/>
          <w:szCs w:val="24"/>
          <w:highlight w:val="none"/>
        </w:rPr>
      </w:r>
    </w:p>
    <w:p>
      <w:pPr>
        <w:pBdr/>
        <w:spacing/>
        <w:ind w:right="0" w:firstLine="720" w:left="0"/>
        <w:jc w:val="both"/>
        <w:rPr>
          <w:sz w:val="24"/>
          <w:szCs w:val="24"/>
          <w:highlight w:val="none"/>
        </w:rPr>
      </w:pPr>
      <w:r>
        <w:rPr>
          <w:sz w:val="24"/>
          <w:szCs w:val="24"/>
          <w:highlight w:val="none"/>
        </w:rPr>
        <w:t xml:space="preserve">Voici l’exemple d’un graphe à deux sommets de capacité 1, reliés par une arête de conductance 1 et initialisés aux températures 0 et 10.</w:t>
      </w:r>
      <w:r>
        <w:rPr>
          <w:bCs w:val="0"/>
          <w:i w:val="0"/>
          <w:sz w:val="28"/>
          <w:szCs w:val="28"/>
          <w:highlight w:val="none"/>
        </w:rPr>
      </w:r>
    </w:p>
    <w:p>
      <w:pPr>
        <w:pBdr/>
        <w:spacing/>
        <w:ind w:right="0" w:firstLine="720" w:left="0"/>
        <w:jc w:val="both"/>
        <w:rPr>
          <w:sz w:val="24"/>
          <w:szCs w:val="24"/>
          <w:highlight w:val="none"/>
        </w:rPr>
      </w:pPr>
      <w:r>
        <w:rPr>
          <w:sz w:val="24"/>
          <w:szCs w:val="24"/>
          <w:highlight w:val="none"/>
        </w:rPr>
        <w:t xml:space="preserve">[fig graphe] [fig temp]</w:t>
      </w:r>
      <w:r>
        <w:rPr>
          <w:sz w:val="24"/>
          <w:szCs w:val="24"/>
          <w:highlight w:val="none"/>
        </w:rPr>
      </w:r>
    </w:p>
    <w:p>
      <w:pPr>
        <w:pBdr/>
        <w:spacing/>
        <w:ind w:right="0" w:firstLine="720" w:left="0"/>
        <w:jc w:val="both"/>
        <w:rPr>
          <w:bCs w:val="0"/>
          <w:i w:val="0"/>
          <w:sz w:val="28"/>
          <w:szCs w:val="28"/>
          <w:highlight w:val="none"/>
        </w:rPr>
      </w:pPr>
      <w:r>
        <w:rPr>
          <w:sz w:val="24"/>
          <w:szCs w:val="24"/>
          <w:highlight w:val="none"/>
        </w:rPr>
      </w:r>
      <w:r>
        <w:rPr>
          <w:sz w:val="24"/>
          <w:szCs w:val="24"/>
          <w:highlight w:val="none"/>
        </w:rPr>
      </w:r>
    </w:p>
    <w:p>
      <w:pPr>
        <w:pBdr/>
        <w:spacing/>
        <w:ind w:right="0" w:firstLine="720" w:left="0"/>
        <w:jc w:val="both"/>
        <w:rPr>
          <w:sz w:val="24"/>
          <w:szCs w:val="24"/>
          <w:highlight w:val="none"/>
        </w:rPr>
      </w:pPr>
      <w:r>
        <w:rPr>
          <w:sz w:val="24"/>
          <w:szCs w:val="24"/>
          <w:highlight w:val="none"/>
        </w:rPr>
      </w:r>
      <w:r>
        <w:rPr>
          <w:sz w:val="24"/>
          <w:szCs w:val="24"/>
          <w:highlight w:val="none"/>
        </w:rPr>
      </w:r>
      <w:r>
        <w:rPr>
          <w:sz w:val="24"/>
          <w:szCs w:val="24"/>
          <w:highlight w:val="none"/>
        </w:rPr>
      </w:r>
    </w:p>
    <w:p>
      <w:pPr>
        <w:pBdr/>
        <w:spacing/>
        <w:ind w:right="0" w:firstLine="720" w:left="0"/>
        <w:jc w:val="both"/>
        <w:rPr>
          <w:sz w:val="24"/>
          <w:szCs w:val="24"/>
          <w:highlight w:val="none"/>
        </w:rPr>
      </w:pPr>
      <w:r>
        <w:rPr>
          <w:sz w:val="24"/>
          <w:szCs w:val="24"/>
          <w:highlight w:val="none"/>
        </w:rPr>
        <w:t xml:space="preserve">Conditions aux limites : En l’état actuel, le modèle ne permet de représenter que des </w:t>
      </w:r>
      <w:r>
        <w:rPr>
          <w:sz w:val="24"/>
          <w:szCs w:val="24"/>
          <w:highlight w:val="none"/>
        </w:rPr>
        <w:t xml:space="preserve">systèmes isolés en régime de diffusion pure. Cepedant la modélisation des interactions entre un bâtiment, le milieu extérieur, et les sources de chaleur internes nécessite de pouvoir étudier des régimes forcés et des conditions aux limites plus complexes. </w:t>
      </w:r>
      <w:r>
        <w:rPr>
          <w:sz w:val="24"/>
          <w:szCs w:val="24"/>
          <w:highlight w:val="none"/>
        </w:rPr>
      </w:r>
      <w:r>
        <w:rPr>
          <w:sz w:val="24"/>
          <w:szCs w:val="24"/>
          <w:highlight w:val="none"/>
        </w:rPr>
      </w:r>
    </w:p>
    <w:p>
      <w:pPr>
        <w:pBdr/>
        <w:spacing/>
        <w:ind w:right="0" w:firstLine="720" w:left="0"/>
        <w:jc w:val="both"/>
        <w:rPr>
          <w:sz w:val="24"/>
          <w:szCs w:val="24"/>
        </w:rPr>
      </w:pPr>
      <w:r>
        <w:rPr>
          <w:sz w:val="24"/>
          <w:szCs w:val="24"/>
          <w:highlight w:val="none"/>
        </w:rPr>
      </w:r>
      <w:r>
        <w:rPr>
          <w:sz w:val="24"/>
          <w:szCs w:val="24"/>
        </w:rPr>
      </w:r>
      <w:r>
        <w:rPr>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ONLYOFFICE/8.3.3.21</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2025-05-14T14:50:57Z</dcterms:modified>
</cp:coreProperties>
</file>