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10.5 Small Group · Group 2 — Homework</w:t>
      </w:r>
    </w:p>
    <w:p>
      <w:pPr>
        <w:spacing w:after="160" w:before="0"/>
      </w:pPr>
      <w:r>
        <w:rPr>
          <w:i/>
          <w:iCs/>
        </w:rPr>
        <w:t xml:space="preserve">Lesson 10-5-group2  •  Standard MPP.7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create and describe geometric designs using repetition, patterns, and rhythm, and use a pattern unit to predict what comes next, explain how I can tell, and judge a case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petition" descr="Picture illustrating the vocabulary word &quot;repetition&quot;" title="repet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repetition (repetición)</w:t>
      </w:r>
      <w:r>
        <w:t xml:space="preserve"> — The same object, shape, or form repeated multiple times.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attern" descr="Picture illustrating the vocabulary word &quot;pattern&quot;" title="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pattern (patrón)</w:t>
      </w:r>
      <w:r>
        <w:t xml:space="preserve"> — A set of objects or shapes that are repeated and arranged in a regular order.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attern unit" descr="Picture illustrating the vocabulary word &quot;pattern unit&quot;" title="pattern u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pattern unit (unidad del patrón)</w:t>
      </w:r>
      <w:r>
        <w:t xml:space="preserve"> — The smallest chunk of a pattern that repeats.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hythm" descr="Picture illustrating the vocabulary word &quot;rhythm&quot;" title="rhyt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rhythm (ritmo)</w:t>
      </w:r>
      <w:r>
        <w:t xml:space="preserve"> — A design element created by varying the placement, size, orientation, or order of the same objects or shapes.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edictability" descr="Picture illustrating the vocabulary word &quot;predictability&quot;" title="predictabi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predictability (previsibilidad)</w:t>
      </w:r>
      <w:r>
        <w:t xml:space="preserve"> — Being able to know what comes next because the design follows a rule.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The pattern unit circle-square-triangle repeats. What is shape number 12?</w:t>
      </w:r>
    </w:p>
    <w:p>
      <w:pPr>
        <w:spacing w:after="40" w:before="0"/>
      </w:pPr>
      <w:r>
        <w:t xml:space="preserve">     A. The pink circle</w:t>
      </w:r>
    </w:p>
    <w:p>
      <w:pPr>
        <w:spacing w:after="40" w:before="0"/>
      </w:pPr>
      <w:r>
        <w:t xml:space="preserve">     B. The blue triangle</w:t>
      </w:r>
    </w:p>
    <w:p>
      <w:pPr>
        <w:spacing w:after="40" w:before="0"/>
      </w:pPr>
      <w:r>
        <w:t xml:space="preserve">     C. The purple square</w:t>
      </w:r>
    </w:p>
    <w:p>
      <w:pPr>
        <w:spacing w:after="40" w:before="0"/>
      </w:pPr>
      <w:r>
        <w:t xml:space="preserve">     D. It cannot be determined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Same pattern. What is shape number 20?</w:t>
      </w:r>
    </w:p>
    <w:p>
      <w:pPr>
        <w:spacing w:after="40" w:before="0"/>
      </w:pPr>
      <w:r>
        <w:t xml:space="preserve">     A. The purple square</w:t>
      </w:r>
    </w:p>
    <w:p>
      <w:pPr>
        <w:spacing w:after="40" w:before="0"/>
      </w:pPr>
      <w:r>
        <w:t xml:space="preserve">     B. The pink circle</w:t>
      </w:r>
    </w:p>
    <w:p>
      <w:pPr>
        <w:spacing w:after="40" w:before="0"/>
      </w:pPr>
      <w:r>
        <w:t xml:space="preserve">     C. The blue triangle</w:t>
      </w:r>
    </w:p>
    <w:p>
      <w:pPr>
        <w:spacing w:after="40" w:before="0"/>
      </w:pPr>
      <w:r>
        <w:t xml:space="preserve">     D. The 20th shape starts a new pattern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How many COMPLETE pattern units appear in the first 18 shapes of the circle-square-triangle border?</w:t>
      </w:r>
    </w:p>
    <w:p>
      <w:pPr>
        <w:spacing w:after="40" w:before="0"/>
      </w:pPr>
      <w:r>
        <w:t xml:space="preserve">     A. 3 units</w:t>
      </w:r>
    </w:p>
    <w:p>
      <w:pPr>
        <w:spacing w:after="40" w:before="0"/>
      </w:pPr>
      <w:r>
        <w:t xml:space="preserve">     B. 6 units</w:t>
      </w:r>
    </w:p>
    <w:p>
      <w:pPr>
        <w:spacing w:after="40" w:before="0"/>
      </w:pPr>
      <w:r>
        <w:t xml:space="preserve">     C. 9 units</w:t>
      </w:r>
    </w:p>
    <w:p>
      <w:pPr>
        <w:spacing w:after="40" w:before="0"/>
      </w:pPr>
      <w:r>
        <w:t xml:space="preserve">     D. 15 units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painting shows circles whose colors, sizes, and thickness vary, along with the number of concentric circles inside each one. Describe how the painting demonstrates rhythm.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052a910374073e948c2da28fc7c8616b210ab4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10.5 Small Group · Group 2</dc:title>
  <dc:creator>Neft Teacher</dc:creator>
  <dc:description>Homework — 10.5 Small Group · Group 2</dc:description>
  <cp:lastModifiedBy>Un-named</cp:lastModifiedBy>
  <cp:revision>1</cp:revision>
  <dcterms:created xsi:type="dcterms:W3CDTF">2026-10-20T13:17:52.535Z</dcterms:created>
  <dcterms:modified xsi:type="dcterms:W3CDTF">2026-10-20T13:17:52.535Z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