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  (Flagship)</w:t>
      </w:r>
    </w:p>
    <w:p>
      <w:pPr>
        <w:spacing w:after="60"/>
      </w:pPr>
      <w:r>
        <w:rPr>
          <w:color w:val="5F6F80"/>
          <w:sz w:val="19"/>
          <w:szCs w:val="19"/>
        </w:rPr>
        <w:t xml:space="preserve">Lesson 3-1-flagship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Ratio</w:t>
      </w:r>
      <w:r>
        <w:rPr>
          <w:i/>
          <w:iCs/>
          <w:color w:val="5F6F80"/>
          <w:sz w:val="20"/>
          <w:szCs w:val="20"/>
        </w:rPr>
        <w:t xml:space="preserve">  ·  Razón</w:t>
      </w:r>
    </w:p>
    <w:p>
      <w:pPr>
        <w:spacing w:after="160"/>
      </w:pPr>
      <w:r>
        <w:rPr>
          <w:sz w:val="21"/>
          <w:szCs w:val="21"/>
        </w:rPr>
        <w:t xml:space="preserve">A way to compare two amounts, like 3 to 2.</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Comparison</w:t>
      </w:r>
      <w:r>
        <w:rPr>
          <w:i/>
          <w:iCs/>
          <w:color w:val="5F6F80"/>
          <w:sz w:val="20"/>
          <w:szCs w:val="20"/>
        </w:rPr>
        <w:t xml:space="preserve">  ·  Comparación</w:t>
      </w:r>
    </w:p>
    <w:p>
      <w:pPr>
        <w:spacing w:after="160"/>
      </w:pPr>
      <w:r>
        <w:rPr>
          <w:sz w:val="21"/>
          <w:szCs w:val="21"/>
        </w:rPr>
        <w:t xml:space="preserve">Looking at two or more amounts to see how they are related.</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Part-to-part</w:t>
      </w:r>
      <w:r>
        <w:rPr>
          <w:i/>
          <w:iCs/>
          <w:color w:val="5F6F80"/>
          <w:sz w:val="20"/>
          <w:szCs w:val="20"/>
        </w:rPr>
        <w:t xml:space="preserve">  ·  Parte a parte</w:t>
      </w:r>
    </w:p>
    <w:p>
      <w:pPr>
        <w:spacing w:after="160"/>
      </w:pPr>
      <w:r>
        <w:rPr>
          <w:sz w:val="21"/>
          <w:szCs w:val="21"/>
        </w:rPr>
        <w:t xml:space="preserve">A ratio comparing one part of a group to another part.</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Part-to-whole</w:t>
      </w:r>
      <w:r>
        <w:rPr>
          <w:i/>
          <w:iCs/>
          <w:color w:val="5F6F80"/>
          <w:sz w:val="20"/>
          <w:szCs w:val="20"/>
        </w:rPr>
        <w:t xml:space="preserve">  ·  Parte a todo</w:t>
      </w:r>
    </w:p>
    <w:p>
      <w:pPr>
        <w:spacing w:after="160"/>
      </w:pPr>
      <w:r>
        <w:rPr>
          <w:sz w:val="21"/>
          <w:szCs w:val="21"/>
        </w:rPr>
        <w:t xml:space="preserve">A ratio comparing one part to the whole group.</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Colon notation</w:t>
      </w:r>
      <w:r>
        <w:rPr>
          <w:i/>
          <w:iCs/>
          <w:color w:val="5F6F80"/>
          <w:sz w:val="20"/>
          <w:szCs w:val="20"/>
        </w:rPr>
        <w:t xml:space="preserve">  ·  Notación con dos puntos</w:t>
      </w:r>
    </w:p>
    <w:p>
      <w:pPr>
        <w:spacing w:after="160"/>
      </w:pPr>
      <w:r>
        <w:rPr>
          <w:sz w:val="21"/>
          <w:szCs w:val="21"/>
        </w:rPr>
        <w:t xml:space="preserve">Writing a ratio with two dots between the numbers, like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signature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wrote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At the Prep Station you sorted the chef's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In Menu Planning 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b/>
          <w:bCs/>
          <w:color w:val="1FA6A2"/>
          <w:sz w:val="20"/>
          <w:szCs w:val="20"/>
        </w:rPr>
        <w:t xml:space="preserve">Hint (optional): </w:t>
      </w:r>
      <w:r>
        <w:rPr>
          <w:sz w:val="20"/>
          <w:szCs w:val="20"/>
        </w:rPr>
        <w:t xml:space="preserve">Try starting with the word "Ratio" or "Part-to-part".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660e9a25b1ed82760029478c85b216c74c06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2026-06-01T16:14:16.803Z</dcterms:created>
  <dcterms:modified xsi:type="dcterms:W3CDTF">2026-06-01T16:14:16.803Z</dcterms:modified>
</cp:coreProperties>
</file>

<file path=docProps/custom.xml><?xml version="1.0" encoding="utf-8"?>
<Properties xmlns="http://schemas.openxmlformats.org/officeDocument/2006/custom-properties" xmlns:vt="http://schemas.openxmlformats.org/officeDocument/2006/docPropsVTypes"/>
</file>