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 — </w:t>
      </w:r>
      <w:r>
        <w:rPr>
          <w:sz w:val="20"/>
          <w:szCs w:val="20"/>
        </w:rPr>
        <w:t xml:space="preserve">A problem designed to be played with — it has rules, a goal, and room to imagine solutions.</w:t>
      </w:r>
      <w:r>
        <w:rPr>
          <w:i/>
          <w:iCs/>
          <w:color w:val="5F6F80"/>
          <w:sz w:val="18"/>
          <w:szCs w:val="18"/>
        </w:rPr>
        <w:br/>
        <w:t xml:space="preserve">rompecabezas — Un problema diseñado para jugarse: tiene reglas, una meta y espacio para imaginar soluciones.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A rule that tells you how to get the next value in a pattern from the one before it.</w:t>
      </w:r>
      <w:r>
        <w:rPr>
          <w:i/>
          <w:iCs/>
          <w:color w:val="5F6F80"/>
          <w:sz w:val="18"/>
          <w:szCs w:val="18"/>
        </w:rPr>
        <w:br/>
        <w:t xml:space="preserve">regla del patrón — Una regla que te dice cómo obtener el siguiente valor de un patrón a partir del anterior.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 — </w:t>
      </w:r>
      <w:r>
        <w:rPr>
          <w:sz w:val="20"/>
          <w:szCs w:val="20"/>
        </w:rPr>
        <w:t xml:space="preserve">To say what will happen before it happens, using a pattern or reasoning.</w:t>
      </w:r>
      <w:r>
        <w:rPr>
          <w:i/>
          <w:iCs/>
          <w:color w:val="5F6F80"/>
          <w:sz w:val="18"/>
          <w:szCs w:val="18"/>
        </w:rPr>
        <w:br/>
        <w:t xml:space="preserve">predecir — Decir lo que va a pasar antes de que pase, usando un patrón o el razonamiento.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 — </w:t>
      </w:r>
      <w:r>
        <w:rPr>
          <w:sz w:val="20"/>
          <w:szCs w:val="20"/>
        </w:rPr>
        <w:t xml:space="preserve">To arrange information — often in a table — so patterns become easier to see.</w:t>
      </w:r>
      <w:r>
        <w:rPr>
          <w:i/>
          <w:iCs/>
          <w:color w:val="5F6F80"/>
          <w:sz w:val="18"/>
          <w:szCs w:val="18"/>
        </w:rPr>
        <w:br/>
        <w:t xml:space="preserve">organizar — Ordenar la información, muchas veces en una tabla, para que los patrones sean más fáciles de ver.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states 'double and add 1' and checks it against both jumps (1→3 and 3→7). A weak answer only notices the numbers are growing without naming the rule.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puzzle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moves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move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Double the number of steps and add 1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Multiply the number of steps by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puzzle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organize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 moves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Placing a larger disc on top of a smaller disc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Doubling the previous number of steps but forgetting to add 1 — answering 14 instead of 15 for four discs, or 30 instead of 31 for five.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The discs in the same order — smallest on top to largest on bottom — but on a different rod</w:t>
      </w:r>
      <w:r>
        <w:rPr>
          <w:i/>
          <w:iCs/>
          <w:color w:val="5F6F80"/>
          <w:sz w:val="19"/>
          <w:szCs w:val="19"/>
        </w:rPr>
        <w:t xml:space="preserve">  — The goal is to rebuild the whole stack, smallest to largest, on a different rod.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 move and 3 moves</w:t>
      </w:r>
      <w:r>
        <w:rPr>
          <w:i/>
          <w:iCs/>
          <w:color w:val="5F6F80"/>
          <w:sz w:val="19"/>
          <w:szCs w:val="19"/>
        </w:rPr>
        <w:t xml:space="preserve">  — You can solve a one-disc tower in 1 step and a two-disc tower in 3 steps.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Double the number of steps and add 1</w:t>
      </w:r>
      <w:r>
        <w:rPr>
          <w:i/>
          <w:iCs/>
          <w:color w:val="5F6F80"/>
          <w:sz w:val="19"/>
          <w:szCs w:val="19"/>
        </w:rPr>
        <w:t xml:space="preserve">  — 1 × 2 + 1 = 3 and 3 × 2 + 1 = 7, so each new disc doubles the steps and adds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15 steps</w:t>
      </w:r>
      <w:r>
        <w:rPr>
          <w:i/>
          <w:iCs/>
          <w:color w:val="5F6F80"/>
          <w:sz w:val="19"/>
          <w:szCs w:val="19"/>
        </w:rPr>
        <w:t xml:space="preserve">  — A three-disc tower takes 7 steps, so a four-disc tower takes 7 × 2 + 1 = 15 steps.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  <w:r>
        <w:rPr>
          <w:i/>
          <w:iCs/>
          <w:color w:val="5F6F80"/>
          <w:sz w:val="19"/>
          <w:szCs w:val="19"/>
        </w:rPr>
        <w:t xml:space="preserve">  — The summary names both moves: imagining different ways to visualize the problem, and looking for patterns or relationships that help us think logically.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2026-08-12T18:28:16.245Z</dcterms:created>
  <dcterms:modified xsi:type="dcterms:W3CDTF">2026-08-12T18:28:16.245Z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