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5.4–5.5 Catch-Up — Homework</w:t>
      </w:r>
    </w:p>
    <w:p>
      <w:pPr>
        <w:spacing w:after="160" w:before="0"/>
      </w:pPr>
      <w:r>
        <w:rPr>
          <w:i/>
          <w:iCs/>
        </w:rPr>
        <w:t xml:space="preserve">Lesson 5-4-catchup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5.4–5.5 by using each lesson's big idea in mixed practice.</w:t>
      </w:r>
    </w:p>
    <w:p>
      <w:pPr>
        <w:spacing w:after="60" w:before="0"/>
      </w:pPr>
      <w:r>
        <w:t xml:space="preserve">Language: I can explain which lesson's big idea I used and how, using key vocabulary from Lessons 5.4–5.5.</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5.4)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(Lesson 5.4)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(Lesson 5.4)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6%"/>
          </w:tcPr>
          <w:p>
            <w:r>
              <w:rPr>
                <w:b/>
                <w:bCs/>
              </w:rPr>
              <w:t xml:space="preserve">Polygon</w:t>
            </w:r>
          </w:p>
        </w:tc>
        <w:tc>
          <w:tcPr>
            <w:tcW w:type="pct" w:w="16%"/>
          </w:tcPr>
          <w:p>
            <w:r>
              <w:rPr>
                <w:b/>
                <w:bCs/>
              </w:rPr>
              <w:t xml:space="preserve">Number of Triangles</w:t>
            </w:r>
          </w:p>
        </w:tc>
        <w:tc>
          <w:tcPr>
            <w:tcW w:type="pct" w:w="16%"/>
          </w:tcPr>
          <w:p>
            <w:r>
              <w:rPr>
                <w:b/>
                <w:bCs/>
              </w:rPr>
              <w:t xml:space="preserve">Triangle Base</w:t>
            </w:r>
          </w:p>
        </w:tc>
        <w:tc>
          <w:tcPr>
            <w:tcW w:type="pct" w:w="16%"/>
          </w:tcPr>
          <w:p>
            <w:r>
              <w:rPr>
                <w:b/>
                <w:bCs/>
              </w:rPr>
              <w:t xml:space="preserve">Triangle Height</w:t>
            </w:r>
          </w:p>
        </w:tc>
        <w:tc>
          <w:tcPr>
            <w:tcW w:type="pct" w:w="16%"/>
          </w:tcPr>
          <w:p>
            <w:r>
              <w:rPr>
                <w:b/>
                <w:bCs/>
              </w:rPr>
              <w:t xml:space="preserve">Area of One Triangle</w:t>
            </w:r>
          </w:p>
        </w:tc>
        <w:tc>
          <w:tcPr>
            <w:tcW w:type="pct" w:w="16%"/>
          </w:tcPr>
          <w:p>
            <w:r>
              <w:rPr>
                <w:b/>
                <w:bCs/>
              </w:rPr>
              <w:t xml:space="preserve">Total Area</w:t>
            </w:r>
          </w:p>
        </w:tc>
      </w:tr>
      <w:tr>
        <w:tc>
          <w:tcPr>
            <w:tcW w:type="pct" w:w="16%"/>
          </w:tcPr>
          <w:p>
            <w:r>
              <w:rPr>
                <w:b w:val="false"/>
                <w:bCs w:val="false"/>
              </w:rPr>
              <w:t xml:space="preserve">Hexagon</w:t>
            </w:r>
          </w:p>
        </w:tc>
        <w:tc>
          <w:tcPr>
            <w:tcW w:type="pct" w:w="16%"/>
          </w:tcPr>
          <w:p>
            <w:r>
              <w:rPr>
                <w:b w:val="false"/>
                <w:bCs w:val="false"/>
              </w:rPr>
              <w:t xml:space="preserve">6</w:t>
            </w:r>
          </w:p>
        </w:tc>
        <w:tc>
          <w:tcPr>
            <w:tcW w:type="pct" w:w="16%"/>
          </w:tcPr>
          <w:p>
            <w:r>
              <w:rPr>
                <w:b w:val="false"/>
                <w:bCs w:val="false"/>
              </w:rPr>
              <w:t xml:space="preserve">6 ft</w:t>
            </w:r>
          </w:p>
        </w:tc>
        <w:tc>
          <w:tcPr>
            <w:tcW w:type="pct" w:w="16%"/>
          </w:tcPr>
          <w:p>
            <w:r>
              <w:rPr>
                <w:b w:val="false"/>
                <w:bCs w:val="false"/>
              </w:rPr>
              <w:t xml:space="preserve">5.2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Pentagon</w:t>
            </w:r>
          </w:p>
        </w:tc>
        <w:tc>
          <w:tcPr>
            <w:tcW w:type="pct" w:w="16%"/>
          </w:tcPr>
          <w:p>
            <w:r>
              <w:rPr>
                <w:b w:val="false"/>
                <w:bCs w:val="false"/>
              </w:rPr>
              <w:t xml:space="preserve">5</w:t>
            </w:r>
          </w:p>
        </w:tc>
        <w:tc>
          <w:tcPr>
            <w:tcW w:type="pct" w:w="16%"/>
          </w:tcPr>
          <w:p>
            <w:r>
              <w:rPr>
                <w:b w:val="false"/>
                <w:bCs w:val="false"/>
              </w:rPr>
              <w:t xml:space="preserve">8 ft</w:t>
            </w:r>
          </w:p>
        </w:tc>
        <w:tc>
          <w:tcPr>
            <w:tcW w:type="pct" w:w="16%"/>
          </w:tcPr>
          <w:p>
            <w:r>
              <w:rPr>
                <w:b w:val="false"/>
                <w:bCs w:val="false"/>
              </w:rPr>
              <w:t xml:space="preserve">5.5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Square</w:t>
            </w:r>
          </w:p>
        </w:tc>
        <w:tc>
          <w:tcPr>
            <w:tcW w:type="pct" w:w="16%"/>
          </w:tcPr>
          <w:p>
            <w:r>
              <w:rPr>
                <w:b w:val="false"/>
                <w:bCs w:val="false"/>
              </w:rPr>
              <w:t xml:space="preserve">4</w:t>
            </w:r>
          </w:p>
        </w:tc>
        <w:tc>
          <w:tcPr>
            <w:tcW w:type="pct" w:w="16%"/>
          </w:tcPr>
          <w:p>
            <w:r>
              <w:rPr>
                <w:b w:val="false"/>
                <w:bCs w:val="false"/>
              </w:rPr>
              <w:t xml:space="preserve">5 ft</w:t>
            </w:r>
          </w:p>
        </w:tc>
        <w:tc>
          <w:tcPr>
            <w:tcW w:type="pct" w:w="16%"/>
          </w:tcPr>
          <w:p>
            <w:r>
              <w:rPr>
                <w:b w:val="false"/>
                <w:bCs w:val="false"/>
              </w:rPr>
              <w:t xml:space="preserve">4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Octagon</w:t>
            </w:r>
          </w:p>
        </w:tc>
        <w:tc>
          <w:tcPr>
            <w:tcW w:type="pct" w:w="16%"/>
          </w:tcPr>
          <w:p>
            <w:r>
              <w:rPr>
                <w:b w:val="false"/>
                <w:bCs w:val="false"/>
              </w:rPr>
              <w:t xml:space="preserve">8</w:t>
            </w:r>
          </w:p>
        </w:tc>
        <w:tc>
          <w:tcPr>
            <w:tcW w:type="pct" w:w="16%"/>
          </w:tcPr>
          <w:p>
            <w:r>
              <w:rPr>
                <w:b w:val="false"/>
                <w:bCs w:val="false"/>
              </w:rPr>
              <w:t xml:space="preserve">4 ft</w:t>
            </w:r>
          </w:p>
        </w:tc>
        <w:tc>
          <w:tcPr>
            <w:tcW w:type="pct" w:w="16%"/>
          </w:tcPr>
          <w:p>
            <w:r>
              <w:rPr>
                <w:b w:val="false"/>
                <w:bCs w:val="false"/>
              </w:rPr>
              <w:t xml:space="preserve">4.8 ft</w:t>
            </w:r>
          </w:p>
        </w:tc>
        <w:tc>
          <w:tcPr>
            <w:tcW w:type="pct" w:w="16%"/>
          </w:tcPr>
          <w:p>
            <w:r>
              <w:rPr>
                <w:b w:val="false"/>
                <w:bCs w:val="false"/>
              </w:rPr>
              <w:t xml:space="preserve"> </w:t>
            </w:r>
          </w:p>
        </w:tc>
        <w:tc>
          <w:tcPr>
            <w:tcW w:type="pct" w:w="16%"/>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5.5)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pPr>
        <w:spacing w:after="80" w:before="0"/>
      </w:pPr>
      <w:r>
        <w:rPr>
          <w:b/>
          <w:bCs/>
        </w:rPr>
        <w:t xml:space="preserve">8. (Lesson 5.5)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(Lesson 5.4)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4. Table</w:t>
      </w:r>
    </w:p>
    <w:p>
      <w:pPr>
        <w:spacing w:after="20" w:before="0"/>
      </w:pPr>
      <w:r>
        <w:t xml:space="preserve">     Hexagon — Area of One Triangle: 15.6 sq ft</w:t>
      </w:r>
    </w:p>
    <w:p>
      <w:pPr>
        <w:spacing w:after="20" w:before="0"/>
      </w:pPr>
      <w:r>
        <w:t xml:space="preserve">     Hexagon — Total Area: 93.6 sq ft</w:t>
      </w:r>
    </w:p>
    <w:p>
      <w:pPr>
        <w:spacing w:after="20" w:before="0"/>
      </w:pPr>
      <w:r>
        <w:t xml:space="preserve">     Pentagon — Area of One Triangle: 22 sq ft</w:t>
      </w:r>
    </w:p>
    <w:p>
      <w:pPr>
        <w:spacing w:after="20" w:before="0"/>
      </w:pPr>
      <w:r>
        <w:t xml:space="preserve">     Pentagon — Total Area: 110 sq ft</w:t>
      </w:r>
    </w:p>
    <w:p>
      <w:pPr>
        <w:spacing w:after="20" w:before="0"/>
      </w:pPr>
      <w:r>
        <w:t xml:space="preserve">     Square — Area of One Triangle: 10 sq ft</w:t>
      </w:r>
    </w:p>
    <w:p>
      <w:pPr>
        <w:spacing w:after="20" w:before="0"/>
      </w:pPr>
      <w:r>
        <w:t xml:space="preserve">     Square — Total Area: 40 sq ft</w:t>
      </w:r>
    </w:p>
    <w:p>
      <w:pPr>
        <w:spacing w:after="20" w:before="0"/>
      </w:pPr>
      <w:r>
        <w:t xml:space="preserve">     Octagon — Area of One Triangle: 9.6 sq ft</w:t>
      </w:r>
    </w:p>
    <w:p>
      <w:pPr>
        <w:spacing w:after="20" w:before="0"/>
      </w:pPr>
      <w:r>
        <w:t xml:space="preserve">     Octagon — Total Area: 76.8 sq ft</w:t>
      </w:r>
    </w:p>
    <w:p>
      <w:pPr>
        <w:spacing w:after="40" w:before="0"/>
      </w:pPr>
      <w:r>
        <w:t xml:space="preserve"/>
      </w:r>
    </w:p>
    <w:p>
      <w:pPr>
        <w:spacing w:after="40" w:before="0"/>
      </w:pPr>
      <w:r>
        <w:rPr>
          <w:b/>
          <w:bCs/>
        </w:rPr>
        <w:t xml:space="preserve">5. (Lesson 5.5)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6.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7.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fc6d3c434973c83e03b260383808b41e27d704f7.png"/><Relationship Id="rId10" Type="http://schemas.openxmlformats.org/officeDocument/2006/relationships/image" Target="media/57f18d99737a1f59edb5742290d915fe7127b449.png"/><Relationship Id="rId11" Type="http://schemas.openxmlformats.org/officeDocument/2006/relationships/image" Target="media/1d4d8d49c2919473c6114b46b0c9bcaf0bf7040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5.4–5.5 Catch-Up Homework</dc:title>
  <dc:creator>Neft Teacher</dc:creator>
  <cp:lastModifiedBy>Un-named</cp:lastModifiedBy>
  <cp:revision>1</cp:revision>
  <dcterms:created xsi:type="dcterms:W3CDTF">2026-08-11T01:16:33.461Z</dcterms:created>
  <dcterms:modified xsi:type="dcterms:W3CDTF">2026-08-11T01:16:33.461Z</dcterms:modified>
</cp:coreProperties>
</file>

<file path=docProps/custom.xml><?xml version="1.0" encoding="utf-8"?>
<Properties xmlns="http://schemas.openxmlformats.org/officeDocument/2006/custom-properties" xmlns:vt="http://schemas.openxmlformats.org/officeDocument/2006/docPropsVTypes"/>
</file>