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Equations and Inequalities Problem Solving — </w:t>
      </w:r>
      <w:r>
        <w:rPr>
          <w:sz w:val="20"/>
          <w:szCs w:val="20"/>
        </w:rPr>
        <w:t xml:space="preserve">Use an equation for one exact value or an inequality for a range of values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ecuaciones y desigualdades — Usar una ecuación para un valor exacto o una desigualdad para un rango de valores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To show a real-life situation with an equation or inequality.</w:t>
      </w:r>
      <w:r>
        <w:rPr>
          <w:i/>
          <w:iCs/>
          <w:color w:val="5F6F80"/>
          <w:sz w:val="18"/>
          <w:szCs w:val="18"/>
        </w:rPr>
        <w:br/>
        <w:t xml:space="preserve">Modelar — Mostrar una situación real con una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spend at most $__ more because r ≤ 500 − ___ = ___. Each flashlight costs $__ because f = 60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use signal words ('equals/total' for an equation; 'at least/at most/no more than' for an inequality) to choose the correct model.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equations and inequalities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2026-08-12T18:04:24.861Z</dcterms:created>
  <dcterms:modified xsi:type="dcterms:W3CDTF">2026-08-12T18:04:24.861Z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