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Bridge to Grade 6 Mathematics</w:t>
      </w:r>
    </w:p>
    <w:p>
      <w:pPr>
        <w:pStyle w:val="Title"/>
        <w:spacing w:after="80" w:before="200"/>
      </w:pPr>
      <w:r>
        <w:t xml:space="preserve">Teacher Guide</w:t>
      </w:r>
    </w:p>
    <w:p>
      <w:pPr>
        <w:spacing w:after="120"/>
      </w:pPr>
      <w:r>
        <w:t xml:space="preserve">A complete implementation guide for the 18-lesson Bridge to Grade 6 resource bundle. Use as a three-week bridge course, six-week intervention cycle, tutoring curriculum, or first-quarter readiness station.</w:t>
      </w:r>
    </w:p>
    <w:p>
      <w:pPr>
        <w:pStyle w:val="Heading1"/>
        <w:spacing w:after="80" w:before="200"/>
      </w:pPr>
      <w:r>
        <w:t xml:space="preserve">Recommended Pacing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Use When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Pacing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Daily Structure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3-week bridge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Summer school or jump-start program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 lesson per day, 5 days/week, assessment on Fridays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10 min warm-up, 20 min mini-lesson, 25 min stations, 15 min independent practice, 5 min exit ticket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6-week intervention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Small group or after school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 lessons per week plus review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Fluency, re-teach, guided practice, targeted drill, reflection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First-quarter stations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Grade 6 readiness gaps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One part every 1-2 weeks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Teacher table, partner task, online drill, workbook page</w:t>
            </w:r>
          </w:p>
        </w:tc>
      </w:tr>
    </w:tbl>
    <w:p>
      <w:pPr>
        <w:spacing w:after="120"/>
      </w:pPr>
    </w:p>
    <w:p>
      <w:pPr>
        <w:pStyle w:val="Heading1"/>
        <w:spacing w:after="80" w:before="200"/>
      </w:pPr>
      <w:r>
        <w:t xml:space="preserve">Lesson Routine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rPr>
          <w:b/>
          <w:bCs/>
        </w:rPr>
        <w:t xml:space="preserve">Launch:</w:t>
      </w:r>
      <w:r>
        <w:t xml:space="preserve"> Start with a low-floor question, quick estimate, or notice/wonder.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rPr>
          <w:b/>
          <w:bCs/>
        </w:rPr>
        <w:t xml:space="preserve">Model:</w:t>
      </w:r>
      <w:r>
        <w:t xml:space="preserve"> Think aloud one example. Name the strategy, not just the answer.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rPr>
          <w:b/>
          <w:bCs/>
        </w:rPr>
        <w:t xml:space="preserve">Guided Practice:</w:t>
      </w:r>
      <w:r>
        <w:t xml:space="preserve"> Students solve in pairs. Stop for one misconception check.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rPr>
          <w:b/>
          <w:bCs/>
        </w:rPr>
        <w:t xml:space="preserve">Independent Practice:</w:t>
      </w:r>
      <w:r>
        <w:t xml:space="preserve"> Assign 6-10 problems from the workbook or drill book.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rPr>
          <w:b/>
          <w:bCs/>
        </w:rPr>
        <w:t xml:space="preserve">Exit Ticket:</w:t>
      </w:r>
      <w:r>
        <w:t xml:space="preserve"> Score as Got It, Almost, or Re-teach. Use the next day warm-up for repair.</w:t>
      </w:r>
    </w:p>
    <w:p>
      <w:r>
        <w:t xml:space="preserve">Teacher move:</w:t>
      </w:r>
    </w:p>
    <w:p>
      <w:r>
        <w:t xml:space="preserve"> Require students to mark one estimate or reasonableness check on any computation-heavy page. This one habit transfers across Grade 6 units.</w:t>
      </w:r>
    </w:p>
    <w:p>
      <w:pPr>
        <w:pStyle w:val="Heading1"/>
        <w:spacing w:after="80" w:before="200"/>
      </w:pPr>
      <w:r>
        <w:t xml:space="preserve">Unit Map and Teaching Notes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Lessons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Core Move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Common Misconceptions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Recommended Supports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Place value, decimal operations, estimation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Represent numbers with words, expanded form, and benchmarks.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Misreading decimal places; multiplying decimals without estimating.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Place-value charts, base-ten sketches, money contexts.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Equivalent fractions, fraction operations, multiplication/division meaning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Connect visual models to procedures before symbolic fluency.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Adding denominators; treating division by a fraction as always smaller.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Number lines, fraction strips, area models, sentence frames.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Ratios, rates, percent benchmarks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Use tables to preserve multiplicative relationships.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Confusing additive and multiplicative growth; part-to-part vs part-to-whole ratios.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Tape diagrams, double number lines, shopping comparisons.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Expressions, equations, coordinates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Say what each variable represents and check by substitution.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Ignoring order of operations; reversing ordered pairs.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Balance scales, expression cards, floor grid practice.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Area, volume, data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Decompose shapes and explain units.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Confusing perimeter/area/volume; choosing mean when outliers distort.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Grid paper, nets, unit cube sketches, class data sets.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Multi-step problems, strategy choice, readiness task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Plan before calculating and justify choices.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Using all numbers automatically; stopping after one operation.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CUBES-style annotation, strategy menu, peer explanation protocol.</w:t>
            </w:r>
          </w:p>
        </w:tc>
      </w:tr>
    </w:tbl>
    <w:p>
      <w:pPr>
        <w:spacing w:after="120"/>
      </w:pPr>
    </w:p>
    <w:p>
      <w:pPr>
        <w:pStyle w:val="Heading1"/>
        <w:spacing w:after="80" w:before="200"/>
      </w:pPr>
      <w:r>
        <w:t xml:space="preserve">Station Rotation Menus</w:t>
      </w:r>
    </w:p>
    <w:p>
      <w:pPr>
        <w:pStyle w:val="Heading2"/>
        <w:spacing w:after="80" w:before="200"/>
      </w:pPr>
      <w:r>
        <w:t xml:space="preserve">Teacher Table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t xml:space="preserve">Re-teach the exit-ticket gap.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t xml:space="preserve">Ask students to explain one incorrect sample.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t xml:space="preserve">Use whiteboards for rapid checks.</w:t>
      </w:r>
    </w:p>
    <w:p>
      <w:pPr>
        <w:pStyle w:val="Heading2"/>
        <w:spacing w:after="80" w:before="200"/>
      </w:pPr>
      <w:r>
        <w:t xml:space="preserve">Partner Practice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t xml:space="preserve">One student solves, one student audits.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t xml:space="preserve">Switch roles every problem.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t xml:space="preserve">Require one written explanation per pair.</w:t>
      </w:r>
    </w:p>
    <w:p>
      <w:pPr>
        <w:pStyle w:val="Heading2"/>
        <w:spacing w:after="80" w:before="200"/>
      </w:pPr>
      <w:r>
        <w:t xml:space="preserve">Fluency Sprint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t xml:space="preserve">6 minutes only.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t xml:space="preserve">Accuracy first, speed second.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t xml:space="preserve">Students circle two items to review.</w:t>
      </w:r>
    </w:p>
    <w:p>
      <w:pPr>
        <w:pStyle w:val="Heading2"/>
        <w:spacing w:after="80" w:before="200"/>
      </w:pPr>
      <w:r>
        <w:t xml:space="preserve">Application Task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t xml:space="preserve">Use the workbook word problem.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t xml:space="preserve">Students choose a representation.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t xml:space="preserve">Gallery walk two strategies.</w:t>
      </w:r>
    </w:p>
    <w:p>
      <w:pPr>
        <w:pStyle w:val="Heading1"/>
        <w:spacing w:after="80" w:before="200"/>
      </w:pPr>
      <w:r>
        <w:t xml:space="preserve">Differentiation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Need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Support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Extension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Language access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Preview vocabulary, use visuals, provide sentence frames: "I know ___ because ___."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Have students write their own context problem and trade with a partner.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Computation fluency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Use smaller numbers first, then preserve the same structure with grade-level numbers.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Ask for two solution methods and a reasonableness check.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Attention or stamina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Chunk pages into Must Do, Should Do, Could Do. Use timers and visible goals.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Let students design a mini-drill for a peer.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Conceptual gaps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Return to models: number line, tape diagram, area model, grid.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Ask students to compare when two strategies are equivalent.</w:t>
            </w:r>
          </w:p>
        </w:tc>
      </w:tr>
    </w:tbl>
    <w:p>
      <w:pPr>
        <w:spacing w:after="120"/>
      </w:pPr>
    </w:p>
    <w:p>
      <w:pPr>
        <w:pStyle w:val="Heading1"/>
        <w:spacing w:after="80" w:before="200"/>
      </w:pPr>
      <w:r>
        <w:t xml:space="preserve">Answer Key Snapshot</w:t>
      </w:r>
    </w:p>
    <w:p>
      <w:pPr>
        <w:spacing w:after="120"/>
      </w:pPr>
      <w:r>
        <w:t xml:space="preserve">Use this key for fast checking. Accept equivalent fractions, accurate models, and clear alternate strategies.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Lesson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Selected Answers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503.079 = 500 + 3 + 0.07 + 0.009; 6.205 &lt; 6.250; 18.95.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21.33; 22.14; 3.64; 6.2; 0.036; 10.8.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3/4 = 6/8 = 9/12 = 12/16; 18/24 = 3/4.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1/2; 3/8; 2 1/2; 2 5/6; 1 5/12 cups.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8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40 mph; $1.50 per pen; 12 oz for $3.00 is cheaper; 108 pages.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9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8; 16; 69; 3.5; 9; sale price $30.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11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x=13; p=23; m=9; n=42; a + 12 = 31.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13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40 square units; 30 square units; 108 square feet; missing side 8.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14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60 cubic units; 24 cubes; surface area 52 square units.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15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Mean 7; median 7.</w:t>
            </w:r>
          </w:p>
        </w:tc>
      </w:tr>
    </w:tbl>
    <w:p>
      <w:pPr>
        <w:spacing w:after="120"/>
      </w:pPr>
    </w:p>
    <w:p>
      <w:pPr>
        <w:pStyle w:val="Heading1"/>
        <w:spacing w:after="80" w:before="200"/>
      </w:pPr>
      <w:r>
        <w:t xml:space="preserve">Rubric for Readiness Task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Math Accuracy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Reasoning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Communication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Calculations are accurate and efficient.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Uses multiple Grade 6-ready concepts with clear justification.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Work is organized, labeled, and easy to follow.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Minor errors do not affect the main solution.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Explains choices and includes at least one check.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Most work is labeled and understandable.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Several calculation errors or incomplete sections.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Some strategy is visible, but justification is thin.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Reader must infer parts of the thinking.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Little accurate computation is shown.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No clear plan or reasoning.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Work is missing, scattered, or not connected to the task.</w:t>
            </w:r>
          </w:p>
        </w:tc>
      </w:tr>
    </w:tbl>
    <w:p>
      <w:pPr>
        <w:spacing w:after="12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5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60"/>
    </w:pPr>
    <w:rPr>
      <w:rFonts w:ascii="Arial" w:cs="Arial" w:eastAsia="Arial" w:hAnsi="Arial"/>
      <w:b/>
      <w:bCs/>
      <w:color w:val="255F58"/>
      <w:sz w:val="40"/>
      <w:szCs w:val="40"/>
    </w:rPr>
  </w:style>
  <w:style w:type="paragraph" w:styleId="Heading1">
    <w:name w:val="Heading 1"/>
    <w:pPr>
      <w:spacing w:after="80" w:before="220"/>
    </w:pPr>
    <w:rPr>
      <w:rFonts w:ascii="Arial" w:cs="Arial" w:eastAsia="Arial" w:hAnsi="Arial"/>
      <w:b/>
      <w:bCs/>
      <w:color w:val="255F58"/>
      <w:sz w:val="30"/>
      <w:szCs w:val="30"/>
    </w:rPr>
  </w:style>
  <w:style w:type="paragraph" w:styleId="Heading2">
    <w:name w:val="Heading 2"/>
    <w:pPr>
      <w:spacing w:after="60" w:before="160"/>
    </w:pPr>
    <w:rPr>
      <w:rFonts w:ascii="Arial" w:cs="Arial" w:eastAsia="Arial" w:hAnsi="Arial"/>
      <w:b/>
      <w:bCs/>
      <w:color w:val="744816"/>
      <w:sz w:val="26"/>
      <w:szCs w:val="26"/>
    </w:rPr>
  </w:style>
  <w:style w:type="paragraph" w:styleId="Heading3">
    <w:name w:val="Heading 3"/>
    <w:pPr>
      <w:spacing w:after="40" w:before="120"/>
    </w:pPr>
    <w:rPr>
      <w:rFonts w:ascii="Arial" w:cs="Arial" w:eastAsia="Arial" w:hAnsi="Arial"/>
      <w:b/>
      <w:bCs/>
      <w:color w:val="1C252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2026-06-02T12:21:26.793Z</dcterms:created>
  <dcterms:modified xsi:type="dcterms:W3CDTF">2026-06-02T12:21:26.793Z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