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60"/>
      </w:pPr>
      <w:r>
        <w:rPr>
          <w:sz w:val="21"/>
          <w:szCs w:val="21"/>
        </w:rPr>
        <w:t xml:space="preserve">A table of equal ratios that shows a pattern.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Cups of juice: 2, 4, 6 | Cups of water: 3, 6, 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= 4:6 = 6:9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× 2 → 4:6 (scale factor is 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60"/>
      </w:pPr>
      <w:r>
        <w:rPr>
          <w:sz w:val="21"/>
          <w:szCs w:val="21"/>
        </w:rPr>
        <w:t xml:space="preserve">A rule that numbers follow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row adds 2 cups juice and 3 cups water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→ 4:6 → 6:9 (add 2 and 3 each time)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2026-05-31T22:40:23.839Z</dcterms:created>
  <dcterms:modified xsi:type="dcterms:W3CDTF">2026-05-31T22:40:23.839Z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