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5      STANDARD 6.G.4</w:t>
      </w:r>
    </w:p>
    <w:p>
      <w:pPr>
        <w:pStyle w:val="Title"/>
        <w:spacing w:after="40"/>
      </w:pPr>
      <w:r>
        <w:rPr>
          <w:b/>
          <w:bCs/>
          <w:color w:val="12355B"/>
          <w:sz w:val="44"/>
          <w:szCs w:val="44"/>
        </w:rPr>
        <w:t xml:space="preserve">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Pyramid      •      Slant height      •      Lateral face      •      Base      •      Apex      •      Lateral area</w:t>
            </w:r>
          </w:p>
        </w:tc>
      </w:tr>
    </w:tbl>
    <w:p>
      <w:pPr>
        <w:spacing w:after="80"/>
      </w:pPr>
      <w:r>
        <w:t xml:space="preserve"/>
      </w:r>
    </w:p>
    <w:p>
      <w:pPr>
        <w:spacing w:after="120" w:before="80"/>
      </w:pPr>
      <w:r>
        <w:rPr>
          <w:b/>
          <w:bCs/>
          <w:color w:val="12355B"/>
          <w:sz w:val="22"/>
          <w:szCs w:val="22"/>
        </w:rPr>
        <w:t xml:space="preserve">1.  </w:t>
      </w:r>
      <w:r>
        <w:rPr>
          <w:sz w:val="22"/>
          <w:szCs w:val="22"/>
        </w:rPr>
        <w:t xml:space="preserve">A solid with a polygon base and triangular faces meeting at one point is a ___.</w:t>
      </w:r>
    </w:p>
    <w:p>
      <w:pPr>
        <w:spacing w:after="120" w:before="80"/>
      </w:pPr>
      <w:r>
        <w:rPr>
          <w:b/>
          <w:bCs/>
          <w:color w:val="12355B"/>
          <w:sz w:val="22"/>
          <w:szCs w:val="22"/>
        </w:rPr>
        <w:t xml:space="preserve">2.  </w:t>
      </w:r>
      <w:r>
        <w:rPr>
          <w:sz w:val="22"/>
          <w:szCs w:val="22"/>
        </w:rPr>
        <w:t xml:space="preserve">The height of a triangular face of a pyramid, measured along the slanted side, is the ___.</w:t>
      </w:r>
    </w:p>
    <w:p>
      <w:pPr>
        <w:spacing w:after="120" w:before="80"/>
      </w:pPr>
      <w:r>
        <w:rPr>
          <w:b/>
          <w:bCs/>
          <w:color w:val="12355B"/>
          <w:sz w:val="22"/>
          <w:szCs w:val="22"/>
        </w:rPr>
        <w:t xml:space="preserve">3.  </w:t>
      </w:r>
      <w:r>
        <w:rPr>
          <w:sz w:val="22"/>
          <w:szCs w:val="22"/>
        </w:rPr>
        <w:t xml:space="preserve">A triangular side face of a pyramid is a ___.</w:t>
      </w:r>
    </w:p>
    <w:p>
      <w:pPr>
        <w:spacing w:after="120" w:before="80"/>
      </w:pPr>
      <w:r>
        <w:rPr>
          <w:b/>
          <w:bCs/>
          <w:color w:val="12355B"/>
          <w:sz w:val="22"/>
          <w:szCs w:val="22"/>
        </w:rPr>
        <w:t xml:space="preserve">4.  </w:t>
      </w:r>
      <w:r>
        <w:rPr>
          <w:sz w:val="22"/>
          <w:szCs w:val="22"/>
        </w:rPr>
        <w:t xml:space="preserve">The polygon on the bottom of a pyramid is the ___.</w:t>
      </w:r>
    </w:p>
    <w:p>
      <w:pPr>
        <w:spacing w:after="120" w:before="80"/>
      </w:pPr>
      <w:r>
        <w:rPr>
          <w:b/>
          <w:bCs/>
          <w:color w:val="12355B"/>
          <w:sz w:val="22"/>
          <w:szCs w:val="22"/>
        </w:rPr>
        <w:t xml:space="preserve">5.  </w:t>
      </w:r>
      <w:r>
        <w:rPr>
          <w:sz w:val="22"/>
          <w:szCs w:val="22"/>
        </w:rPr>
        <w:t xml:space="preserve">The single top point where the triangular faces of a pyramid meet is the ___.</w:t>
      </w:r>
    </w:p>
    <w:p>
      <w:pPr>
        <w:spacing w:after="120" w:before="80"/>
      </w:pPr>
      <w:r>
        <w:rPr>
          <w:b/>
          <w:bCs/>
          <w:color w:val="12355B"/>
          <w:sz w:val="22"/>
          <w:szCs w:val="22"/>
        </w:rPr>
        <w:t xml:space="preserve">6.  </w:t>
      </w:r>
      <w:r>
        <w:rPr>
          <w:sz w:val="22"/>
          <w:szCs w:val="22"/>
        </w:rPr>
        <w:t xml:space="preserve">The combined area of all the side faces, not counting the base,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24 in²</w:t>
      </w:r>
    </w:p>
    <w:p>
      <w:pPr>
        <w:spacing w:after="40"/>
        <w:ind w:left="420"/>
      </w:pPr>
      <w:r>
        <w:rPr>
          <w:sz w:val="20"/>
          <w:szCs w:val="20"/>
        </w:rPr>
        <w:t xml:space="preserve">B)  48 in²</w:t>
      </w:r>
    </w:p>
    <w:p>
      <w:pPr>
        <w:spacing w:after="40"/>
        <w:ind w:left="420"/>
      </w:pPr>
      <w:r>
        <w:rPr>
          <w:sz w:val="20"/>
          <w:szCs w:val="20"/>
        </w:rPr>
        <w:t xml:space="preserve">C)  14 in²</w:t>
      </w:r>
    </w:p>
    <w:p>
      <w:pPr>
        <w:spacing w:after="40"/>
        <w:ind w:left="420"/>
      </w:pPr>
      <w:r>
        <w:rPr>
          <w:sz w:val="20"/>
          <w:szCs w:val="20"/>
        </w:rPr>
        <w:t xml:space="preserve">D)  24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133 cm²</w:t>
      </w:r>
    </w:p>
    <w:p>
      <w:pPr>
        <w:spacing w:after="40"/>
        <w:ind w:left="420"/>
      </w:pPr>
      <w:r>
        <w:rPr>
          <w:sz w:val="20"/>
          <w:szCs w:val="20"/>
        </w:rPr>
        <w:t xml:space="preserve">B)  84 cm²</w:t>
      </w:r>
    </w:p>
    <w:p>
      <w:pPr>
        <w:spacing w:after="40"/>
        <w:ind w:left="420"/>
      </w:pPr>
      <w:r>
        <w:rPr>
          <w:sz w:val="20"/>
          <w:szCs w:val="20"/>
        </w:rPr>
        <w:t xml:space="preserve">C)  49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Your first gift box is a square pyramid with a base edge of 7 in and a slant height of 9 in. How much wrapping paper (total surface area) covers it?</w:t>
      </w:r>
    </w:p>
    <w:p>
      <w:pPr>
        <w:spacing w:after="40"/>
        <w:ind w:left="420"/>
      </w:pPr>
      <w:r>
        <w:rPr>
          <w:sz w:val="20"/>
          <w:szCs w:val="20"/>
        </w:rPr>
        <w:t xml:space="preserve">A)  175 in²</w:t>
      </w:r>
    </w:p>
    <w:p>
      <w:pPr>
        <w:spacing w:after="40"/>
        <w:ind w:left="420"/>
      </w:pPr>
      <w:r>
        <w:rPr>
          <w:sz w:val="20"/>
          <w:szCs w:val="20"/>
        </w:rPr>
        <w:t xml:space="preserve">B)  126 in²</w:t>
      </w:r>
    </w:p>
    <w:p>
      <w:pPr>
        <w:spacing w:after="40"/>
        <w:ind w:left="420"/>
      </w:pPr>
      <w:r>
        <w:rPr>
          <w:sz w:val="20"/>
          <w:szCs w:val="20"/>
        </w:rPr>
        <w:t xml:space="preserve">C)  144 in²</w:t>
      </w:r>
    </w:p>
    <w:p>
      <w:pPr>
        <w:spacing w:after="40"/>
        <w:ind w:left="420"/>
      </w:pPr>
      <w:r>
        <w:rPr>
          <w:sz w:val="20"/>
          <w:szCs w:val="20"/>
        </w:rPr>
        <w:t xml:space="preserve">D)  175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Before adding the base, you need the area of just one triangular face of a gift box with base edge 8 in and slant height 5 in. What is it?</w:t>
      </w:r>
    </w:p>
    <w:p>
      <w:pPr>
        <w:spacing w:after="40"/>
        <w:ind w:left="420"/>
      </w:pPr>
      <w:r>
        <w:rPr>
          <w:sz w:val="20"/>
          <w:szCs w:val="20"/>
        </w:rPr>
        <w:t xml:space="preserve">A)  20 in²</w:t>
      </w:r>
    </w:p>
    <w:p>
      <w:pPr>
        <w:spacing w:after="40"/>
        <w:ind w:left="420"/>
      </w:pPr>
      <w:r>
        <w:rPr>
          <w:sz w:val="20"/>
          <w:szCs w:val="20"/>
        </w:rPr>
        <w:t xml:space="preserve">B)  40 in²</w:t>
      </w:r>
    </w:p>
    <w:p>
      <w:pPr>
        <w:spacing w:after="40"/>
        <w:ind w:left="420"/>
      </w:pPr>
      <w:r>
        <w:rPr>
          <w:sz w:val="20"/>
          <w:szCs w:val="20"/>
        </w:rPr>
        <w:t xml:space="preserve">C)  13 in²</w:t>
      </w:r>
    </w:p>
    <w:p>
      <w:pPr>
        <w:spacing w:after="40"/>
        <w:ind w:left="420"/>
      </w:pPr>
      <w:r>
        <w:rPr>
          <w:sz w:val="20"/>
          <w:szCs w:val="20"/>
        </w:rPr>
        <w:t xml:space="preserve">D)  20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Pyramid</w:t>
      </w:r>
    </w:p>
    <w:p>
      <w:pPr>
        <w:spacing w:after="80"/>
      </w:pPr>
      <w:r>
        <w:rPr>
          <w:b/>
          <w:bCs/>
          <w:sz w:val="21"/>
          <w:szCs w:val="21"/>
        </w:rPr>
        <w:t xml:space="preserve">Notes 2:  </w:t>
      </w:r>
      <w:r>
        <w:rPr>
          <w:sz w:val="21"/>
          <w:szCs w:val="21"/>
        </w:rPr>
        <w:t xml:space="preserve">Slant height</w:t>
      </w:r>
    </w:p>
    <w:p>
      <w:pPr>
        <w:spacing w:after="80"/>
      </w:pPr>
      <w:r>
        <w:rPr>
          <w:b/>
          <w:bCs/>
          <w:sz w:val="21"/>
          <w:szCs w:val="21"/>
        </w:rPr>
        <w:t xml:space="preserve">Notes 3:  </w:t>
      </w:r>
      <w:r>
        <w:rPr>
          <w:sz w:val="21"/>
          <w:szCs w:val="21"/>
        </w:rPr>
        <w:t xml:space="preserve">Lateral face</w:t>
      </w:r>
    </w:p>
    <w:p>
      <w:pPr>
        <w:spacing w:after="80"/>
      </w:pPr>
      <w:r>
        <w:rPr>
          <w:b/>
          <w:bCs/>
          <w:sz w:val="21"/>
          <w:szCs w:val="21"/>
        </w:rPr>
        <w:t xml:space="preserve">Notes 4:  </w:t>
      </w:r>
      <w:r>
        <w:rPr>
          <w:sz w:val="21"/>
          <w:szCs w:val="21"/>
        </w:rPr>
        <w:t xml:space="preserve">Base</w:t>
      </w:r>
    </w:p>
    <w:p>
      <w:pPr>
        <w:spacing w:after="80"/>
      </w:pPr>
      <w:r>
        <w:rPr>
          <w:b/>
          <w:bCs/>
          <w:sz w:val="21"/>
          <w:szCs w:val="21"/>
        </w:rPr>
        <w:t xml:space="preserve">Notes 5:  </w:t>
      </w:r>
      <w:r>
        <w:rPr>
          <w:sz w:val="21"/>
          <w:szCs w:val="21"/>
        </w:rPr>
        <w:t xml:space="preserve">Apex</w:t>
      </w:r>
    </w:p>
    <w:p>
      <w:pPr>
        <w:spacing w:after="80"/>
      </w:pPr>
      <w:r>
        <w:rPr>
          <w:b/>
          <w:bCs/>
          <w:sz w:val="21"/>
          <w:szCs w:val="21"/>
        </w:rPr>
        <w:t xml:space="preserve">Notes 6:  </w:t>
      </w:r>
      <w:r>
        <w:rPr>
          <w:sz w:val="21"/>
          <w:szCs w:val="21"/>
        </w:rPr>
        <w:t xml:space="preserve">Lateral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in²</w:t>
      </w:r>
    </w:p>
    <w:p>
      <w:pPr>
        <w:spacing w:after="80"/>
      </w:pPr>
      <w:r>
        <w:rPr>
          <w:b/>
          <w:bCs/>
          <w:sz w:val="21"/>
          <w:szCs w:val="21"/>
        </w:rPr>
        <w:t xml:space="preserve">We Do:  </w:t>
      </w:r>
      <w:r>
        <w:rPr>
          <w:sz w:val="21"/>
          <w:szCs w:val="21"/>
        </w:rPr>
        <w:t xml:space="preserve">A. 4</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24 in²</w:t>
      </w:r>
      <w:r>
        <w:rPr>
          <w:i/>
          <w:iCs/>
          <w:color w:val="5F6F80"/>
          <w:sz w:val="19"/>
          <w:szCs w:val="19"/>
        </w:rPr>
        <w:t xml:space="preserve">  — Area of a triangle = ½ × base × height = ½ × 8 × 6 = 24 in².</w:t>
      </w:r>
    </w:p>
    <w:p>
      <w:pPr>
        <w:spacing w:after="80"/>
      </w:pPr>
      <w:r>
        <w:rPr>
          <w:b/>
          <w:bCs/>
          <w:sz w:val="21"/>
          <w:szCs w:val="21"/>
        </w:rPr>
        <w:t xml:space="preserve">2.  </w:t>
      </w:r>
      <w:r>
        <w:rPr>
          <w:sz w:val="21"/>
          <w:szCs w:val="21"/>
        </w:rPr>
        <w:t xml:space="preserve">A)  133 cm²</w:t>
      </w:r>
      <w:r>
        <w:rPr>
          <w:i/>
          <w:iCs/>
          <w:color w:val="5F6F80"/>
          <w:sz w:val="19"/>
          <w:szCs w:val="19"/>
        </w:rPr>
        <w:t xml:space="preserve">  — SA = Base Area + Lateral Area = 49 + 84 = 133 cm².</w:t>
      </w:r>
    </w:p>
    <w:p>
      <w:pPr>
        <w:spacing w:after="80"/>
      </w:pPr>
      <w:r>
        <w:rPr>
          <w:b/>
          <w:bCs/>
          <w:sz w:val="21"/>
          <w:szCs w:val="21"/>
        </w:rPr>
        <w:t xml:space="preserve">3.  </w:t>
      </w:r>
      <w:r>
        <w:rPr>
          <w:sz w:val="21"/>
          <w:szCs w:val="21"/>
        </w:rPr>
        <w:t xml:space="preserve">A)  175 in²</w:t>
      </w:r>
      <w:r>
        <w:rPr>
          <w:i/>
          <w:iCs/>
          <w:color w:val="5F6F80"/>
          <w:sz w:val="19"/>
          <w:szCs w:val="19"/>
        </w:rPr>
        <w:t xml:space="preserve">  — Base: 7 × 7 = 49 in². One triangular face: ½ × 7 × 9 = 31.5 in². Four faces: 4 × 31.5 = 126 in². SA = 49 + 126 = 175 in². Surface area uses square units (in²).</w:t>
      </w:r>
    </w:p>
    <w:p>
      <w:pPr>
        <w:spacing w:after="80"/>
      </w:pPr>
      <w:r>
        <w:rPr>
          <w:b/>
          <w:bCs/>
          <w:sz w:val="21"/>
          <w:szCs w:val="21"/>
        </w:rPr>
        <w:t xml:space="preserve">4.  </w:t>
      </w:r>
      <w:r>
        <w:rPr>
          <w:sz w:val="21"/>
          <w:szCs w:val="21"/>
        </w:rPr>
        <w:t xml:space="preserve">A)  20 in²</w:t>
      </w:r>
      <w:r>
        <w:rPr>
          <w:i/>
          <w:iCs/>
          <w:color w:val="5F6F80"/>
          <w:sz w:val="19"/>
          <w:szCs w:val="19"/>
        </w:rPr>
        <w:t xml:space="preserve">  — Area of a triangle = ½ × base × height = ½ × 8 × 5 = 20 in². You use the slant height (5) as the triangle's height, not the pyramid's vertical height.</w:t>
      </w:r>
    </w:p>
    <w:p>
      <w:pPr>
        <w:pStyle w:val="Heading2"/>
        <w:spacing w:after="80" w:before="180"/>
      </w:pPr>
      <w:r>
        <w:rPr>
          <w:b/>
          <w:bCs/>
          <w:color w:val="12355B"/>
          <w:sz w:val="24"/>
          <w:szCs w:val="24"/>
        </w:rPr>
        <w:t xml:space="preserve">Exit Ticket</w:t>
      </w:r>
    </w:p>
    <w:p>
      <w:pPr>
        <w:spacing w:after="80"/>
      </w:pPr>
      <w:r>
        <w:rPr>
          <w:sz w:val="21"/>
          <w:szCs w:val="21"/>
        </w:rPr>
        <w:t xml:space="preserve">A)  96 in²</w:t>
      </w:r>
      <w:r>
        <w:rPr>
          <w:i/>
          <w:iCs/>
          <w:color w:val="5F6F80"/>
          <w:sz w:val="19"/>
          <w:szCs w:val="19"/>
        </w:rPr>
        <w:t xml:space="preserve">  — Base: 6 × 6 = 36 in². Each lateral face: ½ × 6 × 5 = 15 in². Four faces: 4 × 15 = 60 in². SA = 36 + 60 = 96 in². Surface area uses square units (in²).</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5  ·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816e4dcc24c4b111bb97efa51ac3f13ddaf28a.png"/><Relationship Id="rId10" Type="http://schemas.openxmlformats.org/officeDocument/2006/relationships/image" Target="media/9c6a75f706d61ca9db769f6502562eb660c1a88f.png"/><Relationship Id="rId11" Type="http://schemas.openxmlformats.org/officeDocument/2006/relationships/image" Target="media/0d0a967706e465b7e33bb4a671d7c33823eecfbf.png"/><Relationship Id="rId12" Type="http://schemas.openxmlformats.org/officeDocument/2006/relationships/image" Target="media/df7894251a737f9e5fb4a8bddbe9a622d271989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Surface Area of Pyramids — Notes Packet</dc:title>
  <dc:creator>Neft Teacher</dc:creator>
  <dc:description>Neft Teacher Grade 6 Math notes packet</dc:description>
  <cp:lastModifiedBy>Un-named</cp:lastModifiedBy>
  <cp:revision>1</cp:revision>
  <dcterms:created xsi:type="dcterms:W3CDTF">2026-06-16T01:00:08.024Z</dcterms:created>
  <dcterms:modified xsi:type="dcterms:W3CDTF">2026-06-16T01:00:08.024Z</dcterms:modified>
</cp:coreProperties>
</file>

<file path=docProps/custom.xml><?xml version="1.0" encoding="utf-8"?>
<Properties xmlns="http://schemas.openxmlformats.org/officeDocument/2006/custom-properties" xmlns:vt="http://schemas.openxmlformats.org/officeDocument/2006/docPropsVTypes"/>
</file>