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the grid. The x-axis goes across; the y-axis goes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Points written as (x, y) whose positive or negative coordinates place them in one of four quadrants.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A line on the grid. The x-axis goes across; the y-axis goes up.</w:t>
      </w:r>
      <w:r>
        <w:rPr>
          <w:i/>
          <w:iCs/>
          <w:color w:val="5F6F80"/>
          <w:sz w:val="18"/>
          <w:szCs w:val="18"/>
        </w:rPr>
        <w:br/>
        <w:t xml:space="preserve">Eje — Una línea en la cuadrícula. El eje x va de lado; el eje y va hacia arriba.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2026-08-10T22:52:35.804Z</dcterms:created>
  <dcterms:modified xsi:type="dcterms:W3CDTF">2026-08-10T22:52:35.804Z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