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B)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many COMPLETE pattern units appear in the first 18 shapes of the circle-square-triangle border?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painting shows circles whose colors, sizes, and thickness vary, along with the number of concentric circles inside each one. Describe how the painting demonstrates rhythm.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How is a design with rhythm different from a pattern?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 uses shapes and a pattern does not</w:t>
      </w:r>
    </w:p>
    <w:p>
      <w:pPr>
        <w:spacing w:after="40"/>
        <w:ind w:left="420"/>
      </w:pPr>
      <w:r>
        <w:rPr>
          <w:sz w:val="20"/>
          <w:szCs w:val="20"/>
        </w:rPr>
        <w:t xml:space="preserve">B)  A pattern varies its shapes and rhythm never does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is no difference between them</w:t>
      </w:r>
    </w:p>
    <w:p>
      <w:pPr>
        <w:spacing w:after="40"/>
        <w:ind w:left="420"/>
      </w:pPr>
      <w:r>
        <w:rPr>
          <w:sz w:val="20"/>
          <w:szCs w:val="20"/>
        </w:rPr>
        <w:t xml:space="preserve">D)  Rhythm varies size, orientation, and order, so it often lacks predictability; a pattern repeats in a regular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a new row of circles were added to the rhythm painting, what would they look like? Explain your thinking.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2026-09-20T15:18:24.872Z</dcterms:created>
  <dcterms:modified xsi:type="dcterms:W3CDTF">2026-09-20T15:18:24.872Z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