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 table</w:t>
            </w:r>
            <w:r>
              <w:rPr>
                <w:i/>
                <w:iCs/>
                <w:color w:val="5F6F80"/>
                <w:sz w:val="19"/>
                <w:szCs w:val="19"/>
              </w:rPr>
              <w:t xml:space="preserve">   Tabla de frecuencias</w:t>
            </w:r>
          </w:p>
          <w:p>
            <w:pPr>
              <w:spacing w:after="40"/>
            </w:pPr>
            <w:r>
              <w:rPr>
                <w:sz w:val="21"/>
                <w:szCs w:val="21"/>
              </w:rPr>
              <w:t xml:space="preserve">A table that lists each interval and how many values fall in it.</w:t>
            </w:r>
          </w:p>
          <w:p>
            <w:pPr>
              <w:spacing w:after="0"/>
            </w:pPr>
            <w:r>
              <w:rPr>
                <w:b/>
                <w:bCs/>
                <w:color w:val="1FA6A2"/>
                <w:sz w:val="18"/>
                <w:szCs w:val="18"/>
              </w:rPr>
              <w:t xml:space="preserve">Example:  </w:t>
            </w:r>
            <w:r>
              <w:rPr>
                <w:i/>
                <w:iCs/>
                <w:color w:val="5F6F80"/>
                <w:sz w:val="18"/>
                <w:szCs w:val="18"/>
              </w:rPr>
              <w:t xml:space="preserve">10–19 . . . 3 means three values are between 10 and 19.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Shape of the data</w:t>
            </w:r>
            <w:r>
              <w:rPr>
                <w:i/>
                <w:iCs/>
                <w:color w:val="5F6F80"/>
                <w:sz w:val="19"/>
                <w:szCs w:val="19"/>
              </w:rPr>
              <w:t xml:space="preserve">   Forma de los datos</w:t>
            </w:r>
          </w:p>
          <w:p>
            <w:pPr>
              <w:spacing w:after="40"/>
            </w:pPr>
            <w:r>
              <w:rPr>
                <w:sz w:val="21"/>
                <w:szCs w:val="21"/>
              </w:rPr>
              <w:t xml:space="preserve">The pattern the bars or dots make across the intervals.</w:t>
            </w:r>
          </w:p>
          <w:p>
            <w:pPr>
              <w:spacing w:after="0"/>
            </w:pPr>
            <w:r>
              <w:rPr>
                <w:b/>
                <w:bCs/>
                <w:color w:val="1FA6A2"/>
                <w:sz w:val="18"/>
                <w:szCs w:val="18"/>
              </w:rPr>
              <w:t xml:space="preserve">Example:  </w:t>
            </w:r>
            <w:r>
              <w:rPr>
                <w:i/>
                <w:iCs/>
                <w:color w:val="5F6F80"/>
                <w:sz w:val="18"/>
                <w:szCs w:val="18"/>
              </w:rPr>
              <w:t xml:space="preserve">Tall in the middle and short on both sides is one shape.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Peak</w:t>
            </w:r>
            <w:r>
              <w:rPr>
                <w:i/>
                <w:iCs/>
                <w:color w:val="5F6F80"/>
                <w:sz w:val="19"/>
                <w:szCs w:val="19"/>
              </w:rPr>
              <w:t xml:space="preserve">   Pico</w:t>
            </w:r>
          </w:p>
          <w:p>
            <w:pPr>
              <w:spacing w:after="40"/>
            </w:pPr>
            <w:r>
              <w:rPr>
                <w:sz w:val="21"/>
                <w:szCs w:val="21"/>
              </w:rPr>
              <w:t xml:space="preserve">The tallest bar or stack in a data display.</w:t>
            </w:r>
          </w:p>
          <w:p>
            <w:pPr>
              <w:spacing w:after="0"/>
            </w:pPr>
            <w:r>
              <w:rPr>
                <w:b/>
                <w:bCs/>
                <w:color w:val="1FA6A2"/>
                <w:sz w:val="18"/>
                <w:szCs w:val="18"/>
              </w:rPr>
              <w:t xml:space="preserve">Example:  </w:t>
            </w:r>
            <w:r>
              <w:rPr>
                <w:i/>
                <w:iCs/>
                <w:color w:val="5F6F80"/>
                <w:sz w:val="18"/>
                <w:szCs w:val="18"/>
              </w:rPr>
              <w:t xml:space="preserve">The tallest bar of the histogram is the peak.</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      •      Frequency table      •      Shape of the data      •      Peak</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table that lists each interval and its count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pattern the bars make across a display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tallest bar in a display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12</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D.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frequency (count) of data in that interval</w:t>
      </w:r>
    </w:p>
    <w:p>
      <w:pPr>
        <w:spacing w:after="30"/>
        <w:ind w:left="420"/>
      </w:pPr>
      <w:r>
        <w:rPr>
          <w:sz w:val="20"/>
          <w:szCs w:val="20"/>
        </w:rPr>
        <w:t xml:space="preserve">B)  The average of the data in that interval</w:t>
      </w:r>
    </w:p>
    <w:p>
      <w:pPr>
        <w:spacing w:after="30"/>
        <w:ind w:left="420"/>
      </w:pPr>
      <w:r>
        <w:rPr>
          <w:sz w:val="20"/>
          <w:szCs w:val="20"/>
        </w:rPr>
        <w:t xml:space="preserve">C)  The range of the interval</w:t>
      </w:r>
    </w:p>
    <w:p>
      <w:pPr>
        <w:spacing w:after="30"/>
        <w:ind w:left="420"/>
      </w:pPr>
      <w:r>
        <w:rPr>
          <w:sz w:val="20"/>
          <w:szCs w:val="20"/>
        </w:rPr>
        <w:t xml:space="preserve">D)  The median of the data</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Histogram bars touch (no gaps) because the intervals are continuous ranges</w:t>
      </w:r>
    </w:p>
    <w:p>
      <w:pPr>
        <w:spacing w:after="40"/>
        <w:ind w:left="420"/>
      </w:pPr>
      <w:r>
        <w:rPr>
          <w:sz w:val="20"/>
          <w:szCs w:val="20"/>
        </w:rPr>
        <w:t xml:space="preserve">B)  There is no difference</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4</w:t>
      </w:r>
    </w:p>
    <w:p>
      <w:pPr>
        <w:spacing w:after="40"/>
        <w:ind w:left="420"/>
      </w:pPr>
      <w:r>
        <w:rPr>
          <w:sz w:val="20"/>
          <w:szCs w:val="20"/>
        </w:rPr>
        <w:t xml:space="preserve">B)  5</w:t>
      </w:r>
    </w:p>
    <w:p>
      <w:pPr>
        <w:spacing w:after="40"/>
        <w:ind w:left="420"/>
      </w:pPr>
      <w:r>
        <w:rPr>
          <w:sz w:val="20"/>
          <w:szCs w:val="20"/>
        </w:rPr>
        <w:t xml:space="preserve">C)  10</w:t>
      </w:r>
    </w:p>
    <w:p>
      <w:pPr>
        <w:spacing w:after="40"/>
        <w:ind w:left="420"/>
      </w:pPr>
      <w:r>
        <w:rPr>
          <w:sz w:val="20"/>
          <w:szCs w:val="20"/>
        </w:rPr>
        <w:t xml:space="preserve">D)  19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60–63 inches</w:t>
      </w:r>
    </w:p>
    <w:p>
      <w:pPr>
        <w:spacing w:after="60"/>
        <w:ind w:left="420"/>
      </w:pPr>
      <w:r>
        <w:rPr>
          <w:sz w:val="21"/>
          <w:szCs w:val="21"/>
        </w:rPr>
        <w:t xml:space="preserve">B)  64–67 inches</w:t>
      </w:r>
    </w:p>
    <w:p>
      <w:pPr>
        <w:spacing w:after="60"/>
        <w:ind w:left="420"/>
      </w:pPr>
      <w:r>
        <w:rPr>
          <w:sz w:val="21"/>
          <w:szCs w:val="21"/>
        </w:rPr>
        <w:t xml:space="preserve">C)  68–71 inches</w:t>
      </w:r>
    </w:p>
    <w:p>
      <w:pPr>
        <w:spacing w:after="60"/>
        <w:ind w:left="420"/>
      </w:pPr>
      <w:r>
        <w:rPr>
          <w:sz w:val="21"/>
          <w:szCs w:val="21"/>
        </w:rPr>
        <w:t xml:space="preserve">D)  72–75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Frequency table</w:t>
      </w:r>
    </w:p>
    <w:p>
      <w:pPr>
        <w:spacing w:after="80"/>
      </w:pPr>
      <w:r>
        <w:rPr>
          <w:b/>
          <w:bCs/>
          <w:sz w:val="21"/>
          <w:szCs w:val="21"/>
        </w:rPr>
        <w:t xml:space="preserve">Notes 8:  </w:t>
      </w:r>
      <w:r>
        <w:rPr>
          <w:sz w:val="21"/>
          <w:szCs w:val="21"/>
        </w:rPr>
        <w:t xml:space="preserve">Shape of the data</w:t>
      </w:r>
    </w:p>
    <w:p>
      <w:pPr>
        <w:spacing w:after="80"/>
      </w:pPr>
      <w:r>
        <w:rPr>
          <w:b/>
          <w:bCs/>
          <w:sz w:val="21"/>
          <w:szCs w:val="21"/>
        </w:rPr>
        <w:t xml:space="preserve">Notes 9:  </w:t>
      </w:r>
      <w:r>
        <w:rPr>
          <w:sz w:val="21"/>
          <w:szCs w:val="21"/>
        </w:rPr>
        <w:t xml:space="preserve">Peak</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28</w:t>
      </w:r>
    </w:p>
    <w:p>
      <w:pPr>
        <w:spacing w:after="80"/>
      </w:pPr>
      <w:r>
        <w:rPr>
          <w:b/>
          <w:bCs/>
          <w:sz w:val="21"/>
          <w:szCs w:val="21"/>
        </w:rPr>
        <w:t xml:space="preserve">We Do:  </w:t>
      </w:r>
      <w:r>
        <w:rPr>
          <w:sz w:val="21"/>
          <w:szCs w:val="21"/>
        </w:rPr>
        <w:t xml:space="preserve">A.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B)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B)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image" Target="media/d4ce85fc84dd2cf0610e016e371fc4828e4f5a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2026-09-20T15:18:29.494Z</dcterms:created>
  <dcterms:modified xsi:type="dcterms:W3CDTF">2026-09-20T15:18:29.494Z</dcterms:modified>
</cp:coreProperties>
</file>

<file path=docProps/custom.xml><?xml version="1.0" encoding="utf-8"?>
<Properties xmlns="http://schemas.openxmlformats.org/officeDocument/2006/custom-properties" xmlns:vt="http://schemas.openxmlformats.org/officeDocument/2006/docPropsVTypes"/>
</file>