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Break a percent into friendly pieces that are easy to find.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15% = 10% + 5%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      •      Decompose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Breaking 15% into 10% plus 5%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percent.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Del almacenamiento usado, ¿aproximadamente qué porcentaje son fotos — y por qué el entero cambia de 6 GB a 4 GB en esta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</w:t>
      </w:r>
      <w:r>
        <w:rPr>
          <w:i/>
          <w:iCs/>
          <w:color w:val="5F6F80"/>
          <w:sz w:val="18"/>
          <w:szCs w:val="18"/>
        </w:rPr>
        <w:t xml:space="preserve">  ·  porcentaje de referencia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</w:t>
      </w:r>
      <w:r>
        <w:rPr>
          <w:i/>
          <w:iCs/>
          <w:color w:val="5F6F80"/>
          <w:sz w:val="18"/>
          <w:szCs w:val="18"/>
        </w:rPr>
        <w:t xml:space="preserve">  ·  números compatibles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</w:t>
      </w:r>
      <w:r>
        <w:rPr>
          <w:i/>
          <w:iCs/>
          <w:color w:val="5F6F80"/>
          <w:sz w:val="18"/>
          <w:szCs w:val="18"/>
        </w:rPr>
        <w:t xml:space="preserve">  ·  el todo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 — A strong answer names both landmark percents (50% and 75%) and explains why 4 GB sits closer to one than the other. A weak answer just says 'it's close to 70%' without placing it between benchmarks.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86%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22</w:t>
      </w:r>
    </w:p>
    <w:p>
      <w:pPr>
        <w:spacing w:after="40"/>
        <w:ind w:left="420"/>
      </w:pPr>
      <w:r>
        <w:rPr>
          <w:sz w:val="20"/>
          <w:szCs w:val="20"/>
        </w:rPr>
        <w:t xml:space="preserve">C)  44</w:t>
      </w:r>
    </w:p>
    <w:p>
      <w:pPr>
        <w:spacing w:after="40"/>
        <w:ind w:left="420"/>
      </w:pPr>
      <w:r>
        <w:rPr>
          <w:sz w:val="20"/>
          <w:szCs w:val="20"/>
        </w:rPr>
        <w:t xml:space="preserve">D)  220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86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208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40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200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502aabdfbb44acdb127f9c978ef6833569efce9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2026-09-20T15:18:37.979Z</dcterms:created>
  <dcterms:modified xsi:type="dcterms:W3CDTF">2026-09-20T15:18:37.979Z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