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5.4–5.5 Catch-Up — Homework</w:t>
      </w:r>
    </w:p>
    <w:p>
      <w:pPr>
        <w:spacing w:after="160" w:before="0"/>
      </w:pPr>
      <w:r>
        <w:rPr>
          <w:i/>
          <w:iCs/>
        </w:rPr>
        <w:t xml:space="preserve">Lesson 5-4-catchup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5.4–5.5 by using each lesson's big idea in mixed practice.</w:t>
      </w:r>
    </w:p>
    <w:p>
      <w:pPr>
        <w:spacing w:after="60" w:before="0"/>
      </w:pPr>
      <w:r>
        <w:t xml:space="preserve">Language: I can explain which lesson's big idea I used and how, using key vocabulary from Lessons 5.4–5.5.</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5.4) A regular hexagon is divided into 6 equal triangles from the center. Each triangle has a base of 6 ft and a height of 5.2 ft. What is the area of one triangle?</w:t>
      </w:r>
    </w:p>
    <w:p>
      <w:pPr>
        <w:spacing w:after="40" w:before="0"/>
      </w:pPr>
      <w:r>
        <w:t xml:space="preserve">     A. 15.6 sq ft</w:t>
      </w:r>
    </w:p>
    <w:p>
      <w:pPr>
        <w:spacing w:after="40" w:before="0"/>
      </w:pPr>
      <w:r>
        <w:t xml:space="preserve">     B. 31.2 sq ft</w:t>
      </w:r>
    </w:p>
    <w:p>
      <w:pPr>
        <w:spacing w:after="40" w:before="0"/>
      </w:pPr>
      <w:r>
        <w:t xml:space="preserve">     C. 11.2 sq ft</w:t>
      </w:r>
    </w:p>
    <w:p>
      <w:pPr>
        <w:spacing w:after="40" w:before="0"/>
      </w:pPr>
      <w:r>
        <w:t xml:space="preserve">     D. 15.6 ft</w:t>
      </w:r>
    </w:p>
    <w:p>
      <w:pPr>
        <w:spacing w:after="60" w:before="120"/>
      </w:pPr>
      <w:r>
        <w:rPr>
          <w:color w:val="BBBBBB"/>
        </w:rPr>
        <w:t xml:space="preserve">______________________________________________________________________</w:t>
      </w:r>
    </w:p>
    <w:p>
      <w:pPr>
        <w:spacing w:after="80" w:before="0"/>
      </w:pPr>
      <w:r>
        <w:rPr>
          <w:b/>
          <w:bCs/>
        </w:rPr>
        <w:t xml:space="preserve">2. (Lesson 5.4) Using the triangle from the previous question, what is the total area of the hexagonal skylight?</w:t>
      </w:r>
    </w:p>
    <w:p>
      <w:pPr>
        <w:spacing w:after="40" w:before="0"/>
      </w:pPr>
      <w:r>
        <w:t xml:space="preserve">     A. 93.6 sq ft</w:t>
      </w:r>
    </w:p>
    <w:p>
      <w:pPr>
        <w:spacing w:after="40" w:before="0"/>
      </w:pPr>
      <w:r>
        <w:t xml:space="preserve">     B. 15.6 sq ft</w:t>
      </w:r>
    </w:p>
    <w:p>
      <w:pPr>
        <w:spacing w:after="40" w:before="0"/>
      </w:pPr>
      <w:r>
        <w:t xml:space="preserve">     C. 187.2 sq ft</w:t>
      </w:r>
    </w:p>
    <w:p>
      <w:pPr>
        <w:spacing w:after="40" w:before="0"/>
      </w:pPr>
      <w:r>
        <w:t xml:space="preserve">     D. 62.4 sq ft</w:t>
      </w:r>
    </w:p>
    <w:p>
      <w:pPr>
        <w:spacing w:after="60" w:before="120"/>
      </w:pPr>
      <w:r>
        <w:rPr>
          <w:color w:val="BBBBBB"/>
        </w:rPr>
        <w:t xml:space="preserve">______________________________________________________________________</w:t>
      </w:r>
    </w:p>
    <w:p>
      <w:pPr>
        <w:spacing w:after="80" w:before="0"/>
      </w:pPr>
      <w:r>
        <w:rPr>
          <w:b/>
          <w:bCs/>
        </w:rPr>
        <w:t xml:space="preserve">3. (Lesson 5.4)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6%"/>
          </w:tcPr>
          <w:p>
            <w:r>
              <w:rPr>
                <w:b/>
                <w:bCs/>
              </w:rPr>
              <w:t xml:space="preserve">Polygon</w:t>
            </w:r>
          </w:p>
        </w:tc>
        <w:tc>
          <w:tcPr>
            <w:tcW w:type="pct" w:w="16%"/>
          </w:tcPr>
          <w:p>
            <w:r>
              <w:rPr>
                <w:b/>
                <w:bCs/>
              </w:rPr>
              <w:t xml:space="preserve">Number of Triangles</w:t>
            </w:r>
          </w:p>
        </w:tc>
        <w:tc>
          <w:tcPr>
            <w:tcW w:type="pct" w:w="16%"/>
          </w:tcPr>
          <w:p>
            <w:r>
              <w:rPr>
                <w:b/>
                <w:bCs/>
              </w:rPr>
              <w:t xml:space="preserve">Triangle Base</w:t>
            </w:r>
          </w:p>
        </w:tc>
        <w:tc>
          <w:tcPr>
            <w:tcW w:type="pct" w:w="16%"/>
          </w:tcPr>
          <w:p>
            <w:r>
              <w:rPr>
                <w:b/>
                <w:bCs/>
              </w:rPr>
              <w:t xml:space="preserve">Triangle Height</w:t>
            </w:r>
          </w:p>
        </w:tc>
        <w:tc>
          <w:tcPr>
            <w:tcW w:type="pct" w:w="16%"/>
          </w:tcPr>
          <w:p>
            <w:r>
              <w:rPr>
                <w:b/>
                <w:bCs/>
              </w:rPr>
              <w:t xml:space="preserve">Area of One Triangle</w:t>
            </w:r>
          </w:p>
        </w:tc>
        <w:tc>
          <w:tcPr>
            <w:tcW w:type="pct" w:w="16%"/>
          </w:tcPr>
          <w:p>
            <w:r>
              <w:rPr>
                <w:b/>
                <w:bCs/>
              </w:rPr>
              <w:t xml:space="preserve">Total Area</w:t>
            </w:r>
          </w:p>
        </w:tc>
      </w:tr>
      <w:tr>
        <w:tc>
          <w:tcPr>
            <w:tcW w:type="pct" w:w="16%"/>
          </w:tcPr>
          <w:p>
            <w:r>
              <w:rPr>
                <w:b w:val="false"/>
                <w:bCs w:val="false"/>
              </w:rPr>
              <w:t xml:space="preserve">Hexagon</w:t>
            </w:r>
          </w:p>
        </w:tc>
        <w:tc>
          <w:tcPr>
            <w:tcW w:type="pct" w:w="16%"/>
          </w:tcPr>
          <w:p>
            <w:r>
              <w:rPr>
                <w:b w:val="false"/>
                <w:bCs w:val="false"/>
              </w:rPr>
              <w:t xml:space="preserve">6</w:t>
            </w:r>
          </w:p>
        </w:tc>
        <w:tc>
          <w:tcPr>
            <w:tcW w:type="pct" w:w="16%"/>
          </w:tcPr>
          <w:p>
            <w:r>
              <w:rPr>
                <w:b w:val="false"/>
                <w:bCs w:val="false"/>
              </w:rPr>
              <w:t xml:space="preserve">6 ft</w:t>
            </w:r>
          </w:p>
        </w:tc>
        <w:tc>
          <w:tcPr>
            <w:tcW w:type="pct" w:w="16%"/>
          </w:tcPr>
          <w:p>
            <w:r>
              <w:rPr>
                <w:b w:val="false"/>
                <w:bCs w:val="false"/>
              </w:rPr>
              <w:t xml:space="preserve">5.2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Pentagon</w:t>
            </w:r>
          </w:p>
        </w:tc>
        <w:tc>
          <w:tcPr>
            <w:tcW w:type="pct" w:w="16%"/>
          </w:tcPr>
          <w:p>
            <w:r>
              <w:rPr>
                <w:b w:val="false"/>
                <w:bCs w:val="false"/>
              </w:rPr>
              <w:t xml:space="preserve">5</w:t>
            </w:r>
          </w:p>
        </w:tc>
        <w:tc>
          <w:tcPr>
            <w:tcW w:type="pct" w:w="16%"/>
          </w:tcPr>
          <w:p>
            <w:r>
              <w:rPr>
                <w:b w:val="false"/>
                <w:bCs w:val="false"/>
              </w:rPr>
              <w:t xml:space="preserve">8 ft</w:t>
            </w:r>
          </w:p>
        </w:tc>
        <w:tc>
          <w:tcPr>
            <w:tcW w:type="pct" w:w="16%"/>
          </w:tcPr>
          <w:p>
            <w:r>
              <w:rPr>
                <w:b w:val="false"/>
                <w:bCs w:val="false"/>
              </w:rPr>
              <w:t xml:space="preserve">5.5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Square</w:t>
            </w:r>
          </w:p>
        </w:tc>
        <w:tc>
          <w:tcPr>
            <w:tcW w:type="pct" w:w="16%"/>
          </w:tcPr>
          <w:p>
            <w:r>
              <w:rPr>
                <w:b w:val="false"/>
                <w:bCs w:val="false"/>
              </w:rPr>
              <w:t xml:space="preserve">4</w:t>
            </w:r>
          </w:p>
        </w:tc>
        <w:tc>
          <w:tcPr>
            <w:tcW w:type="pct" w:w="16%"/>
          </w:tcPr>
          <w:p>
            <w:r>
              <w:rPr>
                <w:b w:val="false"/>
                <w:bCs w:val="false"/>
              </w:rPr>
              <w:t xml:space="preserve">5 ft</w:t>
            </w:r>
          </w:p>
        </w:tc>
        <w:tc>
          <w:tcPr>
            <w:tcW w:type="pct" w:w="16%"/>
          </w:tcPr>
          <w:p>
            <w:r>
              <w:rPr>
                <w:b w:val="false"/>
                <w:bCs w:val="false"/>
              </w:rPr>
              <w:t xml:space="preserve">4 ft</w:t>
            </w:r>
          </w:p>
        </w:tc>
        <w:tc>
          <w:tcPr>
            <w:tcW w:type="pct" w:w="16%"/>
          </w:tcPr>
          <w:p>
            <w:r>
              <w:rPr>
                <w:b w:val="false"/>
                <w:bCs w:val="false"/>
              </w:rPr>
              <w:t xml:space="preserve"> </w:t>
            </w:r>
          </w:p>
        </w:tc>
        <w:tc>
          <w:tcPr>
            <w:tcW w:type="pct" w:w="16%"/>
          </w:tcPr>
          <w:p>
            <w:r>
              <w:rPr>
                <w:b w:val="false"/>
                <w:bCs w:val="false"/>
              </w:rPr>
              <w:t xml:space="preserve"> </w:t>
            </w:r>
          </w:p>
        </w:tc>
      </w:tr>
      <w:tr>
        <w:tc>
          <w:tcPr>
            <w:tcW w:type="pct" w:w="16%"/>
          </w:tcPr>
          <w:p>
            <w:r>
              <w:rPr>
                <w:b w:val="false"/>
                <w:bCs w:val="false"/>
              </w:rPr>
              <w:t xml:space="preserve">Octagon</w:t>
            </w:r>
          </w:p>
        </w:tc>
        <w:tc>
          <w:tcPr>
            <w:tcW w:type="pct" w:w="16%"/>
          </w:tcPr>
          <w:p>
            <w:r>
              <w:rPr>
                <w:b w:val="false"/>
                <w:bCs w:val="false"/>
              </w:rPr>
              <w:t xml:space="preserve">8</w:t>
            </w:r>
          </w:p>
        </w:tc>
        <w:tc>
          <w:tcPr>
            <w:tcW w:type="pct" w:w="16%"/>
          </w:tcPr>
          <w:p>
            <w:r>
              <w:rPr>
                <w:b w:val="false"/>
                <w:bCs w:val="false"/>
              </w:rPr>
              <w:t xml:space="preserve">4 ft</w:t>
            </w:r>
          </w:p>
        </w:tc>
        <w:tc>
          <w:tcPr>
            <w:tcW w:type="pct" w:w="16%"/>
          </w:tcPr>
          <w:p>
            <w:r>
              <w:rPr>
                <w:b w:val="false"/>
                <w:bCs w:val="false"/>
              </w:rPr>
              <w:t xml:space="preserve">4.8 ft</w:t>
            </w:r>
          </w:p>
        </w:tc>
        <w:tc>
          <w:tcPr>
            <w:tcW w:type="pct" w:w="16%"/>
          </w:tcPr>
          <w:p>
            <w:r>
              <w:rPr>
                <w:b w:val="false"/>
                <w:bCs w:val="false"/>
              </w:rPr>
              <w:t xml:space="preserve"> </w:t>
            </w:r>
          </w:p>
        </w:tc>
        <w:tc>
          <w:tcPr>
            <w:tcW w:type="pct" w:w="16%"/>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(Lesson 5.5)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7. (Lesson 5.4)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pPr>
        <w:spacing w:after="80" w:before="0"/>
      </w:pPr>
      <w:r>
        <w:rPr>
          <w:b/>
          <w:bCs/>
        </w:rPr>
        <w:t xml:space="preserve">8. (Lesson 5.5)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15.6 sq ft</w:t>
      </w:r>
    </w:p>
    <w:p>
      <w:pPr>
        <w:spacing w:after="20" w:before="0"/>
      </w:pPr>
      <w:r>
        <w:t xml:space="preserve">     A = ½ × b × h = ½ × 6 × 5.2 = 15.6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93.6 sq ft</w:t>
      </w:r>
    </w:p>
    <w:p>
      <w:pPr>
        <w:spacing w:after="20" w:before="0"/>
      </w:pPr>
      <w:r>
        <w:t xml:space="preserve">     Total area = 6 triangles × 15.6 sq ft = 93.6 square feet.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(Lesson 5.4)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4. Table</w:t>
      </w:r>
    </w:p>
    <w:p>
      <w:pPr>
        <w:spacing w:after="20" w:before="0"/>
      </w:pPr>
      <w:r>
        <w:t xml:space="preserve">     Hexagon — Area of One Triangle: 15.6 sq ft</w:t>
      </w:r>
    </w:p>
    <w:p>
      <w:pPr>
        <w:spacing w:after="20" w:before="0"/>
      </w:pPr>
      <w:r>
        <w:t xml:space="preserve">     Hexagon — Total Area: 93.6 sq ft</w:t>
      </w:r>
    </w:p>
    <w:p>
      <w:pPr>
        <w:spacing w:after="20" w:before="0"/>
      </w:pPr>
      <w:r>
        <w:t xml:space="preserve">     Pentagon — Area of One Triangle: 22 sq ft</w:t>
      </w:r>
    </w:p>
    <w:p>
      <w:pPr>
        <w:spacing w:after="20" w:before="0"/>
      </w:pPr>
      <w:r>
        <w:t xml:space="preserve">     Pentagon — Total Area: 110 sq ft</w:t>
      </w:r>
    </w:p>
    <w:p>
      <w:pPr>
        <w:spacing w:after="20" w:before="0"/>
      </w:pPr>
      <w:r>
        <w:t xml:space="preserve">     Square — Area of One Triangle: 10 sq ft</w:t>
      </w:r>
    </w:p>
    <w:p>
      <w:pPr>
        <w:spacing w:after="20" w:before="0"/>
      </w:pPr>
      <w:r>
        <w:t xml:space="preserve">     Square — Total Area: 40 sq ft</w:t>
      </w:r>
    </w:p>
    <w:p>
      <w:pPr>
        <w:spacing w:after="20" w:before="0"/>
      </w:pPr>
      <w:r>
        <w:t xml:space="preserve">     Octagon — Area of One Triangle: 9.6 sq ft</w:t>
      </w:r>
    </w:p>
    <w:p>
      <w:pPr>
        <w:spacing w:after="20" w:before="0"/>
      </w:pPr>
      <w:r>
        <w:t xml:space="preserve">     Octagon — Total Area: 76.8 sq ft</w:t>
      </w:r>
    </w:p>
    <w:p>
      <w:pPr>
        <w:spacing w:after="40" w:before="0"/>
      </w:pPr>
      <w:r>
        <w:t xml:space="preserve"/>
      </w:r>
    </w:p>
    <w:p>
      <w:pPr>
        <w:spacing w:after="40" w:before="0"/>
      </w:pPr>
      <w:r>
        <w:rPr>
          <w:b/>
          <w:bCs/>
        </w:rPr>
        <w:t xml:space="preserve">5. (Lesson 5.5)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6.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7.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fc6d3c434973c83e03b260383808b41e27d704f7.png"/><Relationship Id="rId10" Type="http://schemas.openxmlformats.org/officeDocument/2006/relationships/image" Target="media/57f18d99737a1f59edb5742290d915fe7127b449.png"/><Relationship Id="rId11" Type="http://schemas.openxmlformats.org/officeDocument/2006/relationships/image" Target="media/1d4d8d49c2919473c6114b46b0c9bcaf0bf7040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5.4–5.5 Catch-Up Homework</dc:title>
  <dc:creator>Neft Teacher</dc:creator>
  <cp:lastModifiedBy>Un-named</cp:lastModifiedBy>
  <cp:revision>1</cp:revision>
  <dcterms:created xsi:type="dcterms:W3CDTF">2026-08-11T10:41:04.257Z</dcterms:created>
  <dcterms:modified xsi:type="dcterms:W3CDTF">2026-08-11T10:41:04.257Z</dcterms:modified>
</cp:coreProperties>
</file>

<file path=docProps/custom.xml><?xml version="1.0" encoding="utf-8"?>
<Properties xmlns="http://schemas.openxmlformats.org/officeDocument/2006/custom-properties" xmlns:vt="http://schemas.openxmlformats.org/officeDocument/2006/docPropsVTypes"/>
</file>