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160"/>
      </w:pPr>
      <w:r>
        <w:rPr>
          <w:sz w:val="21"/>
          <w:szCs w:val="21"/>
        </w:rPr>
        <w:t xml:space="preserve">A way to compare two amounts.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160"/>
      </w:pPr>
      <w:r>
        <w:rPr>
          <w:sz w:val="21"/>
          <w:szCs w:val="21"/>
        </w:rPr>
        <w:t xml:space="preserve">Two ratios that mean the same thing.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1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160"/>
      </w:pPr>
      <w:r>
        <w:rPr>
          <w:sz w:val="21"/>
          <w:szCs w:val="21"/>
        </w:rPr>
        <w:t xml:space="preserve">A math sentence saying two ratios are equal.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3d02b69c725db2aa9714bbb5557183e8455a730b.png"/><Relationship Id="rId12" Type="http://schemas.openxmlformats.org/officeDocument/2006/relationships/image" Target="media/9a38b035cf4d5015f459aa3b9c24d55629af33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2026-06-01T16:40:13.533Z</dcterms:created>
  <dcterms:modified xsi:type="dcterms:W3CDTF">2026-06-01T16:40:13.533Z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