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60–69 with 5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90–99 with 3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Skewed right (most players low, tail toward high values)</w:t>
      </w:r>
    </w:p>
    <w:p>
      <w:pPr>
        <w:spacing w:after="40"/>
        <w:ind w:left="420"/>
      </w:pPr>
      <w:r>
        <w:rPr>
          <w:sz w:val="20"/>
          <w:szCs w:val="20"/>
        </w:rPr>
        <w:t xml:space="preserve">C)  Flat / uniform (all bars equal)</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2026-10-02T10:57:11.517Z</dcterms:created>
  <dcterms:modified xsi:type="dcterms:W3CDTF">2026-10-02T10:57:11.517Z</dcterms:modified>
</cp:coreProperties>
</file>

<file path=docProps/custom.xml><?xml version="1.0" encoding="utf-8"?>
<Properties xmlns="http://schemas.openxmlformats.org/officeDocument/2006/custom-properties" xmlns:vt="http://schemas.openxmlformats.org/officeDocument/2006/docPropsVTypes"/>
</file>