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pPr>
    </w:p>
    <w:p>
      <w:pPr>
        <w:keepNext/>
        <w:spacing w:before="0" w:after="20" w:line="276" w:lineRule="auto"/>
      </w:pPr>
      <w:r>
        <w:rPr>
          <w:rFonts w:ascii="Avenir Next" w:hAnsi="Avenir Next" w:cs="Avenir Next" w:eastAsia="Avenir Next"/>
          <w:b/>
          <w:i w:val="0"/>
          <w:caps w:val="1"/>
          <w:color w:val="003A70"/>
          <w:spacing w:val="12"/>
          <w:sz w:val="19"/>
          <w:u w:val="none"/>
        </w:rPr>
        <w:t>Lesson 2-3  ·  Answer Key</w:t>
      </w:r>
    </w:p>
    <w:p>
      <w:pPr>
        <w:keepNext/>
        <w:spacing w:before="0" w:after="40" w:line="240" w:lineRule="auto"/>
      </w:pPr>
      <w:r>
        <w:rPr>
          <w:rFonts w:ascii="Avenir Next" w:hAnsi="Avenir Next" w:cs="Avenir Next" w:eastAsia="Avenir Next"/>
          <w:b/>
          <w:i w:val="0"/>
          <w:color w:val="1A1A1A"/>
          <w:sz w:val="46"/>
          <w:u w:val="none"/>
        </w:rPr>
        <w:t>Answer Key</w:t>
      </w:r>
    </w:p>
    <w:p>
      <w:pPr>
        <w:keepNext/>
        <w:spacing w:before="0" w:after="100" w:line="264" w:lineRule="auto"/>
      </w:pPr>
      <w:r>
        <w:rPr>
          <w:rFonts w:ascii="Avenir Next" w:hAnsi="Avenir Next" w:cs="Avenir Next" w:eastAsia="Avenir Next"/>
          <w:b w:val="0"/>
          <w:i w:val="0"/>
          <w:color w:val="5A5F66"/>
          <w:sz w:val="24"/>
          <w:u w:val="none"/>
        </w:rPr>
        <w:t>Session 1 — Finding the Median   ·   Session 2 — Median of an Even Set</w:t>
      </w:r>
    </w:p>
    <w:p>
      <w:pPr>
        <w:pBdr>
          <w:bottom w:val="single" w:sz="4" w:space="5" w:color="C9CDD2"/>
        </w:pBdr>
        <w:spacing w:before="0" w:after="180" w:line="264" w:lineRule="auto"/>
      </w:pPr>
      <w:r>
        <w:rPr>
          <w:rFonts w:ascii="Avenir Next" w:hAnsi="Avenir Next" w:cs="Avenir Next" w:eastAsia="Avenir Next"/>
          <w:b w:val="0"/>
          <w:i w:val="0"/>
          <w:color w:val="5A5F66"/>
          <w:sz w:val="17"/>
          <w:u w:val="none"/>
        </w:rPr>
        <w:t>Maryland Standard 6.SP.B.5c   ·   Teacher use only — answers for every item added in the 2026-09-29 practice upgrade.</w:t>
      </w:r>
    </w:p>
    <w:p>
      <w:pPr>
        <w:keepNext/>
        <w:pBdr>
          <w:bottom w:val="single" w:sz="8" w:space="3" w:color="003A70"/>
        </w:pBdr>
        <w:tabs>
          <w:tab w:pos="9504" w:val="right"/>
        </w:tabs>
        <w:spacing w:before="260" w:after="100" w:line="240" w:lineRule="auto"/>
      </w:pPr>
      <w:r>
        <w:rPr>
          <w:rFonts w:ascii="Avenir Next" w:hAnsi="Avenir Next" w:cs="Avenir Next" w:eastAsia="Avenir Next"/>
          <w:b/>
          <w:i w:val="0"/>
          <w:color w:val="003A70"/>
          <w:spacing w:val="14"/>
          <w:sz w:val="19"/>
          <w:u w:val="none"/>
        </w:rPr>
        <w:t>SESSION 1 · GUIDED PRACTICE</w:t>
      </w:r>
      <w:r>
        <w:rPr>
          <w:rFonts w:ascii="Avenir Next" w:hAnsi="Avenir Next" w:cs="Avenir Next" w:eastAsia="Avenir Next"/>
          <w:b w:val="0"/>
          <w:i/>
          <w:color w:val="5A5F66"/>
          <w:sz w:val="17"/>
          <w:u w:val="none"/>
        </w:rPr>
        <w:tab/>
        <w:t>items added by this upgrade</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10.</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93</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11.</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18</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12.</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7000 steps</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14.</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a) 59 in.  b) with eight values there is no single middle, so you average the two middle values (59 and 61) to get 60 in.  c) the median depends on position, not size, so one very tall player barely moves it</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15.</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B  —  6</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16.</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C  —  order the values</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17.</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D  —  15</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18.</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A  —  5th value</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19.</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Symmetric</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20.</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17</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21.</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4</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22.</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9</w:t>
      </w:r>
    </w:p>
    <w:p>
      <w:pPr>
        <w:keepNext/>
        <w:pBdr>
          <w:bottom w:val="single" w:sz="8" w:space="3" w:color="003A70"/>
        </w:pBdr>
        <w:tabs>
          <w:tab w:pos="9504" w:val="right"/>
        </w:tabs>
        <w:spacing w:before="260" w:after="100" w:line="240" w:lineRule="auto"/>
      </w:pPr>
      <w:r>
        <w:rPr>
          <w:rFonts w:ascii="Avenir Next" w:hAnsi="Avenir Next" w:cs="Avenir Next" w:eastAsia="Avenir Next"/>
          <w:b/>
          <w:i w:val="0"/>
          <w:color w:val="003A70"/>
          <w:spacing w:val="14"/>
          <w:sz w:val="19"/>
          <w:u w:val="none"/>
        </w:rPr>
        <w:t>SESSION 1 · HOMEWORK</w:t>
      </w:r>
      <w:r>
        <w:rPr>
          <w:rFonts w:ascii="Avenir Next" w:hAnsi="Avenir Next" w:cs="Avenir Next" w:eastAsia="Avenir Next"/>
          <w:b w:val="0"/>
          <w:i/>
          <w:color w:val="5A5F66"/>
          <w:sz w:val="17"/>
          <w:u w:val="none"/>
        </w:rPr>
        <w:tab/>
        <w:t>items added by this upgrade</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9.</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45</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10.</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6</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11.</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6000 steps</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12.</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He did not order the values first. In order (2, 4, 6, 7, 9) the median is 6.</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13.</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Skewed right</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14.</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No — it has one answer.</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15.</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0.8</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16.</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B  —  7</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17.</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C  —  center</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18.</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D  —  25</w:t>
      </w:r>
    </w:p>
    <w:p>
      <w:pPr>
        <w:keepNext/>
        <w:pBdr>
          <w:bottom w:val="single" w:sz="8" w:space="3" w:color="003A70"/>
        </w:pBdr>
        <w:tabs>
          <w:tab w:pos="9504" w:val="right"/>
        </w:tabs>
        <w:spacing w:before="260" w:after="100" w:line="240" w:lineRule="auto"/>
      </w:pPr>
      <w:r>
        <w:rPr>
          <w:rFonts w:ascii="Avenir Next" w:hAnsi="Avenir Next" w:cs="Avenir Next" w:eastAsia="Avenir Next"/>
          <w:b/>
          <w:i w:val="0"/>
          <w:color w:val="003A70"/>
          <w:spacing w:val="14"/>
          <w:sz w:val="19"/>
          <w:u w:val="none"/>
        </w:rPr>
        <w:t>SESSION 2 · GUIDED PRACTICE</w:t>
      </w:r>
      <w:r>
        <w:rPr>
          <w:rFonts w:ascii="Avenir Next" w:hAnsi="Avenir Next" w:cs="Avenir Next" w:eastAsia="Avenir Next"/>
          <w:b w:val="0"/>
          <w:i/>
          <w:color w:val="5A5F66"/>
          <w:sz w:val="17"/>
          <w:u w:val="none"/>
        </w:rPr>
        <w:tab/>
        <w:t>items added by this upgrade</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10.</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60 minutes</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11.</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$1.35</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12.</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a) 31.5 minutes  b) it is the halfway point between 30 and 33, so it need not appear in the data</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14.</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a) 6 mm  b) 7 mm  c) the median depends on the position of the middle value, so one very large value shifts it by only one position</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15.</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D  —  8</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16.</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A  —  average of the two middles</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17.</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B  —  19</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18.</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C  —  5th and 6th</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19.</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8</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20.</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Symmetric</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21.</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11</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22.</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1.8</w:t>
      </w:r>
    </w:p>
    <w:p>
      <w:pPr>
        <w:keepNext/>
        <w:pBdr>
          <w:bottom w:val="single" w:sz="8" w:space="3" w:color="003A70"/>
        </w:pBdr>
        <w:tabs>
          <w:tab w:pos="9504" w:val="right"/>
        </w:tabs>
        <w:spacing w:before="260" w:after="100" w:line="240" w:lineRule="auto"/>
      </w:pPr>
      <w:r>
        <w:rPr>
          <w:rFonts w:ascii="Avenir Next" w:hAnsi="Avenir Next" w:cs="Avenir Next" w:eastAsia="Avenir Next"/>
          <w:b/>
          <w:i w:val="0"/>
          <w:color w:val="003A70"/>
          <w:spacing w:val="14"/>
          <w:sz w:val="19"/>
          <w:u w:val="none"/>
        </w:rPr>
        <w:t>SESSION 2 · HOMEWORK</w:t>
      </w:r>
      <w:r>
        <w:rPr>
          <w:rFonts w:ascii="Avenir Next" w:hAnsi="Avenir Next" w:cs="Avenir Next" w:eastAsia="Avenir Next"/>
          <w:b w:val="0"/>
          <w:i/>
          <w:color w:val="5A5F66"/>
          <w:sz w:val="17"/>
          <w:u w:val="none"/>
        </w:rPr>
        <w:tab/>
        <w:t>items added by this upgrade</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9.</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15.5</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10.</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34.5</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11.</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$4.00</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12.</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With four values you must average both middles: (8 + 12) ÷ 2 = 10.</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13.</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19</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14.</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20</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15.</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4.2</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16.</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D  —  7</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17.</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A  —  averaging two middles</w:t>
      </w:r>
    </w:p>
    <w:p>
      <w:pPr>
        <w:keepLines w:val="1"/>
        <w:tabs>
          <w:tab w:pos="490" w:val="left"/>
        </w:tabs>
        <w:spacing w:before="180" w:after="60" w:line="288" w:lineRule="auto"/>
        <w:ind w:left="490" w:hanging="490"/>
      </w:pPr>
      <w:r>
        <w:rPr>
          <w:rFonts w:ascii="Avenir Next" w:hAnsi="Avenir Next" w:cs="Avenir Next" w:eastAsia="Avenir Next"/>
          <w:b/>
          <w:i w:val="0"/>
          <w:color w:val="1A1A1A"/>
          <w:sz w:val="21"/>
          <w:u w:val="none"/>
        </w:rPr>
        <w:t>18.</w:t>
      </w:r>
      <w:r>
        <w:rPr>
          <w:rFonts w:ascii="Avenir Next" w:hAnsi="Avenir Next" w:cs="Avenir Next" w:eastAsia="Avenir Next"/>
          <w:b w:val="0"/>
          <w:i w:val="0"/>
          <w:color w:val="1A1A1A"/>
          <w:sz w:val="21"/>
          <w:u w:val="none"/>
        </w:rPr>
        <w:tab/>
      </w:r>
      <w:r>
        <w:rPr>
          <w:rFonts w:ascii="Avenir Next" w:hAnsi="Avenir Next" w:cs="Avenir Next" w:eastAsia="Avenir Next"/>
          <w:b/>
          <w:i w:val="0"/>
          <w:color w:val="1A1A1A"/>
          <w:sz w:val="21"/>
          <w:u w:val="none"/>
        </w:rPr>
        <w:t/>
      </w:r>
      <w:r>
        <w:rPr>
          <w:rFonts w:ascii="Avenir Next" w:hAnsi="Avenir Next" w:cs="Avenir Next" w:eastAsia="Avenir Next"/>
          <w:b w:val="0"/>
          <w:i w:val="0"/>
          <w:color w:val="1A1A1A"/>
          <w:sz w:val="21"/>
          <w:u w:val="none"/>
        </w:rPr>
        <w:t>B  —  65</w:t>
      </w:r>
    </w:p>
    <w:p>
      <w:pPr>
        <w:keepNext/>
        <w:pBdr>
          <w:bottom w:val="single" w:sz="8" w:space="3" w:color="003A70"/>
        </w:pBdr>
        <w:tabs>
          <w:tab w:pos="9504" w:val="right"/>
        </w:tabs>
        <w:spacing w:before="260" w:after="100" w:line="240" w:lineRule="auto"/>
      </w:pPr>
      <w:r>
        <w:rPr>
          <w:rFonts w:ascii="Avenir Next" w:hAnsi="Avenir Next" w:cs="Avenir Next" w:eastAsia="Avenir Next"/>
          <w:b/>
          <w:i w:val="0"/>
          <w:color w:val="003A70"/>
          <w:spacing w:val="14"/>
          <w:sz w:val="19"/>
          <w:u w:val="none"/>
        </w:rPr>
        <w:t>ITEM ANALYSIS</w:t>
      </w:r>
      <w:r>
        <w:rPr>
          <w:rFonts w:ascii="Avenir Next" w:hAnsi="Avenir Next" w:cs="Avenir Next" w:eastAsia="Avenir Next"/>
          <w:b w:val="0"/>
          <w:i/>
          <w:color w:val="5A5F66"/>
          <w:sz w:val="17"/>
          <w:u w:val="none"/>
        </w:rPr>
        <w:tab/>
        <w:t>section · depth of knowledge · standard</w:t>
      </w:r>
    </w:p>
    <w:tbl>
      <w:tblPr>
        <w:tblW w:w="9504" w:type="dxa"/>
        <w:jc w:val="left"/>
        <w:tblBorders>
          <w:top w:val="single" w:sz="6" w:space="0" w:color="9AA0A6"/>
          <w:left w:val="single" w:sz="6" w:space="0" w:color="9AA0A6"/>
          <w:bottom w:val="single" w:sz="6" w:space="0" w:color="9AA0A6"/>
          <w:right w:val="single" w:sz="6" w:space="0" w:color="9AA0A6"/>
          <w:insideH w:val="nil"/>
          <w:insideV w:val="single" w:sz="6" w:space="0" w:color="9AA0A6"/>
        </w:tblBorders>
        <w:tblLayout w:type="fixed"/>
        <w:tblCellMar>
          <w:top w:w="60" w:type="dxa"/>
          <w:left w:w="80" w:type="dxa"/>
          <w:bottom w:w="60" w:type="dxa"/>
          <w:right w:w="80" w:type="dxa"/>
        </w:tblCellMar>
        <w:tblLook w:firstColumn="1" w:firstRow="1" w:lastColumn="0" w:lastRow="0" w:noHBand="0" w:noVBand="1" w:val="04A0"/>
      </w:tblPr>
      <w:tblGrid>
        <w:gridCol w:w="1560"/>
        <w:gridCol w:w="760"/>
        <w:gridCol w:w="3520"/>
        <w:gridCol w:w="3664"/>
      </w:tblGrid>
      <w:tr>
        <w:trPr>
          <w:tblHeader/>
        </w:trPr>
        <w:tc>
          <w:tcPr>
            <w:tcW w:type="dxa" w:w="1560"/>
            <w:vAlign w:val="center"/>
          </w:tcPr>
          <w:p>
            <w:pPr>
              <w:spacing w:before="0" w:after="0" w:line="269" w:lineRule="auto"/>
              <w:jc w:val="left"/>
            </w:pPr>
            <w:r/>
            <w:r>
              <w:rPr>
                <w:rFonts w:ascii="Avenir Next" w:hAnsi="Avenir Next" w:cs="Avenir Next" w:eastAsia="Avenir Next"/>
                <w:b w:val="1"/>
                <w:i w:val="0"/>
                <w:color w:val="1A1A1A"/>
                <w:sz w:val="16"/>
                <w:u w:val="none"/>
              </w:rPr>
              <w:t>Sheet</w:t>
            </w:r>
          </w:p>
        </w:tc>
        <w:tc>
          <w:tcPr>
            <w:tcW w:type="dxa" w:w="760"/>
            <w:vAlign w:val="center"/>
          </w:tcPr>
          <w:p>
            <w:pPr>
              <w:spacing w:before="0" w:after="0" w:line="269" w:lineRule="auto"/>
              <w:jc w:val="left"/>
            </w:pPr>
            <w:r/>
            <w:r>
              <w:rPr>
                <w:rFonts w:ascii="Avenir Next" w:hAnsi="Avenir Next" w:cs="Avenir Next" w:eastAsia="Avenir Next"/>
                <w:b w:val="1"/>
                <w:i w:val="0"/>
                <w:color w:val="1A1A1A"/>
                <w:sz w:val="16"/>
                <w:u w:val="none"/>
              </w:rPr>
              <w:t>Item</w:t>
            </w:r>
          </w:p>
        </w:tc>
        <w:tc>
          <w:tcPr>
            <w:tcW w:type="dxa" w:w="3520"/>
            <w:vAlign w:val="center"/>
          </w:tcPr>
          <w:p>
            <w:pPr>
              <w:spacing w:before="0" w:after="0" w:line="269" w:lineRule="auto"/>
              <w:jc w:val="left"/>
            </w:pPr>
            <w:r/>
            <w:r>
              <w:rPr>
                <w:rFonts w:ascii="Avenir Next" w:hAnsi="Avenir Next" w:cs="Avenir Next" w:eastAsia="Avenir Next"/>
                <w:b w:val="1"/>
                <w:i w:val="0"/>
                <w:color w:val="1A1A1A"/>
                <w:sz w:val="16"/>
                <w:u w:val="none"/>
              </w:rPr>
              <w:t>Section · DOK</w:t>
            </w:r>
          </w:p>
        </w:tc>
        <w:tc>
          <w:tcPr>
            <w:tcW w:type="dxa" w:w="3664"/>
            <w:vAlign w:val="center"/>
          </w:tcPr>
          <w:p>
            <w:pPr>
              <w:spacing w:before="0" w:after="0" w:line="269" w:lineRule="auto"/>
              <w:jc w:val="left"/>
            </w:pPr>
            <w:r/>
            <w:r>
              <w:rPr>
                <w:rFonts w:ascii="Avenir Next" w:hAnsi="Avenir Next" w:cs="Avenir Next" w:eastAsia="Avenir Next"/>
                <w:b w:val="1"/>
                <w:i w:val="0"/>
                <w:color w:val="1A1A1A"/>
                <w:sz w:val="16"/>
                <w:u w:val="none"/>
              </w:rPr>
              <w:t>Standard</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S1 Practice</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10</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Practice on Your Own · DOK 2</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6.SP.B.5c</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S1 Practice</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11</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Practice on Your Own · DOK 2</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6.SP.B.5c</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S1 Practice</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12</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Practice on Your Own · DOK 2</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6.SP.B.5c</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S1 Practice</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14</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Stretch Your Thinking · DOK 3</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6.SP.B.5c</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S1 Practice</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15</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Test Practice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6.SP.B.5c</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S1 Practice</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16</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Test Practice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6.SP.B.5c</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S1 Practice</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17</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Test Practice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6.SP.B.5c</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S1 Practice</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18</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Test Practice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6.SP.B.5c</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S1 Practice</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19</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Spiral Review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review · Lesson 2-2 Session 2</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S1 Practice</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20</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Spiral Review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review · Lesson 2-2 Session 1</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S1 Practice</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21</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Spiral Review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review · Lesson 2-1 Session 2</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S1 Practice</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22</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Spiral Review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review · Lesson Grade 5</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S1 Homework</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9</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Exercises · DOK 2</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6.SP.B.5c</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S1 Homework</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10</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Exercises · DOK 2</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6.SP.B.5c</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S1 Homework</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11</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Exercises · DOK 2</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6.SP.B.5c</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S1 Homework</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12</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Exercises · DOK 2</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6.SP.B.5c</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S1 Homework</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13</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Spiral Review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review · Lesson 2-2 Session 2</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S1 Homework</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14</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Spiral Review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review · Lesson 2-1 Session 1</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S1 Homework</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15</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Spiral Review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review · Lesson Grade 5</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S1 Homework</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16</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Test Practice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6.SP.B.5c</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S1 Homework</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17</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Test Practice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6.SP.B.5c</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S1 Homework</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18</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Test Practice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6.SP.B.5c</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S2 Practice</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10</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Practice on Your Own · DOK 2</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6.SP.B.5c</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S2 Practice</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11</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Practice on Your Own · DOK 2</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6.SP.B.5c</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S2 Practice</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12</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Practice on Your Own · DOK 2</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6.SP.B.5c</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S2 Practice</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14</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Stretch Your Thinking · DOK 3</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6.SP.B.5c</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S2 Practice</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15</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Test Practice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6.SP.B.5c</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S2 Practice</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16</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Test Practice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6.SP.B.5c</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S2 Practice</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17</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Test Practice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6.SP.B.5c</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S2 Practice</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18</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Test Practice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6.SP.B.5c</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S2 Practice</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19</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Spiral Review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review · Lesson 2-3 Session 1</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S2 Practice</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20</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Spiral Review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review · Lesson 2-2 Session 2</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S2 Practice</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21</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Spiral Review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review · Lesson 2-1 Session 2</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S2 Practice</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22</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Spiral Review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review · Lesson Grade 5</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S2 Homework</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9</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Exercises · DOK 2</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6.SP.B.5c</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S2 Homework</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10</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Exercises · DOK 2</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6.SP.B.5c</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S2 Homework</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11</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Exercises · DOK 2</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6.SP.B.5c</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S2 Homework</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12</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Exercises · DOK 2</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6.SP.B.5c</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S2 Homework</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13</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Spiral Review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review · Lesson 2-3 Session 1</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S2 Homework</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14</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Spiral Review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review · Lesson 2-2 Session 1</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S2 Homework</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15</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Spiral Review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review · Lesson Grade 5</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S2 Homework</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16</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Test Practice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6.SP.B.5c</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S2 Homework</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17</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Test Practice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6.SP.B.5c</w:t>
            </w:r>
          </w:p>
        </w:tc>
      </w:tr>
      <w:tr>
        <w:trPr/>
        <w:tc>
          <w:tcPr>
            <w:tcW w:type="dxa" w:w="1560"/>
            <w:vAlign w:val="center"/>
          </w:tcPr>
          <w:p>
            <w:pPr>
              <w:spacing w:before="0" w:after="0" w:line="269" w:lineRule="auto"/>
              <w:jc w:val="left"/>
            </w:pPr>
            <w:r/>
            <w:r>
              <w:rPr>
                <w:rFonts w:ascii="Avenir Next" w:hAnsi="Avenir Next" w:cs="Avenir Next" w:eastAsia="Avenir Next"/>
                <w:b w:val="0"/>
                <w:i w:val="0"/>
                <w:color w:val="1A1A1A"/>
                <w:sz w:val="16"/>
                <w:u w:val="none"/>
              </w:rPr>
              <w:t>S2 Homework</w:t>
            </w:r>
          </w:p>
        </w:tc>
        <w:tc>
          <w:tcPr>
            <w:tcW w:type="dxa" w:w="760"/>
            <w:vAlign w:val="center"/>
          </w:tcPr>
          <w:p>
            <w:pPr>
              <w:spacing w:before="0" w:after="0" w:line="269" w:lineRule="auto"/>
              <w:jc w:val="left"/>
            </w:pPr>
            <w:r/>
            <w:r>
              <w:rPr>
                <w:rFonts w:ascii="Avenir Next" w:hAnsi="Avenir Next" w:cs="Avenir Next" w:eastAsia="Avenir Next"/>
                <w:b w:val="0"/>
                <w:i w:val="0"/>
                <w:color w:val="1A1A1A"/>
                <w:sz w:val="16"/>
                <w:u w:val="none"/>
              </w:rPr>
              <w:t>18</w:t>
            </w:r>
          </w:p>
        </w:tc>
        <w:tc>
          <w:tcPr>
            <w:tcW w:type="dxa" w:w="3520"/>
            <w:vAlign w:val="center"/>
          </w:tcPr>
          <w:p>
            <w:pPr>
              <w:spacing w:before="0" w:after="0" w:line="269" w:lineRule="auto"/>
              <w:jc w:val="left"/>
            </w:pPr>
            <w:r/>
            <w:r>
              <w:rPr>
                <w:rFonts w:ascii="Avenir Next" w:hAnsi="Avenir Next" w:cs="Avenir Next" w:eastAsia="Avenir Next"/>
                <w:b w:val="0"/>
                <w:i w:val="0"/>
                <w:color w:val="1A1A1A"/>
                <w:sz w:val="16"/>
                <w:u w:val="none"/>
              </w:rPr>
              <w:t>Test Practice · DOK 1</w:t>
            </w:r>
          </w:p>
        </w:tc>
        <w:tc>
          <w:tcPr>
            <w:tcW w:type="dxa" w:w="3664"/>
            <w:vAlign w:val="center"/>
          </w:tcPr>
          <w:p>
            <w:pPr>
              <w:spacing w:before="0" w:after="0" w:line="269" w:lineRule="auto"/>
              <w:jc w:val="left"/>
            </w:pPr>
            <w:r/>
            <w:r>
              <w:rPr>
                <w:rFonts w:ascii="Avenir Next" w:hAnsi="Avenir Next" w:cs="Avenir Next" w:eastAsia="Avenir Next"/>
                <w:b w:val="0"/>
                <w:i w:val="0"/>
                <w:color w:val="1A1A1A"/>
                <w:sz w:val="16"/>
                <w:u w:val="none"/>
              </w:rPr>
              <w:t>6.SP.B.5c</w:t>
            </w:r>
          </w:p>
        </w:tc>
      </w:tr>
    </w:tbl>
    <w:sectPr w:rsidR="00FC693F" w:rsidRPr="0006063C" w:rsidSect="00034616">
      <w:headerReference w:type="default" r:id="rId9"/>
      <w:footerReference w:type="default" r:id="rId10"/>
      <w:pgSz w:w="12240" w:h="15840"/>
      <w:pgMar w:top="893" w:right="1224" w:bottom="835" w:left="1512"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pPr>
    <w:r>
      <w:rPr>
        <w:rFonts w:ascii="Avenir Next" w:hAnsi="Avenir Next" w:cs="Avenir Next" w:eastAsia="Avenir Next"/>
        <w:b w:val="0"/>
        <w:i w:val="0"/>
        <w:color w:val="1A1A1A"/>
        <w:sz w:val="4"/>
        <w:u w:val="none"/>
      </w:rPr>
    </w:r>
  </w:p>
  <w:tbl>
    <w:tblPr>
      <w:tblW w:w="9504" w:type="dxa"/>
      <w:jc w:val="left"/>
      <w:tblBorders>
        <w:top w:val="single" w:sz="4" w:space="0" w:color="C9CDD2"/>
        <w:left w:val="nil"/>
        <w:bottom w:val="nil"/>
        <w:right w:val="nil"/>
        <w:insideH w:val="nil"/>
        <w:insideV w:val="nil"/>
      </w:tblBorders>
      <w:tblLayout w:type="fixed"/>
      <w:tblCellMar>
        <w:top w:w="40" w:type="dxa"/>
        <w:left w:w="0" w:type="dxa"/>
        <w:bottom w:w="0" w:type="dxa"/>
        <w:right w:w="0" w:type="dxa"/>
      </w:tblCellMar>
      <w:tblLook w:firstColumn="1" w:firstRow="1" w:lastColumn="0" w:lastRow="0" w:noHBand="0" w:noVBand="1" w:val="04A0"/>
    </w:tblPr>
    <w:tblGrid>
      <w:gridCol w:w="5892"/>
      <w:gridCol w:w="3611"/>
    </w:tblGrid>
    <w:tr>
      <w:tc>
        <w:tcPr>
          <w:tcW w:type="dxa" w:w="5892"/>
        </w:tcPr>
        <w:p>
          <w:pPr>
            <w:spacing w:before="0" w:after="0" w:line="269" w:lineRule="auto"/>
          </w:pPr>
          <w:r/>
          <w:r>
            <w:rPr>
              <w:rFonts w:ascii="Avenir Next" w:hAnsi="Avenir Next" w:cs="Avenir Next" w:eastAsia="Avenir Next"/>
              <w:b w:val="0"/>
              <w:i w:val="0"/>
              <w:color w:val="5A5F66"/>
              <w:sz w:val="15"/>
              <w:u w:val="none"/>
            </w:rPr>
            <w:t>Grade 6 Mathematics  ·  Unit 2: Statistics and Data Displays</w:t>
          </w:r>
        </w:p>
      </w:tc>
      <w:tc>
        <w:tcPr>
          <w:tcW w:type="dxa" w:w="3612"/>
        </w:tcPr>
        <w:p>
          <w:pPr>
            <w:spacing w:before="0" w:after="0" w:line="269" w:lineRule="auto"/>
            <w:jc w:val="right"/>
          </w:pPr>
          <w:r>
            <w:t>Lesson 2-3  ·  Answer Key</w:t>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Avenir Next" w:hAnsi="Avenir Next" w:cs="Avenir Next" w:eastAsia="Avenir Next"/>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Reveal Math Grade 6 · 2.3 Answer Key</dc:title>
  <dc:subject/>
  <dc:creator>Neft Teacher</dc:creator>
  <cp:keywords/>
  <dc:description>generated by python-docx</dc:description>
  <cp:lastModifiedBy>Neft Teacher</cp:lastModifiedBy>
  <cp:revision>1</cp:revision>
  <dcterms:created xsi:type="dcterms:W3CDTF">2013-12-23T23:15:00Z</dcterms:created>
  <dcterms:modified xsi:type="dcterms:W3CDTF">2013-12-23T23:15:00Z</dcterms:modified>
  <cp:category/>
</cp:coreProperties>
</file>