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keepNext/>
        <w:spacing w:before="0" w:after="20" w:line="276" w:lineRule="auto"/>
      </w:pPr>
      <w:r>
        <w:rPr>
          <w:rFonts w:ascii="Avenir Next" w:hAnsi="Avenir Next" w:cs="Avenir Next" w:eastAsia="Avenir Next"/>
          <w:b/>
          <w:i w:val="0"/>
          <w:caps w:val="1"/>
          <w:color w:val="003A70"/>
          <w:spacing w:val="12"/>
          <w:sz w:val="19"/>
          <w:u w:val="none"/>
        </w:rPr>
        <w:t>Lesson 3-3  ·  Answer Key</w:t>
      </w:r>
    </w:p>
    <w:p>
      <w:pPr>
        <w:keepNext/>
        <w:spacing w:before="0" w:after="40" w:line="240" w:lineRule="auto"/>
      </w:pPr>
      <w:r>
        <w:rPr>
          <w:rFonts w:ascii="Avenir Next" w:hAnsi="Avenir Next" w:cs="Avenir Next" w:eastAsia="Avenir Next"/>
          <w:b/>
          <w:i w:val="0"/>
          <w:color w:val="1A1A1A"/>
          <w:sz w:val="46"/>
          <w:u w:val="none"/>
        </w:rPr>
        <w:t>Answer Key</w:t>
      </w:r>
    </w:p>
    <w:p>
      <w:pPr>
        <w:keepNext/>
        <w:spacing w:before="0" w:after="100" w:line="264" w:lineRule="auto"/>
      </w:pPr>
      <w:r>
        <w:rPr>
          <w:rFonts w:ascii="Avenir Next" w:hAnsi="Avenir Next" w:cs="Avenir Next" w:eastAsia="Avenir Next"/>
          <w:b w:val="0"/>
          <w:i w:val="0"/>
          <w:color w:val="5A5F66"/>
          <w:sz w:val="24"/>
          <w:u w:val="none"/>
        </w:rPr>
        <w:t>Session 1 — Scaling Ratio Tables   ·   Session 2 — The Bridge Strategy (Scaling Ratios)</w:t>
      </w:r>
    </w:p>
    <w:p>
      <w:pPr>
        <w:pBdr>
          <w:bottom w:val="single" w:sz="4" w:space="5" w:color="C9CDD2"/>
        </w:pBdr>
        <w:spacing w:before="0" w:after="180" w:line="264" w:lineRule="auto"/>
      </w:pPr>
      <w:r>
        <w:rPr>
          <w:rFonts w:ascii="Avenir Next" w:hAnsi="Avenir Next" w:cs="Avenir Next" w:eastAsia="Avenir Next"/>
          <w:b w:val="0"/>
          <w:i w:val="0"/>
          <w:color w:val="5A5F66"/>
          <w:sz w:val="17"/>
          <w:u w:val="none"/>
        </w:rPr>
        <w:t>Maryland Standard 6.RP.A.3a   ·   Teacher use only — answers for every item added in the 2026-09-29 practice upgrade.</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1 · GUIDED PRACTICE</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6 : 10, 9 : 15, 12 : 20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3 ounces broth to 1 ounce rice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20  b) 49</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49 white (factor 7)  b) 36 blue (factor 9)  c) divide the known new amount by its original row to find the factor, then multiply the other row by that same factor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8 : 20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C  —  both rows equally</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2 : 3</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  3 : 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6 lb for $9.00 ($1.50 per lb)</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32 boxes per hour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15 and 25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15</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1 · HOMEWORK</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15 : 24, 20 : 32, 30 : 48</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3 grams oats to 1 gram seeds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He doubled only the first row. Both rows must be doubled, giving 8 : 12.</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13.</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52 mph</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2 : 3</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5.4</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15 : 35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C  —  2 : 3</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scaled by one factor</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2 · GUIDED PRACTICE</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35 spoons of water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15 liters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2.4 parts  b) 43.2 parts, so 43 complete parts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2.5 cups  b) 35 cups  c) 14 is not a whole-number multiple of 4, so no whole-number factor works; the unit ratio bridges the gap</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3</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  unit ratio</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15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C  —  not a whole number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20 : 45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12 oz for $3.24 ($0.27 per oz)</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12 and 24</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2.67 (8 ÷ 3)</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2 · HOMEWORK</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20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10 cups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13 liters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14 is not 8 doubled, so the factor is not 2. Bridge through the unit ratio: 20 ÷ 8 = 2.5, then 14 × 2.5 = 35.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13.</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42 : 18</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35 pages per hour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25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2.4</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  32</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scale down to 1</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ITEM ANALYSIS</w:t>
      </w:r>
      <w:r>
        <w:rPr>
          <w:rFonts w:ascii="Avenir Next" w:hAnsi="Avenir Next" w:cs="Avenir Next" w:eastAsia="Avenir Next"/>
          <w:b w:val="0"/>
          <w:i/>
          <w:color w:val="5A5F66"/>
          <w:sz w:val="17"/>
          <w:u w:val="none"/>
        </w:rPr>
        <w:tab/>
        <w:t>section · depth of knowledge · standard</w:t>
      </w:r>
    </w:p>
    <w:tbl>
      <w:tblPr>
        <w:tblW w:w="9504" w:type="dxa"/>
        <w:jc w:val="left"/>
        <w:tblBorders>
          <w:top w:val="single" w:sz="6" w:space="0" w:color="9AA0A6"/>
          <w:left w:val="single" w:sz="6" w:space="0" w:color="9AA0A6"/>
          <w:bottom w:val="single" w:sz="6" w:space="0" w:color="9AA0A6"/>
          <w:right w:val="single" w:sz="6" w:space="0" w:color="9AA0A6"/>
          <w:insideH w:val="nil"/>
          <w:insideV w:val="single" w:sz="6" w:space="0" w:color="9AA0A6"/>
        </w:tblBorders>
        <w:tblLayout w:type="fixed"/>
        <w:tblCellMar>
          <w:top w:w="60" w:type="dxa"/>
          <w:left w:w="80" w:type="dxa"/>
          <w:bottom w:w="60" w:type="dxa"/>
          <w:right w:w="80" w:type="dxa"/>
        </w:tblCellMar>
        <w:tblLook w:firstColumn="1" w:firstRow="1" w:lastColumn="0" w:lastRow="0" w:noHBand="0" w:noVBand="1" w:val="04A0"/>
      </w:tblPr>
      <w:tblGrid>
        <w:gridCol w:w="1560"/>
        <w:gridCol w:w="760"/>
        <w:gridCol w:w="3520"/>
        <w:gridCol w:w="3664"/>
      </w:tblGrid>
      <w:tr>
        <w:trPr>
          <w:tblHeader/>
        </w:trPr>
        <w:tc>
          <w:tcPr>
            <w:tcW w:type="dxa" w:w="1560"/>
            <w:vAlign w:val="center"/>
          </w:tcPr>
          <w:p>
            <w:pPr>
              <w:spacing w:before="0" w:after="0" w:line="269" w:lineRule="auto"/>
              <w:jc w:val="left"/>
            </w:pPr>
            <w:r/>
            <w:r>
              <w:rPr>
                <w:rFonts w:ascii="Avenir Next" w:hAnsi="Avenir Next" w:cs="Avenir Next" w:eastAsia="Avenir Next"/>
                <w:b w:val="1"/>
                <w:i w:val="0"/>
                <w:color w:val="1A1A1A"/>
                <w:sz w:val="16"/>
                <w:u w:val="none"/>
              </w:rPr>
              <w:t>Sheet</w:t>
            </w:r>
          </w:p>
        </w:tc>
        <w:tc>
          <w:tcPr>
            <w:tcW w:type="dxa" w:w="760"/>
            <w:vAlign w:val="center"/>
          </w:tcPr>
          <w:p>
            <w:pPr>
              <w:spacing w:before="0" w:after="0" w:line="269" w:lineRule="auto"/>
              <w:jc w:val="left"/>
            </w:pPr>
            <w:r/>
            <w:r>
              <w:rPr>
                <w:rFonts w:ascii="Avenir Next" w:hAnsi="Avenir Next" w:cs="Avenir Next" w:eastAsia="Avenir Next"/>
                <w:b w:val="1"/>
                <w:i w:val="0"/>
                <w:color w:val="1A1A1A"/>
                <w:sz w:val="16"/>
                <w:u w:val="none"/>
              </w:rPr>
              <w:t>Item</w:t>
            </w:r>
          </w:p>
        </w:tc>
        <w:tc>
          <w:tcPr>
            <w:tcW w:type="dxa" w:w="3520"/>
            <w:vAlign w:val="center"/>
          </w:tcPr>
          <w:p>
            <w:pPr>
              <w:spacing w:before="0" w:after="0" w:line="269" w:lineRule="auto"/>
              <w:jc w:val="left"/>
            </w:pPr>
            <w:r/>
            <w:r>
              <w:rPr>
                <w:rFonts w:ascii="Avenir Next" w:hAnsi="Avenir Next" w:cs="Avenir Next" w:eastAsia="Avenir Next"/>
                <w:b w:val="1"/>
                <w:i w:val="0"/>
                <w:color w:val="1A1A1A"/>
                <w:sz w:val="16"/>
                <w:u w:val="none"/>
              </w:rPr>
              <w:t>Section · DOK</w:t>
            </w:r>
          </w:p>
        </w:tc>
        <w:tc>
          <w:tcPr>
            <w:tcW w:type="dxa" w:w="3664"/>
            <w:vAlign w:val="center"/>
          </w:tcPr>
          <w:p>
            <w:pPr>
              <w:spacing w:before="0" w:after="0" w:line="269" w:lineRule="auto"/>
              <w:jc w:val="left"/>
            </w:pPr>
            <w:r/>
            <w:r>
              <w:rPr>
                <w:rFonts w:ascii="Avenir Next" w:hAnsi="Avenir Next" w:cs="Avenir Next" w:eastAsia="Avenir Next"/>
                <w:b w:val="1"/>
                <w:i w:val="0"/>
                <w:color w:val="1A1A1A"/>
                <w:sz w:val="16"/>
                <w:u w:val="none"/>
              </w:rPr>
              <w:t>Standard</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Stretch Your Thinking · DOK 3</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3-2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3-2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3-1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2-8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13</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3-2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3-1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2-7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Stretch Your Thinking · DOK 3</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3-3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3-2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3-1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2-9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13</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3-3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3-2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2-5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6.RP.A.3a</w:t>
            </w:r>
          </w:p>
        </w:tc>
      </w:tr>
    </w:tbl>
    <w:sectPr w:rsidR="00FC693F" w:rsidRPr="0006063C" w:rsidSect="00034616">
      <w:headerReference w:type="default" r:id="rId9"/>
      <w:footerReference w:type="default" r:id="rId10"/>
      <w:pgSz w:w="12240" w:h="15840"/>
      <w:pgMar w:top="893" w:right="1224" w:bottom="835"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pPr>
    <w:r>
      <w:rPr>
        <w:rFonts w:ascii="Avenir Next" w:hAnsi="Avenir Next" w:cs="Avenir Next" w:eastAsia="Avenir Next"/>
        <w:b w:val="0"/>
        <w:i w:val="0"/>
        <w:color w:val="1A1A1A"/>
        <w:sz w:val="4"/>
        <w:u w:val="none"/>
      </w:rPr>
    </w:r>
  </w:p>
  <w:tbl>
    <w:tblPr>
      <w:tblW w:w="9504" w:type="dxa"/>
      <w:jc w:val="left"/>
      <w:tblBorders>
        <w:top w:val="single" w:sz="4" w:space="0" w:color="C9CDD2"/>
        <w:left w:val="nil"/>
        <w:bottom w:val="nil"/>
        <w:right w:val="nil"/>
        <w:insideH w:val="nil"/>
        <w:insideV w:val="nil"/>
      </w:tblBorders>
      <w:tblLayout w:type="fixed"/>
      <w:tblCellMar>
        <w:top w:w="40" w:type="dxa"/>
        <w:left w:w="0" w:type="dxa"/>
        <w:bottom w:w="0" w:type="dxa"/>
        <w:right w:w="0" w:type="dxa"/>
      </w:tblCellMar>
      <w:tblLook w:firstColumn="1" w:firstRow="1" w:lastColumn="0" w:lastRow="0" w:noHBand="0" w:noVBand="1" w:val="04A0"/>
    </w:tblPr>
    <w:tblGrid>
      <w:gridCol w:w="5892"/>
      <w:gridCol w:w="3611"/>
    </w:tblGrid>
    <w:tr>
      <w:tc>
        <w:tcPr>
          <w:tcW w:type="dxa" w:w="5892"/>
        </w:tcPr>
        <w:p>
          <w:pPr>
            <w:spacing w:before="0" w:after="0" w:line="269" w:lineRule="auto"/>
          </w:pPr>
          <w:r/>
          <w:r>
            <w:rPr>
              <w:rFonts w:ascii="Avenir Next" w:hAnsi="Avenir Next" w:cs="Avenir Next" w:eastAsia="Avenir Next"/>
              <w:b w:val="0"/>
              <w:i w:val="0"/>
              <w:color w:val="5A5F66"/>
              <w:sz w:val="15"/>
              <w:u w:val="none"/>
            </w:rPr>
            <w:t>Grade 6 Mathematics  ·  Unit 3: Ratios and Rates</w:t>
          </w:r>
        </w:p>
      </w:tc>
      <w:tc>
        <w:tcPr>
          <w:tcW w:type="dxa" w:w="3612"/>
        </w:tcPr>
        <w:p>
          <w:pPr>
            <w:spacing w:before="0" w:after="0" w:line="269" w:lineRule="auto"/>
            <w:jc w:val="right"/>
          </w:pPr>
          <w:r>
            <w:t>Lesson 3-3  ·  Answer Key</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venir Next" w:hAnsi="Avenir Next" w:cs="Avenir Next" w:eastAsia="Avenir Next"/>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 Math Grade 6 · 3.3 Answer Key</dc:title>
  <dc:subject/>
  <dc:creator>Neft Teacher</dc:creator>
  <cp:keywords/>
  <dc:description>generated by python-docx</dc:description>
  <cp:lastModifiedBy>Neft Teacher</cp:lastModifiedBy>
  <cp:revision>1</cp:revision>
  <dcterms:created xsi:type="dcterms:W3CDTF">2013-12-23T23:15:00Z</dcterms:created>
  <dcterms:modified xsi:type="dcterms:W3CDTF">2013-12-23T23:15:00Z</dcterms:modified>
  <cp:category/>
</cp:coreProperties>
</file>