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47)</w:t>
      </w:r>
    </w:p>
    <w:p>
      <w:pPr>
        <w:spacing w:after="30"/>
        <w:ind w:left="420"/>
      </w:pPr>
      <w:r>
        <w:rPr>
          <w:sz w:val="20"/>
          <w:szCs w:val="20"/>
        </w:rPr>
        <w:t xml:space="preserve">D)  (90, 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3,600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be determined</w:t>
      </w:r>
    </w:p>
    <w:p>
      <w:pPr>
        <w:spacing w:after="40"/>
        <w:ind w:left="420"/>
      </w:pPr>
      <w:r>
        <w:rPr>
          <w:sz w:val="20"/>
          <w:szCs w:val="20"/>
        </w:rPr>
        <w:t xml:space="preserve">D)  increases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16,800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18,000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tram starts at 0 feet and travels 1,200 feet each minute. On its graph, minutes are on the horizontal axis and feet on the vertical axis. Which ordered pair lies on this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5000)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(6000,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Rate of change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2026-10-02T10:57:34.371Z</dcterms:created>
  <dcterms:modified xsi:type="dcterms:W3CDTF">2026-10-02T10:57:34.371Z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